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D35394">
      <w:pPr>
        <w:keepNext w:val="0"/>
        <w:keepLines w:val="0"/>
        <w:pageBreakBefore w:val="0"/>
        <w:widowControl w:val="0"/>
        <w:kinsoku/>
        <w:wordWrap/>
        <w:overflowPunct/>
        <w:topLinePunct w:val="0"/>
        <w:autoSpaceDE/>
        <w:autoSpaceDN/>
        <w:bidi w:val="0"/>
        <w:adjustRightInd/>
        <w:snapToGrid/>
        <w:jc w:val="both"/>
        <w:textAlignment w:val="auto"/>
        <w:rPr>
          <w:rFonts w:hint="eastAsia" w:eastAsia="宋体"/>
          <w:color w:val="auto"/>
          <w:lang w:eastAsia="zh-CN"/>
        </w:rPr>
        <w:sectPr>
          <w:footerReference r:id="rId3" w:type="default"/>
          <w:pgSz w:w="11906" w:h="16838"/>
          <w:pgMar w:top="1701" w:right="1531" w:bottom="1701" w:left="1531" w:header="851" w:footer="1077" w:gutter="0"/>
          <w:pgNumType w:start="3"/>
          <w:cols w:space="720" w:num="1"/>
          <w:docGrid w:linePitch="312" w:charSpace="0"/>
        </w:sectPr>
      </w:pPr>
      <w:r>
        <w:drawing>
          <wp:inline distT="0" distB="0" distL="114300" distR="114300">
            <wp:extent cx="5603875" cy="7479030"/>
            <wp:effectExtent l="0" t="0" r="15875" b="7620"/>
            <wp:docPr id="16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8"/>
                    <pic:cNvPicPr>
                      <a:picLocks noChangeAspect="1"/>
                    </pic:cNvPicPr>
                  </pic:nvPicPr>
                  <pic:blipFill>
                    <a:blip r:embed="rId7"/>
                    <a:stretch>
                      <a:fillRect/>
                    </a:stretch>
                  </pic:blipFill>
                  <pic:spPr>
                    <a:xfrm>
                      <a:off x="0" y="0"/>
                      <a:ext cx="5603875" cy="7479030"/>
                    </a:xfrm>
                    <a:prstGeom prst="rect">
                      <a:avLst/>
                    </a:prstGeom>
                    <a:noFill/>
                    <a:ln>
                      <a:noFill/>
                    </a:ln>
                  </pic:spPr>
                </pic:pic>
              </a:graphicData>
            </a:graphic>
          </wp:inline>
        </w:drawing>
      </w:r>
      <w:r>
        <w:rPr>
          <w:rFonts w:hint="eastAsia" w:eastAsia="宋体"/>
          <w:color w:val="auto"/>
          <w:lang w:eastAsia="zh-CN"/>
        </w:rPr>
        <w:drawing>
          <wp:inline distT="0" distB="0" distL="114300" distR="114300">
            <wp:extent cx="5562600" cy="7686675"/>
            <wp:effectExtent l="0" t="0" r="0" b="9525"/>
            <wp:docPr id="163" name="图片 163" descr="63feecbf80177bb8228a3d2a30374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63feecbf80177bb8228a3d2a30374ad"/>
                    <pic:cNvPicPr>
                      <a:picLocks noChangeAspect="1"/>
                    </pic:cNvPicPr>
                  </pic:nvPicPr>
                  <pic:blipFill>
                    <a:blip r:embed="rId8"/>
                    <a:stretch>
                      <a:fillRect/>
                    </a:stretch>
                  </pic:blipFill>
                  <pic:spPr>
                    <a:xfrm>
                      <a:off x="0" y="0"/>
                      <a:ext cx="5562600" cy="7686675"/>
                    </a:xfrm>
                    <a:prstGeom prst="rect">
                      <a:avLst/>
                    </a:prstGeom>
                  </pic:spPr>
                </pic:pic>
              </a:graphicData>
            </a:graphic>
          </wp:inline>
        </w:drawing>
      </w:r>
    </w:p>
    <w:p w14:paraId="0AAC962D">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lang w:eastAsia="zh-CN"/>
        </w:rPr>
        <w:sectPr>
          <w:pgSz w:w="16838" w:h="11906" w:orient="landscape"/>
          <w:pgMar w:top="1531" w:right="1701" w:bottom="1531" w:left="1701" w:header="851" w:footer="1077" w:gutter="0"/>
          <w:pgNumType w:start="3"/>
          <w:cols w:space="720" w:num="1"/>
          <w:docGrid w:linePitch="312" w:charSpace="0"/>
        </w:sectPr>
      </w:pPr>
      <w:r>
        <w:rPr>
          <w:rFonts w:hint="eastAsia"/>
          <w:color w:val="auto"/>
          <w:lang w:eastAsia="zh-CN"/>
        </w:rPr>
        <w:drawing>
          <wp:inline distT="0" distB="0" distL="114300" distR="114300">
            <wp:extent cx="7934325" cy="5614035"/>
            <wp:effectExtent l="0" t="0" r="9525" b="5715"/>
            <wp:docPr id="6" name="图片 6" descr="晟达安环营业执照+工程师证+社保（梁小鑫）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晟达安环营业执照+工程师证+社保（梁小鑫）_页面_1"/>
                    <pic:cNvPicPr>
                      <a:picLocks noChangeAspect="1"/>
                    </pic:cNvPicPr>
                  </pic:nvPicPr>
                  <pic:blipFill>
                    <a:blip r:embed="rId9"/>
                    <a:stretch>
                      <a:fillRect/>
                    </a:stretch>
                  </pic:blipFill>
                  <pic:spPr>
                    <a:xfrm>
                      <a:off x="0" y="0"/>
                      <a:ext cx="7934325" cy="5614035"/>
                    </a:xfrm>
                    <a:prstGeom prst="rect">
                      <a:avLst/>
                    </a:prstGeom>
                  </pic:spPr>
                </pic:pic>
              </a:graphicData>
            </a:graphic>
          </wp:inline>
        </w:drawing>
      </w:r>
      <w:r>
        <w:rPr>
          <w:rFonts w:hint="eastAsia"/>
          <w:color w:val="auto"/>
          <w:lang w:eastAsia="zh-CN"/>
        </w:rPr>
        <w:drawing>
          <wp:inline distT="0" distB="0" distL="114300" distR="114300">
            <wp:extent cx="7933690" cy="5610860"/>
            <wp:effectExtent l="0" t="0" r="10160" b="8890"/>
            <wp:docPr id="7" name="图片 7" descr="晟达安环营业执照+工程师证+社保（梁小鑫）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晟达安环营业执照+工程师证+社保（梁小鑫）_页面_2"/>
                    <pic:cNvPicPr>
                      <a:picLocks noChangeAspect="1"/>
                    </pic:cNvPicPr>
                  </pic:nvPicPr>
                  <pic:blipFill>
                    <a:blip r:embed="rId10"/>
                    <a:stretch>
                      <a:fillRect/>
                    </a:stretch>
                  </pic:blipFill>
                  <pic:spPr>
                    <a:xfrm>
                      <a:off x="0" y="0"/>
                      <a:ext cx="7933690" cy="5610860"/>
                    </a:xfrm>
                    <a:prstGeom prst="rect">
                      <a:avLst/>
                    </a:prstGeom>
                  </pic:spPr>
                </pic:pic>
              </a:graphicData>
            </a:graphic>
          </wp:inline>
        </w:drawing>
      </w:r>
    </w:p>
    <w:p w14:paraId="58E4AD77">
      <w:pPr>
        <w:bidi w:val="0"/>
        <w:jc w:val="center"/>
        <w:rPr>
          <w:rFonts w:hint="eastAsia"/>
          <w:color w:val="auto"/>
          <w:lang w:eastAsia="zh-CN"/>
        </w:rPr>
        <w:sectPr>
          <w:pgSz w:w="11906" w:h="16838"/>
          <w:pgMar w:top="1701" w:right="1531" w:bottom="1701" w:left="1531" w:header="851" w:footer="1077" w:gutter="0"/>
          <w:pgNumType w:start="3"/>
          <w:cols w:space="720" w:num="1"/>
          <w:docGrid w:linePitch="312" w:charSpace="0"/>
        </w:sectPr>
      </w:pPr>
      <w:r>
        <w:drawing>
          <wp:inline distT="0" distB="0" distL="114300" distR="114300">
            <wp:extent cx="5605145" cy="7920990"/>
            <wp:effectExtent l="0" t="0" r="14605" b="3810"/>
            <wp:docPr id="16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6"/>
                    <pic:cNvPicPr>
                      <a:picLocks noChangeAspect="1"/>
                    </pic:cNvPicPr>
                  </pic:nvPicPr>
                  <pic:blipFill>
                    <a:blip r:embed="rId11"/>
                    <a:stretch>
                      <a:fillRect/>
                    </a:stretch>
                  </pic:blipFill>
                  <pic:spPr>
                    <a:xfrm>
                      <a:off x="0" y="0"/>
                      <a:ext cx="5605145" cy="7920990"/>
                    </a:xfrm>
                    <a:prstGeom prst="rect">
                      <a:avLst/>
                    </a:prstGeom>
                    <a:noFill/>
                    <a:ln>
                      <a:noFill/>
                    </a:ln>
                  </pic:spPr>
                </pic:pic>
              </a:graphicData>
            </a:graphic>
          </wp:inline>
        </w:drawing>
      </w:r>
      <w:r>
        <w:drawing>
          <wp:inline distT="0" distB="0" distL="114300" distR="114300">
            <wp:extent cx="5605145" cy="7920990"/>
            <wp:effectExtent l="0" t="0" r="14605" b="3810"/>
            <wp:docPr id="16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7"/>
                    <pic:cNvPicPr>
                      <a:picLocks noChangeAspect="1"/>
                    </pic:cNvPicPr>
                  </pic:nvPicPr>
                  <pic:blipFill>
                    <a:blip r:embed="rId12"/>
                    <a:stretch>
                      <a:fillRect/>
                    </a:stretch>
                  </pic:blipFill>
                  <pic:spPr>
                    <a:xfrm>
                      <a:off x="0" y="0"/>
                      <a:ext cx="5605145" cy="7920990"/>
                    </a:xfrm>
                    <a:prstGeom prst="rect">
                      <a:avLst/>
                    </a:prstGeom>
                    <a:noFill/>
                    <a:ln>
                      <a:noFill/>
                    </a:ln>
                  </pic:spPr>
                </pic:pic>
              </a:graphicData>
            </a:graphic>
          </wp:inline>
        </w:drawing>
      </w:r>
      <w:r>
        <w:rPr>
          <w:rFonts w:hint="eastAsia"/>
          <w:color w:val="auto"/>
          <w:lang w:eastAsia="zh-CN"/>
        </w:rPr>
        <w:drawing>
          <wp:inline distT="0" distB="0" distL="114300" distR="114300">
            <wp:extent cx="5609590" cy="7934960"/>
            <wp:effectExtent l="0" t="0" r="10160" b="8890"/>
            <wp:docPr id="9" name="图片 9" descr="晟达安环营业执照+工程师证+社保（梁小鑫）_页面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晟达安环营业执照+工程师证+社保（梁小鑫）_页面_5"/>
                    <pic:cNvPicPr>
                      <a:picLocks noChangeAspect="1"/>
                    </pic:cNvPicPr>
                  </pic:nvPicPr>
                  <pic:blipFill>
                    <a:blip r:embed="rId13"/>
                    <a:stretch>
                      <a:fillRect/>
                    </a:stretch>
                  </pic:blipFill>
                  <pic:spPr>
                    <a:xfrm>
                      <a:off x="0" y="0"/>
                      <a:ext cx="5609590" cy="7934960"/>
                    </a:xfrm>
                    <a:prstGeom prst="rect">
                      <a:avLst/>
                    </a:prstGeom>
                  </pic:spPr>
                </pic:pic>
              </a:graphicData>
            </a:graphic>
          </wp:inline>
        </w:drawing>
      </w:r>
      <w:r>
        <w:rPr>
          <w:rFonts w:hint="eastAsia"/>
          <w:color w:val="auto"/>
          <w:lang w:eastAsia="zh-CN"/>
        </w:rPr>
        <w:drawing>
          <wp:inline distT="0" distB="0" distL="114300" distR="114300">
            <wp:extent cx="5609590" cy="7934960"/>
            <wp:effectExtent l="0" t="0" r="10160" b="8890"/>
            <wp:docPr id="10" name="图片 10" descr="晟达安环营业执照+工程师证+社保（梁小鑫）_页面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晟达安环营业执照+工程师证+社保（梁小鑫）_页面_6"/>
                    <pic:cNvPicPr>
                      <a:picLocks noChangeAspect="1"/>
                    </pic:cNvPicPr>
                  </pic:nvPicPr>
                  <pic:blipFill>
                    <a:blip r:embed="rId14"/>
                    <a:stretch>
                      <a:fillRect/>
                    </a:stretch>
                  </pic:blipFill>
                  <pic:spPr>
                    <a:xfrm>
                      <a:off x="0" y="0"/>
                      <a:ext cx="5609590" cy="7934960"/>
                    </a:xfrm>
                    <a:prstGeom prst="rect">
                      <a:avLst/>
                    </a:prstGeom>
                  </pic:spPr>
                </pic:pic>
              </a:graphicData>
            </a:graphic>
          </wp:inline>
        </w:drawing>
      </w:r>
      <w:r>
        <w:rPr>
          <w:rFonts w:hint="eastAsia"/>
          <w:color w:val="auto"/>
          <w:lang w:eastAsia="zh-CN"/>
        </w:rPr>
        <w:drawing>
          <wp:inline distT="0" distB="0" distL="114300" distR="114300">
            <wp:extent cx="5608955" cy="7924165"/>
            <wp:effectExtent l="0" t="0" r="10795" b="635"/>
            <wp:docPr id="11" name="图片 11" descr="法蒂豪庭项目编制承诺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法蒂豪庭项目编制承诺书"/>
                    <pic:cNvPicPr>
                      <a:picLocks noChangeAspect="1"/>
                    </pic:cNvPicPr>
                  </pic:nvPicPr>
                  <pic:blipFill>
                    <a:blip r:embed="rId15"/>
                    <a:stretch>
                      <a:fillRect/>
                    </a:stretch>
                  </pic:blipFill>
                  <pic:spPr>
                    <a:xfrm>
                      <a:off x="0" y="0"/>
                      <a:ext cx="5608955" cy="7924165"/>
                    </a:xfrm>
                    <a:prstGeom prst="rect">
                      <a:avLst/>
                    </a:prstGeom>
                  </pic:spPr>
                </pic:pic>
              </a:graphicData>
            </a:graphic>
          </wp:inline>
        </w:drawing>
      </w:r>
    </w:p>
    <w:sdt>
      <w:sdtPr>
        <w:rPr>
          <w:rFonts w:ascii="宋体" w:hAnsi="宋体" w:eastAsia="宋体" w:cs="Times New Roman"/>
          <w:color w:val="auto"/>
          <w:kern w:val="2"/>
          <w:sz w:val="21"/>
          <w:szCs w:val="24"/>
          <w:lang w:val="en-US" w:eastAsia="zh-CN" w:bidi="ar-SA"/>
        </w:rPr>
        <w:id w:val="147469883"/>
        <w15:color w:val="DBDBDB"/>
        <w:docPartObj>
          <w:docPartGallery w:val="Table of Contents"/>
          <w:docPartUnique/>
        </w:docPartObj>
      </w:sdtPr>
      <w:sdtEndPr>
        <w:rPr>
          <w:rFonts w:hint="eastAsia" w:ascii="Arial Unicode MS" w:hAnsi="Arial Unicode MS" w:eastAsia="Arial Unicode MS" w:cs="Calibri"/>
          <w:b/>
          <w:color w:val="auto"/>
          <w:kern w:val="2"/>
          <w:sz w:val="24"/>
          <w:szCs w:val="24"/>
          <w:lang w:val="en-US" w:eastAsia="zh-CN" w:bidi="ar-SA"/>
        </w:rPr>
      </w:sdtEndPr>
      <w:sdtContent>
        <w:p w14:paraId="039A6A2D">
          <w:pPr>
            <w:spacing w:before="0" w:beforeLines="0" w:after="0" w:afterLines="0" w:line="240" w:lineRule="auto"/>
            <w:ind w:left="0" w:leftChars="0" w:right="0" w:rightChars="0" w:firstLine="0" w:firstLineChars="0"/>
            <w:jc w:val="center"/>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color w:val="auto"/>
              <w:sz w:val="28"/>
              <w:szCs w:val="28"/>
            </w:rPr>
            <w:t>目录</w:t>
          </w:r>
        </w:p>
        <w:p w14:paraId="74E27AB7">
          <w:pPr>
            <w:pStyle w:val="20"/>
            <w:tabs>
              <w:tab w:val="right" w:leader="dot" w:pos="8844"/>
            </w:tabs>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color w:val="auto"/>
              <w:sz w:val="28"/>
              <w:szCs w:val="28"/>
            </w:rPr>
            <w:fldChar w:fldCharType="begin"/>
          </w:r>
          <w:r>
            <w:rPr>
              <w:rFonts w:hint="default" w:ascii="Times New Roman" w:hAnsi="Times New Roman" w:cs="Times New Roman" w:eastAsiaTheme="minorEastAsia"/>
              <w:color w:val="auto"/>
              <w:sz w:val="28"/>
              <w:szCs w:val="28"/>
            </w:rPr>
            <w:instrText xml:space="preserve">TOC \o "1-3" \h \u </w:instrText>
          </w:r>
          <w:r>
            <w:rPr>
              <w:rFonts w:hint="default" w:ascii="Times New Roman" w:hAnsi="Times New Roman" w:cs="Times New Roman" w:eastAsiaTheme="minorEastAsia"/>
              <w:color w:val="auto"/>
              <w:sz w:val="28"/>
              <w:szCs w:val="28"/>
            </w:rPr>
            <w:fldChar w:fldCharType="separate"/>
          </w:r>
          <w:r>
            <w:rPr>
              <w:rFonts w:hint="default" w:ascii="Times New Roman" w:hAnsi="Times New Roman" w:cs="Times New Roman" w:eastAsiaTheme="minorEastAsia"/>
              <w:color w:val="auto"/>
              <w:sz w:val="28"/>
              <w:szCs w:val="28"/>
            </w:rPr>
            <w:fldChar w:fldCharType="begin"/>
          </w:r>
          <w:r>
            <w:rPr>
              <w:rFonts w:hint="default" w:ascii="Times New Roman" w:hAnsi="Times New Roman" w:cs="Times New Roman" w:eastAsiaTheme="minorEastAsia"/>
              <w:color w:val="auto"/>
              <w:sz w:val="28"/>
              <w:szCs w:val="28"/>
            </w:rPr>
            <w:instrText xml:space="preserve"> HYPERLINK \l _Toc27063 </w:instrText>
          </w:r>
          <w:r>
            <w:rPr>
              <w:rFonts w:hint="default" w:ascii="Times New Roman" w:hAnsi="Times New Roman" w:cs="Times New Roman" w:eastAsiaTheme="minorEastAsia"/>
              <w:color w:val="auto"/>
              <w:sz w:val="28"/>
              <w:szCs w:val="28"/>
            </w:rPr>
            <w:fldChar w:fldCharType="separate"/>
          </w:r>
          <w:r>
            <w:rPr>
              <w:rFonts w:hint="default" w:ascii="Times New Roman" w:hAnsi="Times New Roman" w:cs="Times New Roman" w:eastAsiaTheme="minorEastAsia"/>
              <w:bCs w:val="0"/>
              <w:color w:val="auto"/>
              <w:sz w:val="28"/>
              <w:szCs w:val="28"/>
            </w:rPr>
            <w:t>一、建设项目基本情况</w:t>
          </w:r>
          <w:r>
            <w:rPr>
              <w:rFonts w:hint="default" w:ascii="Times New Roman" w:hAnsi="Times New Roman" w:cs="Times New Roman" w:eastAsiaTheme="minorEastAsia"/>
              <w:color w:val="auto"/>
              <w:sz w:val="28"/>
              <w:szCs w:val="28"/>
            </w:rPr>
            <w:tab/>
          </w:r>
          <w:r>
            <w:rPr>
              <w:rFonts w:hint="default" w:ascii="Times New Roman" w:hAnsi="Times New Roman" w:cs="Times New Roman" w:eastAsiaTheme="minorEastAsia"/>
              <w:color w:val="auto"/>
              <w:sz w:val="28"/>
              <w:szCs w:val="28"/>
            </w:rPr>
            <w:fldChar w:fldCharType="begin"/>
          </w:r>
          <w:r>
            <w:rPr>
              <w:rFonts w:hint="default" w:ascii="Times New Roman" w:hAnsi="Times New Roman" w:cs="Times New Roman" w:eastAsiaTheme="minorEastAsia"/>
              <w:color w:val="auto"/>
              <w:sz w:val="28"/>
              <w:szCs w:val="28"/>
            </w:rPr>
            <w:instrText xml:space="preserve"> PAGEREF _Toc27063 \h </w:instrText>
          </w:r>
          <w:r>
            <w:rPr>
              <w:rFonts w:hint="default" w:ascii="Times New Roman" w:hAnsi="Times New Roman" w:cs="Times New Roman" w:eastAsiaTheme="minorEastAsia"/>
              <w:color w:val="auto"/>
              <w:sz w:val="28"/>
              <w:szCs w:val="28"/>
            </w:rPr>
            <w:fldChar w:fldCharType="separate"/>
          </w:r>
          <w:r>
            <w:rPr>
              <w:rFonts w:hint="default" w:ascii="Times New Roman" w:hAnsi="Times New Roman" w:cs="Times New Roman" w:eastAsiaTheme="minorEastAsia"/>
              <w:color w:val="auto"/>
              <w:sz w:val="28"/>
              <w:szCs w:val="28"/>
            </w:rPr>
            <w:t>1</w:t>
          </w:r>
          <w:r>
            <w:rPr>
              <w:rFonts w:hint="default" w:ascii="Times New Roman" w:hAnsi="Times New Roman" w:cs="Times New Roman" w:eastAsiaTheme="minorEastAsia"/>
              <w:color w:val="auto"/>
              <w:sz w:val="28"/>
              <w:szCs w:val="28"/>
            </w:rPr>
            <w:fldChar w:fldCharType="end"/>
          </w:r>
          <w:r>
            <w:rPr>
              <w:rFonts w:hint="default" w:ascii="Times New Roman" w:hAnsi="Times New Roman" w:cs="Times New Roman" w:eastAsiaTheme="minorEastAsia"/>
              <w:color w:val="auto"/>
              <w:sz w:val="28"/>
              <w:szCs w:val="28"/>
            </w:rPr>
            <w:fldChar w:fldCharType="end"/>
          </w:r>
        </w:p>
        <w:p w14:paraId="3443DA73">
          <w:pPr>
            <w:pStyle w:val="20"/>
            <w:tabs>
              <w:tab w:val="right" w:leader="dot" w:pos="8844"/>
            </w:tabs>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color w:val="auto"/>
              <w:sz w:val="28"/>
              <w:szCs w:val="28"/>
            </w:rPr>
            <w:fldChar w:fldCharType="begin"/>
          </w:r>
          <w:r>
            <w:rPr>
              <w:rFonts w:hint="default" w:ascii="Times New Roman" w:hAnsi="Times New Roman" w:cs="Times New Roman" w:eastAsiaTheme="minorEastAsia"/>
              <w:color w:val="auto"/>
              <w:sz w:val="28"/>
              <w:szCs w:val="28"/>
            </w:rPr>
            <w:instrText xml:space="preserve"> HYPERLINK \l _Toc27312 </w:instrText>
          </w:r>
          <w:r>
            <w:rPr>
              <w:rFonts w:hint="default" w:ascii="Times New Roman" w:hAnsi="Times New Roman" w:cs="Times New Roman" w:eastAsiaTheme="minorEastAsia"/>
              <w:color w:val="auto"/>
              <w:sz w:val="28"/>
              <w:szCs w:val="28"/>
            </w:rPr>
            <w:fldChar w:fldCharType="separate"/>
          </w:r>
          <w:r>
            <w:rPr>
              <w:rFonts w:hint="default" w:ascii="Times New Roman" w:hAnsi="Times New Roman" w:cs="Times New Roman" w:eastAsiaTheme="minorEastAsia"/>
              <w:color w:val="auto"/>
              <w:sz w:val="28"/>
              <w:szCs w:val="28"/>
            </w:rPr>
            <w:t>二、建设项目工程分析</w:t>
          </w:r>
          <w:r>
            <w:rPr>
              <w:rFonts w:hint="default" w:ascii="Times New Roman" w:hAnsi="Times New Roman" w:cs="Times New Roman" w:eastAsiaTheme="minorEastAsia"/>
              <w:color w:val="auto"/>
              <w:sz w:val="28"/>
              <w:szCs w:val="28"/>
            </w:rPr>
            <w:tab/>
          </w:r>
          <w:r>
            <w:rPr>
              <w:rFonts w:hint="default" w:ascii="Times New Roman" w:hAnsi="Times New Roman" w:cs="Times New Roman" w:eastAsiaTheme="minorEastAsia"/>
              <w:color w:val="auto"/>
              <w:sz w:val="28"/>
              <w:szCs w:val="28"/>
            </w:rPr>
            <w:fldChar w:fldCharType="begin"/>
          </w:r>
          <w:r>
            <w:rPr>
              <w:rFonts w:hint="default" w:ascii="Times New Roman" w:hAnsi="Times New Roman" w:cs="Times New Roman" w:eastAsiaTheme="minorEastAsia"/>
              <w:color w:val="auto"/>
              <w:sz w:val="28"/>
              <w:szCs w:val="28"/>
            </w:rPr>
            <w:instrText xml:space="preserve"> PAGEREF _Toc27312 \h </w:instrText>
          </w:r>
          <w:r>
            <w:rPr>
              <w:rFonts w:hint="default" w:ascii="Times New Roman" w:hAnsi="Times New Roman" w:cs="Times New Roman" w:eastAsiaTheme="minorEastAsia"/>
              <w:color w:val="auto"/>
              <w:sz w:val="28"/>
              <w:szCs w:val="28"/>
            </w:rPr>
            <w:fldChar w:fldCharType="separate"/>
          </w:r>
          <w:r>
            <w:rPr>
              <w:rFonts w:hint="default" w:ascii="Times New Roman" w:hAnsi="Times New Roman" w:cs="Times New Roman" w:eastAsiaTheme="minorEastAsia"/>
              <w:color w:val="auto"/>
              <w:sz w:val="28"/>
              <w:szCs w:val="28"/>
            </w:rPr>
            <w:t>24</w:t>
          </w:r>
          <w:r>
            <w:rPr>
              <w:rFonts w:hint="default" w:ascii="Times New Roman" w:hAnsi="Times New Roman" w:cs="Times New Roman" w:eastAsiaTheme="minorEastAsia"/>
              <w:color w:val="auto"/>
              <w:sz w:val="28"/>
              <w:szCs w:val="28"/>
            </w:rPr>
            <w:fldChar w:fldCharType="end"/>
          </w:r>
          <w:r>
            <w:rPr>
              <w:rFonts w:hint="default" w:ascii="Times New Roman" w:hAnsi="Times New Roman" w:cs="Times New Roman" w:eastAsiaTheme="minorEastAsia"/>
              <w:color w:val="auto"/>
              <w:sz w:val="28"/>
              <w:szCs w:val="28"/>
            </w:rPr>
            <w:fldChar w:fldCharType="end"/>
          </w:r>
        </w:p>
        <w:p w14:paraId="7039ADF2">
          <w:pPr>
            <w:pStyle w:val="20"/>
            <w:tabs>
              <w:tab w:val="right" w:leader="dot" w:pos="8844"/>
            </w:tabs>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color w:val="auto"/>
              <w:sz w:val="28"/>
              <w:szCs w:val="28"/>
            </w:rPr>
            <w:fldChar w:fldCharType="begin"/>
          </w:r>
          <w:r>
            <w:rPr>
              <w:rFonts w:hint="default" w:ascii="Times New Roman" w:hAnsi="Times New Roman" w:cs="Times New Roman" w:eastAsiaTheme="minorEastAsia"/>
              <w:color w:val="auto"/>
              <w:sz w:val="28"/>
              <w:szCs w:val="28"/>
            </w:rPr>
            <w:instrText xml:space="preserve"> HYPERLINK \l _Toc17037 </w:instrText>
          </w:r>
          <w:r>
            <w:rPr>
              <w:rFonts w:hint="default" w:ascii="Times New Roman" w:hAnsi="Times New Roman" w:cs="Times New Roman" w:eastAsiaTheme="minorEastAsia"/>
              <w:color w:val="auto"/>
              <w:sz w:val="28"/>
              <w:szCs w:val="28"/>
            </w:rPr>
            <w:fldChar w:fldCharType="separate"/>
          </w:r>
          <w:r>
            <w:rPr>
              <w:rFonts w:hint="default" w:ascii="Times New Roman" w:hAnsi="Times New Roman" w:cs="Times New Roman" w:eastAsiaTheme="minorEastAsia"/>
              <w:color w:val="auto"/>
              <w:sz w:val="28"/>
              <w:szCs w:val="28"/>
            </w:rPr>
            <w:t>三、区域环境质量现状、环境保护目标及评价标准</w:t>
          </w:r>
          <w:r>
            <w:rPr>
              <w:rFonts w:hint="default" w:ascii="Times New Roman" w:hAnsi="Times New Roman" w:cs="Times New Roman" w:eastAsiaTheme="minorEastAsia"/>
              <w:color w:val="auto"/>
              <w:sz w:val="28"/>
              <w:szCs w:val="28"/>
            </w:rPr>
            <w:tab/>
          </w:r>
          <w:r>
            <w:rPr>
              <w:rFonts w:hint="default" w:ascii="Times New Roman" w:hAnsi="Times New Roman" w:cs="Times New Roman" w:eastAsiaTheme="minorEastAsia"/>
              <w:color w:val="auto"/>
              <w:sz w:val="28"/>
              <w:szCs w:val="28"/>
            </w:rPr>
            <w:fldChar w:fldCharType="begin"/>
          </w:r>
          <w:r>
            <w:rPr>
              <w:rFonts w:hint="default" w:ascii="Times New Roman" w:hAnsi="Times New Roman" w:cs="Times New Roman" w:eastAsiaTheme="minorEastAsia"/>
              <w:color w:val="auto"/>
              <w:sz w:val="28"/>
              <w:szCs w:val="28"/>
            </w:rPr>
            <w:instrText xml:space="preserve"> PAGEREF _Toc17037 \h </w:instrText>
          </w:r>
          <w:r>
            <w:rPr>
              <w:rFonts w:hint="default" w:ascii="Times New Roman" w:hAnsi="Times New Roman" w:cs="Times New Roman" w:eastAsiaTheme="minorEastAsia"/>
              <w:color w:val="auto"/>
              <w:sz w:val="28"/>
              <w:szCs w:val="28"/>
            </w:rPr>
            <w:fldChar w:fldCharType="separate"/>
          </w:r>
          <w:r>
            <w:rPr>
              <w:rFonts w:hint="default" w:ascii="Times New Roman" w:hAnsi="Times New Roman" w:cs="Times New Roman" w:eastAsiaTheme="minorEastAsia"/>
              <w:color w:val="auto"/>
              <w:sz w:val="28"/>
              <w:szCs w:val="28"/>
            </w:rPr>
            <w:t>37</w:t>
          </w:r>
          <w:r>
            <w:rPr>
              <w:rFonts w:hint="default" w:ascii="Times New Roman" w:hAnsi="Times New Roman" w:cs="Times New Roman" w:eastAsiaTheme="minorEastAsia"/>
              <w:color w:val="auto"/>
              <w:sz w:val="28"/>
              <w:szCs w:val="28"/>
            </w:rPr>
            <w:fldChar w:fldCharType="end"/>
          </w:r>
          <w:r>
            <w:rPr>
              <w:rFonts w:hint="default" w:ascii="Times New Roman" w:hAnsi="Times New Roman" w:cs="Times New Roman" w:eastAsiaTheme="minorEastAsia"/>
              <w:color w:val="auto"/>
              <w:sz w:val="28"/>
              <w:szCs w:val="28"/>
            </w:rPr>
            <w:fldChar w:fldCharType="end"/>
          </w:r>
        </w:p>
        <w:p w14:paraId="0B2C90AF">
          <w:pPr>
            <w:pStyle w:val="20"/>
            <w:tabs>
              <w:tab w:val="right" w:leader="dot" w:pos="8844"/>
            </w:tabs>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color w:val="auto"/>
              <w:sz w:val="28"/>
              <w:szCs w:val="28"/>
            </w:rPr>
            <w:fldChar w:fldCharType="begin"/>
          </w:r>
          <w:r>
            <w:rPr>
              <w:rFonts w:hint="default" w:ascii="Times New Roman" w:hAnsi="Times New Roman" w:cs="Times New Roman" w:eastAsiaTheme="minorEastAsia"/>
              <w:color w:val="auto"/>
              <w:sz w:val="28"/>
              <w:szCs w:val="28"/>
            </w:rPr>
            <w:instrText xml:space="preserve"> HYPERLINK \l _Toc23385 </w:instrText>
          </w:r>
          <w:r>
            <w:rPr>
              <w:rFonts w:hint="default" w:ascii="Times New Roman" w:hAnsi="Times New Roman" w:cs="Times New Roman" w:eastAsiaTheme="minorEastAsia"/>
              <w:color w:val="auto"/>
              <w:sz w:val="28"/>
              <w:szCs w:val="28"/>
            </w:rPr>
            <w:fldChar w:fldCharType="separate"/>
          </w:r>
          <w:r>
            <w:rPr>
              <w:rFonts w:hint="default" w:ascii="Times New Roman" w:hAnsi="Times New Roman" w:cs="Times New Roman" w:eastAsiaTheme="minorEastAsia"/>
              <w:color w:val="auto"/>
              <w:sz w:val="28"/>
              <w:szCs w:val="28"/>
            </w:rPr>
            <w:t>四、主要环境影响和保护措施</w:t>
          </w:r>
          <w:r>
            <w:rPr>
              <w:rFonts w:hint="default" w:ascii="Times New Roman" w:hAnsi="Times New Roman" w:cs="Times New Roman" w:eastAsiaTheme="minorEastAsia"/>
              <w:color w:val="auto"/>
              <w:sz w:val="28"/>
              <w:szCs w:val="28"/>
            </w:rPr>
            <w:tab/>
          </w:r>
          <w:r>
            <w:rPr>
              <w:rFonts w:hint="default" w:ascii="Times New Roman" w:hAnsi="Times New Roman" w:cs="Times New Roman" w:eastAsiaTheme="minorEastAsia"/>
              <w:color w:val="auto"/>
              <w:sz w:val="28"/>
              <w:szCs w:val="28"/>
            </w:rPr>
            <w:fldChar w:fldCharType="begin"/>
          </w:r>
          <w:r>
            <w:rPr>
              <w:rFonts w:hint="default" w:ascii="Times New Roman" w:hAnsi="Times New Roman" w:cs="Times New Roman" w:eastAsiaTheme="minorEastAsia"/>
              <w:color w:val="auto"/>
              <w:sz w:val="28"/>
              <w:szCs w:val="28"/>
            </w:rPr>
            <w:instrText xml:space="preserve"> PAGEREF _Toc23385 \h </w:instrText>
          </w:r>
          <w:r>
            <w:rPr>
              <w:rFonts w:hint="default" w:ascii="Times New Roman" w:hAnsi="Times New Roman" w:cs="Times New Roman" w:eastAsiaTheme="minorEastAsia"/>
              <w:color w:val="auto"/>
              <w:sz w:val="28"/>
              <w:szCs w:val="28"/>
            </w:rPr>
            <w:fldChar w:fldCharType="separate"/>
          </w:r>
          <w:r>
            <w:rPr>
              <w:rFonts w:hint="default" w:ascii="Times New Roman" w:hAnsi="Times New Roman" w:cs="Times New Roman" w:eastAsiaTheme="minorEastAsia"/>
              <w:color w:val="auto"/>
              <w:sz w:val="28"/>
              <w:szCs w:val="28"/>
            </w:rPr>
            <w:t>44</w:t>
          </w:r>
          <w:r>
            <w:rPr>
              <w:rFonts w:hint="default" w:ascii="Times New Roman" w:hAnsi="Times New Roman" w:cs="Times New Roman" w:eastAsiaTheme="minorEastAsia"/>
              <w:color w:val="auto"/>
              <w:sz w:val="28"/>
              <w:szCs w:val="28"/>
            </w:rPr>
            <w:fldChar w:fldCharType="end"/>
          </w:r>
          <w:r>
            <w:rPr>
              <w:rFonts w:hint="default" w:ascii="Times New Roman" w:hAnsi="Times New Roman" w:cs="Times New Roman" w:eastAsiaTheme="minorEastAsia"/>
              <w:color w:val="auto"/>
              <w:sz w:val="28"/>
              <w:szCs w:val="28"/>
            </w:rPr>
            <w:fldChar w:fldCharType="end"/>
          </w:r>
        </w:p>
        <w:p w14:paraId="27D3F3F5">
          <w:pPr>
            <w:pStyle w:val="20"/>
            <w:tabs>
              <w:tab w:val="right" w:leader="dot" w:pos="8844"/>
            </w:tabs>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color w:val="auto"/>
              <w:sz w:val="28"/>
              <w:szCs w:val="28"/>
            </w:rPr>
            <w:fldChar w:fldCharType="begin"/>
          </w:r>
          <w:r>
            <w:rPr>
              <w:rFonts w:hint="default" w:ascii="Times New Roman" w:hAnsi="Times New Roman" w:cs="Times New Roman" w:eastAsiaTheme="minorEastAsia"/>
              <w:color w:val="auto"/>
              <w:sz w:val="28"/>
              <w:szCs w:val="28"/>
            </w:rPr>
            <w:instrText xml:space="preserve"> HYPERLINK \l _Toc13827 </w:instrText>
          </w:r>
          <w:r>
            <w:rPr>
              <w:rFonts w:hint="default" w:ascii="Times New Roman" w:hAnsi="Times New Roman" w:cs="Times New Roman" w:eastAsiaTheme="minorEastAsia"/>
              <w:color w:val="auto"/>
              <w:sz w:val="28"/>
              <w:szCs w:val="28"/>
            </w:rPr>
            <w:fldChar w:fldCharType="separate"/>
          </w:r>
          <w:r>
            <w:rPr>
              <w:rFonts w:hint="default" w:ascii="Times New Roman" w:hAnsi="Times New Roman" w:cs="Times New Roman" w:eastAsiaTheme="minorEastAsia"/>
              <w:bCs/>
              <w:snapToGrid w:val="0"/>
              <w:color w:val="auto"/>
              <w:sz w:val="28"/>
              <w:szCs w:val="28"/>
            </w:rPr>
            <w:t>五、环境保护措施监督检查清单</w:t>
          </w:r>
          <w:r>
            <w:rPr>
              <w:rFonts w:hint="default" w:ascii="Times New Roman" w:hAnsi="Times New Roman" w:cs="Times New Roman" w:eastAsiaTheme="minorEastAsia"/>
              <w:color w:val="auto"/>
              <w:sz w:val="28"/>
              <w:szCs w:val="28"/>
            </w:rPr>
            <w:tab/>
          </w:r>
          <w:r>
            <w:rPr>
              <w:rFonts w:hint="default" w:ascii="Times New Roman" w:hAnsi="Times New Roman" w:cs="Times New Roman" w:eastAsiaTheme="minorEastAsia"/>
              <w:color w:val="auto"/>
              <w:sz w:val="28"/>
              <w:szCs w:val="28"/>
            </w:rPr>
            <w:fldChar w:fldCharType="begin"/>
          </w:r>
          <w:r>
            <w:rPr>
              <w:rFonts w:hint="default" w:ascii="Times New Roman" w:hAnsi="Times New Roman" w:cs="Times New Roman" w:eastAsiaTheme="minorEastAsia"/>
              <w:color w:val="auto"/>
              <w:sz w:val="28"/>
              <w:szCs w:val="28"/>
            </w:rPr>
            <w:instrText xml:space="preserve"> PAGEREF _Toc13827 \h </w:instrText>
          </w:r>
          <w:r>
            <w:rPr>
              <w:rFonts w:hint="default" w:ascii="Times New Roman" w:hAnsi="Times New Roman" w:cs="Times New Roman" w:eastAsiaTheme="minorEastAsia"/>
              <w:color w:val="auto"/>
              <w:sz w:val="28"/>
              <w:szCs w:val="28"/>
            </w:rPr>
            <w:fldChar w:fldCharType="separate"/>
          </w:r>
          <w:r>
            <w:rPr>
              <w:rFonts w:hint="default" w:ascii="Times New Roman" w:hAnsi="Times New Roman" w:cs="Times New Roman" w:eastAsiaTheme="minorEastAsia"/>
              <w:color w:val="auto"/>
              <w:sz w:val="28"/>
              <w:szCs w:val="28"/>
            </w:rPr>
            <w:t>79</w:t>
          </w:r>
          <w:r>
            <w:rPr>
              <w:rFonts w:hint="default" w:ascii="Times New Roman" w:hAnsi="Times New Roman" w:cs="Times New Roman" w:eastAsiaTheme="minorEastAsia"/>
              <w:color w:val="auto"/>
              <w:sz w:val="28"/>
              <w:szCs w:val="28"/>
            </w:rPr>
            <w:fldChar w:fldCharType="end"/>
          </w:r>
          <w:r>
            <w:rPr>
              <w:rFonts w:hint="default" w:ascii="Times New Roman" w:hAnsi="Times New Roman" w:cs="Times New Roman" w:eastAsiaTheme="minorEastAsia"/>
              <w:color w:val="auto"/>
              <w:sz w:val="28"/>
              <w:szCs w:val="28"/>
            </w:rPr>
            <w:fldChar w:fldCharType="end"/>
          </w:r>
        </w:p>
        <w:p w14:paraId="68C1DF72">
          <w:pPr>
            <w:pStyle w:val="20"/>
            <w:tabs>
              <w:tab w:val="right" w:leader="dot" w:pos="8844"/>
            </w:tabs>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color w:val="auto"/>
              <w:sz w:val="28"/>
              <w:szCs w:val="28"/>
            </w:rPr>
            <w:fldChar w:fldCharType="begin"/>
          </w:r>
          <w:r>
            <w:rPr>
              <w:rFonts w:hint="default" w:ascii="Times New Roman" w:hAnsi="Times New Roman" w:cs="Times New Roman" w:eastAsiaTheme="minorEastAsia"/>
              <w:color w:val="auto"/>
              <w:sz w:val="28"/>
              <w:szCs w:val="28"/>
            </w:rPr>
            <w:instrText xml:space="preserve"> HYPERLINK \l _Toc27039 </w:instrText>
          </w:r>
          <w:r>
            <w:rPr>
              <w:rFonts w:hint="default" w:ascii="Times New Roman" w:hAnsi="Times New Roman" w:cs="Times New Roman" w:eastAsiaTheme="minorEastAsia"/>
              <w:color w:val="auto"/>
              <w:sz w:val="28"/>
              <w:szCs w:val="28"/>
            </w:rPr>
            <w:fldChar w:fldCharType="separate"/>
          </w:r>
          <w:r>
            <w:rPr>
              <w:rFonts w:hint="default" w:ascii="Times New Roman" w:hAnsi="Times New Roman" w:cs="Times New Roman" w:eastAsiaTheme="minorEastAsia"/>
              <w:bCs/>
              <w:snapToGrid w:val="0"/>
              <w:color w:val="auto"/>
              <w:sz w:val="28"/>
              <w:szCs w:val="28"/>
            </w:rPr>
            <w:t>六、结论</w:t>
          </w:r>
          <w:r>
            <w:rPr>
              <w:rFonts w:hint="default" w:ascii="Times New Roman" w:hAnsi="Times New Roman" w:cs="Times New Roman" w:eastAsiaTheme="minorEastAsia"/>
              <w:color w:val="auto"/>
              <w:sz w:val="28"/>
              <w:szCs w:val="28"/>
            </w:rPr>
            <w:tab/>
          </w:r>
          <w:r>
            <w:rPr>
              <w:rFonts w:hint="default" w:ascii="Times New Roman" w:hAnsi="Times New Roman" w:cs="Times New Roman" w:eastAsiaTheme="minorEastAsia"/>
              <w:color w:val="auto"/>
              <w:sz w:val="28"/>
              <w:szCs w:val="28"/>
            </w:rPr>
            <w:fldChar w:fldCharType="begin"/>
          </w:r>
          <w:r>
            <w:rPr>
              <w:rFonts w:hint="default" w:ascii="Times New Roman" w:hAnsi="Times New Roman" w:cs="Times New Roman" w:eastAsiaTheme="minorEastAsia"/>
              <w:color w:val="auto"/>
              <w:sz w:val="28"/>
              <w:szCs w:val="28"/>
            </w:rPr>
            <w:instrText xml:space="preserve"> PAGEREF _Toc27039 \h </w:instrText>
          </w:r>
          <w:r>
            <w:rPr>
              <w:rFonts w:hint="default" w:ascii="Times New Roman" w:hAnsi="Times New Roman" w:cs="Times New Roman" w:eastAsiaTheme="minorEastAsia"/>
              <w:color w:val="auto"/>
              <w:sz w:val="28"/>
              <w:szCs w:val="28"/>
            </w:rPr>
            <w:fldChar w:fldCharType="separate"/>
          </w:r>
          <w:r>
            <w:rPr>
              <w:rFonts w:hint="default" w:ascii="Times New Roman" w:hAnsi="Times New Roman" w:cs="Times New Roman" w:eastAsiaTheme="minorEastAsia"/>
              <w:color w:val="auto"/>
              <w:sz w:val="28"/>
              <w:szCs w:val="28"/>
            </w:rPr>
            <w:t>81</w:t>
          </w:r>
          <w:r>
            <w:rPr>
              <w:rFonts w:hint="default" w:ascii="Times New Roman" w:hAnsi="Times New Roman" w:cs="Times New Roman" w:eastAsiaTheme="minorEastAsia"/>
              <w:color w:val="auto"/>
              <w:sz w:val="28"/>
              <w:szCs w:val="28"/>
            </w:rPr>
            <w:fldChar w:fldCharType="end"/>
          </w:r>
          <w:r>
            <w:rPr>
              <w:rFonts w:hint="default" w:ascii="Times New Roman" w:hAnsi="Times New Roman" w:cs="Times New Roman" w:eastAsiaTheme="minorEastAsia"/>
              <w:color w:val="auto"/>
              <w:sz w:val="28"/>
              <w:szCs w:val="28"/>
            </w:rPr>
            <w:fldChar w:fldCharType="end"/>
          </w:r>
        </w:p>
        <w:p w14:paraId="46E1B84A">
          <w:pPr>
            <w:pStyle w:val="20"/>
            <w:tabs>
              <w:tab w:val="right" w:leader="dot" w:pos="8844"/>
            </w:tabs>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color w:val="auto"/>
              <w:sz w:val="28"/>
              <w:szCs w:val="28"/>
            </w:rPr>
            <w:fldChar w:fldCharType="begin"/>
          </w:r>
          <w:r>
            <w:rPr>
              <w:rFonts w:hint="default" w:ascii="Times New Roman" w:hAnsi="Times New Roman" w:cs="Times New Roman" w:eastAsiaTheme="minorEastAsia"/>
              <w:color w:val="auto"/>
              <w:sz w:val="28"/>
              <w:szCs w:val="28"/>
            </w:rPr>
            <w:instrText xml:space="preserve"> HYPERLINK \l _Toc6897 </w:instrText>
          </w:r>
          <w:r>
            <w:rPr>
              <w:rFonts w:hint="default" w:ascii="Times New Roman" w:hAnsi="Times New Roman" w:cs="Times New Roman" w:eastAsiaTheme="minorEastAsia"/>
              <w:color w:val="auto"/>
              <w:sz w:val="28"/>
              <w:szCs w:val="28"/>
            </w:rPr>
            <w:fldChar w:fldCharType="separate"/>
          </w:r>
          <w:r>
            <w:rPr>
              <w:rFonts w:hint="default" w:ascii="Times New Roman" w:hAnsi="Times New Roman" w:cs="Times New Roman" w:eastAsiaTheme="minorEastAsia"/>
              <w:snapToGrid w:val="0"/>
              <w:color w:val="auto"/>
              <w:sz w:val="28"/>
              <w:szCs w:val="28"/>
            </w:rPr>
            <w:t>附表</w:t>
          </w:r>
          <w:r>
            <w:rPr>
              <w:rFonts w:hint="default" w:ascii="Times New Roman" w:hAnsi="Times New Roman" w:cs="Times New Roman" w:eastAsiaTheme="minorEastAsia"/>
              <w:color w:val="auto"/>
              <w:sz w:val="28"/>
              <w:szCs w:val="28"/>
            </w:rPr>
            <w:tab/>
          </w:r>
          <w:r>
            <w:rPr>
              <w:rFonts w:hint="default" w:ascii="Times New Roman" w:hAnsi="Times New Roman" w:cs="Times New Roman" w:eastAsiaTheme="minorEastAsia"/>
              <w:color w:val="auto"/>
              <w:sz w:val="28"/>
              <w:szCs w:val="28"/>
            </w:rPr>
            <w:fldChar w:fldCharType="begin"/>
          </w:r>
          <w:r>
            <w:rPr>
              <w:rFonts w:hint="default" w:ascii="Times New Roman" w:hAnsi="Times New Roman" w:cs="Times New Roman" w:eastAsiaTheme="minorEastAsia"/>
              <w:color w:val="auto"/>
              <w:sz w:val="28"/>
              <w:szCs w:val="28"/>
            </w:rPr>
            <w:instrText xml:space="preserve"> PAGEREF _Toc6897 \h </w:instrText>
          </w:r>
          <w:r>
            <w:rPr>
              <w:rFonts w:hint="default" w:ascii="Times New Roman" w:hAnsi="Times New Roman" w:cs="Times New Roman" w:eastAsiaTheme="minorEastAsia"/>
              <w:color w:val="auto"/>
              <w:sz w:val="28"/>
              <w:szCs w:val="28"/>
            </w:rPr>
            <w:fldChar w:fldCharType="separate"/>
          </w:r>
          <w:r>
            <w:rPr>
              <w:rFonts w:hint="default" w:ascii="Times New Roman" w:hAnsi="Times New Roman" w:cs="Times New Roman" w:eastAsiaTheme="minorEastAsia"/>
              <w:color w:val="auto"/>
              <w:sz w:val="28"/>
              <w:szCs w:val="28"/>
            </w:rPr>
            <w:t>82</w:t>
          </w:r>
          <w:r>
            <w:rPr>
              <w:rFonts w:hint="default" w:ascii="Times New Roman" w:hAnsi="Times New Roman" w:cs="Times New Roman" w:eastAsiaTheme="minorEastAsia"/>
              <w:color w:val="auto"/>
              <w:sz w:val="28"/>
              <w:szCs w:val="28"/>
            </w:rPr>
            <w:fldChar w:fldCharType="end"/>
          </w:r>
          <w:r>
            <w:rPr>
              <w:rFonts w:hint="default" w:ascii="Times New Roman" w:hAnsi="Times New Roman" w:cs="Times New Roman" w:eastAsiaTheme="minorEastAsia"/>
              <w:color w:val="auto"/>
              <w:sz w:val="28"/>
              <w:szCs w:val="28"/>
            </w:rPr>
            <w:fldChar w:fldCharType="end"/>
          </w:r>
        </w:p>
        <w:p w14:paraId="4425761B">
          <w:pPr>
            <w:pStyle w:val="20"/>
            <w:tabs>
              <w:tab w:val="right" w:leader="dot" w:pos="8844"/>
            </w:tabs>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color w:val="auto"/>
              <w:sz w:val="28"/>
              <w:szCs w:val="28"/>
            </w:rPr>
            <w:fldChar w:fldCharType="begin"/>
          </w:r>
          <w:r>
            <w:rPr>
              <w:rFonts w:hint="default" w:ascii="Times New Roman" w:hAnsi="Times New Roman" w:cs="Times New Roman" w:eastAsiaTheme="minorEastAsia"/>
              <w:color w:val="auto"/>
              <w:sz w:val="28"/>
              <w:szCs w:val="28"/>
            </w:rPr>
            <w:instrText xml:space="preserve"> HYPERLINK \l _Toc7613 </w:instrText>
          </w:r>
          <w:r>
            <w:rPr>
              <w:rFonts w:hint="default" w:ascii="Times New Roman" w:hAnsi="Times New Roman" w:cs="Times New Roman" w:eastAsiaTheme="minorEastAsia"/>
              <w:color w:val="auto"/>
              <w:sz w:val="28"/>
              <w:szCs w:val="28"/>
            </w:rPr>
            <w:fldChar w:fldCharType="separate"/>
          </w:r>
          <w:r>
            <w:rPr>
              <w:rFonts w:hint="default" w:ascii="Times New Roman" w:hAnsi="Times New Roman" w:cs="Times New Roman" w:eastAsiaTheme="minorEastAsia"/>
              <w:snapToGrid w:val="0"/>
              <w:color w:val="auto"/>
              <w:sz w:val="28"/>
              <w:szCs w:val="28"/>
            </w:rPr>
            <w:t>建设项目污染物排放量汇总表</w:t>
          </w:r>
          <w:r>
            <w:rPr>
              <w:rFonts w:hint="default" w:ascii="Times New Roman" w:hAnsi="Times New Roman" w:cs="Times New Roman" w:eastAsiaTheme="minorEastAsia"/>
              <w:color w:val="auto"/>
              <w:sz w:val="28"/>
              <w:szCs w:val="28"/>
            </w:rPr>
            <w:tab/>
          </w:r>
          <w:r>
            <w:rPr>
              <w:rFonts w:hint="default" w:ascii="Times New Roman" w:hAnsi="Times New Roman" w:cs="Times New Roman" w:eastAsiaTheme="minorEastAsia"/>
              <w:color w:val="auto"/>
              <w:sz w:val="28"/>
              <w:szCs w:val="28"/>
            </w:rPr>
            <w:fldChar w:fldCharType="begin"/>
          </w:r>
          <w:r>
            <w:rPr>
              <w:rFonts w:hint="default" w:ascii="Times New Roman" w:hAnsi="Times New Roman" w:cs="Times New Roman" w:eastAsiaTheme="minorEastAsia"/>
              <w:color w:val="auto"/>
              <w:sz w:val="28"/>
              <w:szCs w:val="28"/>
            </w:rPr>
            <w:instrText xml:space="preserve"> PAGEREF _Toc7613 \h </w:instrText>
          </w:r>
          <w:r>
            <w:rPr>
              <w:rFonts w:hint="default" w:ascii="Times New Roman" w:hAnsi="Times New Roman" w:cs="Times New Roman" w:eastAsiaTheme="minorEastAsia"/>
              <w:color w:val="auto"/>
              <w:sz w:val="28"/>
              <w:szCs w:val="28"/>
            </w:rPr>
            <w:fldChar w:fldCharType="separate"/>
          </w:r>
          <w:r>
            <w:rPr>
              <w:rFonts w:hint="default" w:ascii="Times New Roman" w:hAnsi="Times New Roman" w:cs="Times New Roman" w:eastAsiaTheme="minorEastAsia"/>
              <w:color w:val="auto"/>
              <w:sz w:val="28"/>
              <w:szCs w:val="28"/>
            </w:rPr>
            <w:t>82</w:t>
          </w:r>
          <w:r>
            <w:rPr>
              <w:rFonts w:hint="default" w:ascii="Times New Roman" w:hAnsi="Times New Roman" w:cs="Times New Roman" w:eastAsiaTheme="minorEastAsia"/>
              <w:color w:val="auto"/>
              <w:sz w:val="28"/>
              <w:szCs w:val="28"/>
            </w:rPr>
            <w:fldChar w:fldCharType="end"/>
          </w:r>
          <w:r>
            <w:rPr>
              <w:rFonts w:hint="default" w:ascii="Times New Roman" w:hAnsi="Times New Roman" w:cs="Times New Roman" w:eastAsiaTheme="minorEastAsia"/>
              <w:color w:val="auto"/>
              <w:sz w:val="28"/>
              <w:szCs w:val="28"/>
            </w:rPr>
            <w:fldChar w:fldCharType="end"/>
          </w:r>
        </w:p>
        <w:p w14:paraId="41580B8B">
          <w:pPr>
            <w:adjustRightInd w:val="0"/>
            <w:snapToGrid w:val="0"/>
            <w:spacing w:line="400" w:lineRule="exact"/>
            <w:jc w:val="center"/>
            <w:rPr>
              <w:b/>
              <w:bCs/>
              <w:color w:val="auto"/>
              <w:sz w:val="24"/>
            </w:rPr>
          </w:pPr>
          <w:r>
            <w:rPr>
              <w:rFonts w:hint="default" w:ascii="Times New Roman" w:hAnsi="Times New Roman" w:cs="Times New Roman" w:eastAsiaTheme="minorEastAsia"/>
              <w:color w:val="auto"/>
              <w:sz w:val="28"/>
              <w:szCs w:val="28"/>
            </w:rPr>
            <w:fldChar w:fldCharType="end"/>
          </w:r>
          <w:r>
            <w:rPr>
              <w:b/>
              <w:bCs/>
              <w:color w:val="auto"/>
              <w:sz w:val="24"/>
            </w:rPr>
            <w:t>附图</w:t>
          </w:r>
        </w:p>
        <w:p w14:paraId="7343E0E5">
          <w:pPr>
            <w:adjustRightInd w:val="0"/>
            <w:snapToGrid w:val="0"/>
            <w:spacing w:line="400" w:lineRule="exact"/>
            <w:rPr>
              <w:color w:val="auto"/>
              <w:sz w:val="24"/>
            </w:rPr>
          </w:pPr>
          <w:r>
            <w:rPr>
              <w:color w:val="auto"/>
              <w:sz w:val="24"/>
            </w:rPr>
            <w:t>附图</w:t>
          </w:r>
          <w:r>
            <w:rPr>
              <w:rFonts w:hint="eastAsia"/>
              <w:color w:val="auto"/>
              <w:sz w:val="24"/>
              <w:lang w:val="en-US" w:eastAsia="zh-CN"/>
            </w:rPr>
            <w:t>一</w:t>
          </w:r>
          <w:r>
            <w:rPr>
              <w:color w:val="auto"/>
              <w:sz w:val="24"/>
            </w:rPr>
            <w:t xml:space="preserve">  地理位置示意图</w:t>
          </w:r>
        </w:p>
        <w:p w14:paraId="0ECF9168">
          <w:pPr>
            <w:adjustRightInd w:val="0"/>
            <w:snapToGrid w:val="0"/>
            <w:spacing w:line="400" w:lineRule="exact"/>
            <w:rPr>
              <w:color w:val="auto"/>
              <w:sz w:val="24"/>
            </w:rPr>
          </w:pPr>
          <w:r>
            <w:rPr>
              <w:color w:val="auto"/>
              <w:sz w:val="24"/>
            </w:rPr>
            <w:t>附图</w:t>
          </w:r>
          <w:r>
            <w:rPr>
              <w:rFonts w:hint="eastAsia"/>
              <w:color w:val="auto"/>
              <w:sz w:val="24"/>
              <w:lang w:val="en-US" w:eastAsia="zh-CN"/>
            </w:rPr>
            <w:t>二</w:t>
          </w:r>
          <w:r>
            <w:rPr>
              <w:color w:val="auto"/>
              <w:sz w:val="24"/>
            </w:rPr>
            <w:t xml:space="preserve">  </w:t>
          </w:r>
          <w:r>
            <w:rPr>
              <w:rFonts w:hint="eastAsia"/>
              <w:color w:val="auto"/>
              <w:sz w:val="24"/>
            </w:rPr>
            <w:t>项目环境保护目标分布图</w:t>
          </w:r>
        </w:p>
        <w:p w14:paraId="4070311D">
          <w:pPr>
            <w:adjustRightInd w:val="0"/>
            <w:snapToGrid w:val="0"/>
            <w:spacing w:line="400" w:lineRule="exact"/>
            <w:rPr>
              <w:color w:val="auto"/>
              <w:sz w:val="24"/>
            </w:rPr>
          </w:pPr>
          <w:r>
            <w:rPr>
              <w:color w:val="auto"/>
              <w:sz w:val="24"/>
            </w:rPr>
            <w:t>附图</w:t>
          </w:r>
          <w:r>
            <w:rPr>
              <w:rFonts w:hint="eastAsia"/>
              <w:color w:val="auto"/>
              <w:sz w:val="24"/>
              <w:lang w:val="en-US" w:eastAsia="zh-CN"/>
            </w:rPr>
            <w:t>三</w:t>
          </w:r>
          <w:r>
            <w:rPr>
              <w:color w:val="auto"/>
              <w:sz w:val="24"/>
            </w:rPr>
            <w:t xml:space="preserve">  </w:t>
          </w:r>
          <w:r>
            <w:rPr>
              <w:rFonts w:hint="eastAsia"/>
              <w:color w:val="auto"/>
              <w:sz w:val="24"/>
            </w:rPr>
            <w:t>项目周边企业分布图</w:t>
          </w:r>
        </w:p>
        <w:p w14:paraId="7B85EA53">
          <w:pPr>
            <w:adjustRightInd w:val="0"/>
            <w:snapToGrid w:val="0"/>
            <w:spacing w:line="400" w:lineRule="exact"/>
            <w:rPr>
              <w:color w:val="auto"/>
              <w:sz w:val="24"/>
            </w:rPr>
          </w:pPr>
          <w:r>
            <w:rPr>
              <w:color w:val="auto"/>
              <w:sz w:val="24"/>
            </w:rPr>
            <w:t>附图</w:t>
          </w:r>
          <w:r>
            <w:rPr>
              <w:rFonts w:hint="eastAsia"/>
              <w:color w:val="auto"/>
              <w:sz w:val="24"/>
              <w:lang w:val="en-US" w:eastAsia="zh-CN"/>
            </w:rPr>
            <w:t>四</w:t>
          </w:r>
          <w:r>
            <w:rPr>
              <w:color w:val="auto"/>
              <w:sz w:val="24"/>
            </w:rPr>
            <w:t xml:space="preserve"> </w:t>
          </w:r>
          <w:r>
            <w:rPr>
              <w:rFonts w:hint="eastAsia"/>
              <w:color w:val="auto"/>
              <w:sz w:val="24"/>
              <w:lang w:val="en-US" w:eastAsia="zh-CN"/>
            </w:rPr>
            <w:t xml:space="preserve"> </w:t>
          </w:r>
          <w:r>
            <w:rPr>
              <w:rFonts w:hint="eastAsia"/>
              <w:color w:val="auto"/>
              <w:sz w:val="24"/>
            </w:rPr>
            <w:t>项目厂区总平面布置图</w:t>
          </w:r>
        </w:p>
        <w:p w14:paraId="43249AB7">
          <w:pPr>
            <w:adjustRightInd w:val="0"/>
            <w:snapToGrid w:val="0"/>
            <w:spacing w:line="400" w:lineRule="exact"/>
            <w:rPr>
              <w:rFonts w:hint="eastAsia"/>
              <w:color w:val="auto"/>
              <w:sz w:val="24"/>
            </w:rPr>
          </w:pPr>
          <w:r>
            <w:rPr>
              <w:color w:val="auto"/>
              <w:sz w:val="24"/>
            </w:rPr>
            <w:t>附图</w:t>
          </w:r>
          <w:r>
            <w:rPr>
              <w:rFonts w:hint="eastAsia"/>
              <w:color w:val="auto"/>
              <w:sz w:val="24"/>
              <w:lang w:val="en-US" w:eastAsia="zh-CN"/>
            </w:rPr>
            <w:t>五</w:t>
          </w:r>
          <w:r>
            <w:rPr>
              <w:color w:val="auto"/>
              <w:sz w:val="24"/>
            </w:rPr>
            <w:t xml:space="preserve">  </w:t>
          </w:r>
          <w:r>
            <w:rPr>
              <w:rFonts w:hint="eastAsia"/>
              <w:color w:val="auto"/>
              <w:sz w:val="24"/>
            </w:rPr>
            <w:t>项目厂区平面布置图</w:t>
          </w:r>
        </w:p>
        <w:p w14:paraId="5B5AA688">
          <w:pPr>
            <w:adjustRightInd w:val="0"/>
            <w:snapToGrid w:val="0"/>
            <w:spacing w:line="400" w:lineRule="exact"/>
            <w:rPr>
              <w:rFonts w:hint="eastAsia" w:eastAsia="宋体"/>
              <w:color w:val="auto"/>
              <w:sz w:val="24"/>
              <w:lang w:eastAsia="zh-CN"/>
            </w:rPr>
          </w:pPr>
          <w:r>
            <w:rPr>
              <w:color w:val="auto"/>
              <w:sz w:val="24"/>
            </w:rPr>
            <w:t>附图</w:t>
          </w:r>
          <w:r>
            <w:rPr>
              <w:rFonts w:hint="eastAsia"/>
              <w:color w:val="auto"/>
              <w:sz w:val="24"/>
              <w:lang w:val="en-US" w:eastAsia="zh-CN"/>
            </w:rPr>
            <w:t>六</w:t>
          </w:r>
          <w:r>
            <w:rPr>
              <w:color w:val="auto"/>
              <w:sz w:val="24"/>
            </w:rPr>
            <w:t xml:space="preserve">  </w:t>
          </w:r>
          <w:r>
            <w:rPr>
              <w:rFonts w:hint="eastAsia"/>
              <w:color w:val="auto"/>
              <w:sz w:val="24"/>
            </w:rPr>
            <w:t>项目厂区</w:t>
          </w:r>
          <w:r>
            <w:rPr>
              <w:rFonts w:hint="eastAsia"/>
              <w:color w:val="auto"/>
              <w:sz w:val="24"/>
              <w:lang w:val="en-US" w:eastAsia="zh-CN"/>
            </w:rPr>
            <w:t>分区防渗图</w:t>
          </w:r>
        </w:p>
        <w:p w14:paraId="2C9C9206">
          <w:pPr>
            <w:adjustRightInd w:val="0"/>
            <w:snapToGrid w:val="0"/>
            <w:spacing w:line="400" w:lineRule="exact"/>
            <w:rPr>
              <w:rFonts w:hint="eastAsia"/>
              <w:color w:val="auto"/>
              <w:sz w:val="24"/>
            </w:rPr>
          </w:pPr>
          <w:r>
            <w:rPr>
              <w:color w:val="auto"/>
              <w:sz w:val="24"/>
            </w:rPr>
            <w:t>附图</w:t>
          </w:r>
          <w:r>
            <w:rPr>
              <w:rFonts w:hint="eastAsia"/>
              <w:color w:val="auto"/>
              <w:sz w:val="24"/>
              <w:lang w:val="en-US" w:eastAsia="zh-CN"/>
            </w:rPr>
            <w:t>七</w:t>
          </w:r>
          <w:r>
            <w:rPr>
              <w:color w:val="auto"/>
              <w:sz w:val="24"/>
            </w:rPr>
            <w:t xml:space="preserve">  </w:t>
          </w:r>
          <w:r>
            <w:rPr>
              <w:rFonts w:hint="eastAsia"/>
              <w:color w:val="auto"/>
              <w:sz w:val="24"/>
            </w:rPr>
            <w:t>本项目在清丰县先进制造业开发区发展规划图中位置</w:t>
          </w:r>
        </w:p>
        <w:p w14:paraId="642A6B99">
          <w:pPr>
            <w:adjustRightInd w:val="0"/>
            <w:snapToGrid w:val="0"/>
            <w:spacing w:line="400" w:lineRule="exact"/>
            <w:rPr>
              <w:rFonts w:hint="eastAsia"/>
              <w:color w:val="auto"/>
              <w:sz w:val="24"/>
            </w:rPr>
          </w:pPr>
          <w:r>
            <w:rPr>
              <w:color w:val="auto"/>
              <w:sz w:val="24"/>
            </w:rPr>
            <w:t>附图</w:t>
          </w:r>
          <w:r>
            <w:rPr>
              <w:rFonts w:hint="eastAsia"/>
              <w:color w:val="auto"/>
              <w:sz w:val="24"/>
              <w:lang w:val="en-US" w:eastAsia="zh-CN"/>
            </w:rPr>
            <w:t>八</w:t>
          </w:r>
          <w:r>
            <w:rPr>
              <w:color w:val="auto"/>
              <w:sz w:val="24"/>
            </w:rPr>
            <w:t xml:space="preserve">  </w:t>
          </w:r>
          <w:r>
            <w:rPr>
              <w:rFonts w:hint="eastAsia"/>
              <w:color w:val="auto"/>
              <w:sz w:val="24"/>
            </w:rPr>
            <w:t>本项目在清丰县城乡总体规划中位置关系图</w:t>
          </w:r>
        </w:p>
        <w:p w14:paraId="74C0657F">
          <w:pPr>
            <w:adjustRightInd w:val="0"/>
            <w:snapToGrid w:val="0"/>
            <w:spacing w:line="400" w:lineRule="exact"/>
            <w:rPr>
              <w:rFonts w:hint="eastAsia"/>
              <w:color w:val="auto"/>
              <w:sz w:val="24"/>
            </w:rPr>
          </w:pPr>
          <w:r>
            <w:rPr>
              <w:rFonts w:hint="eastAsia"/>
              <w:color w:val="auto"/>
              <w:sz w:val="24"/>
            </w:rPr>
            <w:t>附图</w:t>
          </w:r>
          <w:r>
            <w:rPr>
              <w:rFonts w:hint="eastAsia"/>
              <w:color w:val="auto"/>
              <w:sz w:val="24"/>
              <w:lang w:val="en-US" w:eastAsia="zh-CN"/>
            </w:rPr>
            <w:t>九</w:t>
          </w:r>
          <w:r>
            <w:rPr>
              <w:rFonts w:hint="eastAsia"/>
              <w:color w:val="auto"/>
              <w:sz w:val="24"/>
            </w:rPr>
            <w:t xml:space="preserve">  本项目与濮阳市生态环境管控单元位置关系图</w:t>
          </w:r>
        </w:p>
        <w:p w14:paraId="1ADED33C">
          <w:pPr>
            <w:adjustRightInd w:val="0"/>
            <w:snapToGrid w:val="0"/>
            <w:spacing w:line="400" w:lineRule="exact"/>
            <w:rPr>
              <w:rFonts w:hint="eastAsia"/>
              <w:color w:val="auto"/>
              <w:sz w:val="24"/>
            </w:rPr>
          </w:pPr>
          <w:r>
            <w:rPr>
              <w:rFonts w:hint="eastAsia"/>
              <w:color w:val="auto"/>
              <w:sz w:val="24"/>
            </w:rPr>
            <w:t>附图</w:t>
          </w:r>
          <w:r>
            <w:rPr>
              <w:rFonts w:hint="eastAsia"/>
              <w:color w:val="auto"/>
              <w:sz w:val="24"/>
              <w:lang w:val="en-US" w:eastAsia="zh-CN"/>
            </w:rPr>
            <w:t>十</w:t>
          </w:r>
          <w:r>
            <w:rPr>
              <w:rFonts w:hint="eastAsia"/>
              <w:color w:val="auto"/>
              <w:sz w:val="24"/>
            </w:rPr>
            <w:t xml:space="preserve">  本项目与濮阳市工业污染重点管控区位置关系图</w:t>
          </w:r>
        </w:p>
        <w:p w14:paraId="6321C301">
          <w:pPr>
            <w:adjustRightInd w:val="0"/>
            <w:snapToGrid w:val="0"/>
            <w:spacing w:line="400" w:lineRule="exact"/>
            <w:rPr>
              <w:rFonts w:hint="eastAsia"/>
              <w:color w:val="auto"/>
              <w:sz w:val="24"/>
            </w:rPr>
          </w:pPr>
          <w:r>
            <w:rPr>
              <w:rFonts w:hint="eastAsia"/>
              <w:color w:val="auto"/>
              <w:sz w:val="24"/>
            </w:rPr>
            <w:t>附图十</w:t>
          </w:r>
          <w:r>
            <w:rPr>
              <w:rFonts w:hint="eastAsia"/>
              <w:color w:val="auto"/>
              <w:sz w:val="24"/>
              <w:lang w:val="en-US" w:eastAsia="zh-CN"/>
            </w:rPr>
            <w:t>一</w:t>
          </w:r>
          <w:r>
            <w:rPr>
              <w:rFonts w:hint="eastAsia"/>
              <w:color w:val="auto"/>
              <w:sz w:val="24"/>
            </w:rPr>
            <w:t xml:space="preserve">  本项目与濮阳市高排放重点管控区位置关系图</w:t>
          </w:r>
        </w:p>
        <w:p w14:paraId="3257BD46">
          <w:pPr>
            <w:adjustRightInd w:val="0"/>
            <w:snapToGrid w:val="0"/>
            <w:spacing w:line="400" w:lineRule="exact"/>
            <w:rPr>
              <w:rFonts w:hint="eastAsia"/>
              <w:color w:val="auto"/>
              <w:sz w:val="24"/>
            </w:rPr>
          </w:pPr>
          <w:r>
            <w:rPr>
              <w:rFonts w:hint="eastAsia"/>
              <w:color w:val="auto"/>
              <w:sz w:val="24"/>
            </w:rPr>
            <w:t>附图十</w:t>
          </w:r>
          <w:r>
            <w:rPr>
              <w:rFonts w:hint="eastAsia"/>
              <w:color w:val="auto"/>
              <w:sz w:val="24"/>
              <w:lang w:val="en-US" w:eastAsia="zh-CN"/>
            </w:rPr>
            <w:t>二</w:t>
          </w:r>
          <w:r>
            <w:rPr>
              <w:rFonts w:hint="eastAsia"/>
              <w:color w:val="auto"/>
              <w:sz w:val="24"/>
            </w:rPr>
            <w:t xml:space="preserve">  本项目与濮阳市受体敏感重点管控区位置关系图</w:t>
          </w:r>
        </w:p>
        <w:p w14:paraId="4A67C8B7">
          <w:pPr>
            <w:adjustRightInd w:val="0"/>
            <w:snapToGrid w:val="0"/>
            <w:spacing w:line="400" w:lineRule="exact"/>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附图十三  项目与八里庄水源地保护区距离关系图</w:t>
          </w:r>
        </w:p>
        <w:p w14:paraId="60AB8CF9">
          <w:pPr>
            <w:adjustRightInd w:val="0"/>
            <w:snapToGrid w:val="0"/>
            <w:spacing w:line="400" w:lineRule="exact"/>
            <w:rPr>
              <w:rFonts w:hint="default"/>
              <w:color w:val="auto"/>
              <w:sz w:val="24"/>
            </w:rPr>
          </w:pPr>
          <w:r>
            <w:rPr>
              <w:rFonts w:hint="eastAsia"/>
              <w:color w:val="auto"/>
              <w:sz w:val="24"/>
            </w:rPr>
            <w:t>附图十</w:t>
          </w:r>
          <w:r>
            <w:rPr>
              <w:rFonts w:hint="eastAsia"/>
              <w:color w:val="auto"/>
              <w:sz w:val="24"/>
              <w:lang w:val="en-US" w:eastAsia="zh-CN"/>
            </w:rPr>
            <w:t>四</w:t>
          </w:r>
          <w:r>
            <w:rPr>
              <w:rFonts w:hint="eastAsia"/>
              <w:color w:val="auto"/>
              <w:sz w:val="24"/>
            </w:rPr>
            <w:t xml:space="preserve">  项目现场照片</w:t>
          </w:r>
        </w:p>
        <w:p w14:paraId="4B6C0678">
          <w:pPr>
            <w:adjustRightInd w:val="0"/>
            <w:snapToGrid w:val="0"/>
            <w:spacing w:line="400" w:lineRule="exact"/>
            <w:jc w:val="center"/>
            <w:rPr>
              <w:b/>
              <w:bCs/>
              <w:color w:val="auto"/>
              <w:sz w:val="24"/>
            </w:rPr>
          </w:pPr>
        </w:p>
        <w:p w14:paraId="4AFA38A2">
          <w:pPr>
            <w:adjustRightInd w:val="0"/>
            <w:snapToGrid w:val="0"/>
            <w:spacing w:line="400" w:lineRule="exact"/>
            <w:jc w:val="center"/>
            <w:rPr>
              <w:b/>
              <w:bCs/>
              <w:color w:val="auto"/>
              <w:sz w:val="24"/>
            </w:rPr>
          </w:pPr>
          <w:r>
            <w:rPr>
              <w:b/>
              <w:bCs/>
              <w:color w:val="auto"/>
              <w:sz w:val="24"/>
            </w:rPr>
            <w:t>附件</w:t>
          </w:r>
        </w:p>
        <w:p w14:paraId="720CD16F">
          <w:pPr>
            <w:adjustRightInd w:val="0"/>
            <w:snapToGrid w:val="0"/>
            <w:spacing w:line="400" w:lineRule="exact"/>
            <w:rPr>
              <w:color w:val="auto"/>
              <w:sz w:val="24"/>
            </w:rPr>
          </w:pPr>
          <w:r>
            <w:rPr>
              <w:color w:val="auto"/>
              <w:sz w:val="24"/>
            </w:rPr>
            <w:t>附件1  委托书</w:t>
          </w:r>
        </w:p>
        <w:p w14:paraId="23458B2A">
          <w:pPr>
            <w:adjustRightInd w:val="0"/>
            <w:snapToGrid w:val="0"/>
            <w:spacing w:line="400" w:lineRule="exact"/>
            <w:rPr>
              <w:color w:val="auto"/>
              <w:sz w:val="24"/>
            </w:rPr>
          </w:pPr>
          <w:r>
            <w:rPr>
              <w:color w:val="auto"/>
              <w:sz w:val="24"/>
            </w:rPr>
            <w:t>附件2  河南省企业投资项目备案证明</w:t>
          </w:r>
        </w:p>
        <w:p w14:paraId="33E23C12">
          <w:pPr>
            <w:adjustRightInd w:val="0"/>
            <w:snapToGrid w:val="0"/>
            <w:spacing w:line="400" w:lineRule="exact"/>
            <w:rPr>
              <w:color w:val="auto"/>
              <w:sz w:val="24"/>
            </w:rPr>
          </w:pPr>
          <w:r>
            <w:rPr>
              <w:color w:val="auto"/>
              <w:sz w:val="24"/>
            </w:rPr>
            <w:t xml:space="preserve">附件3  </w:t>
          </w:r>
          <w:r>
            <w:rPr>
              <w:rFonts w:hint="eastAsia"/>
              <w:color w:val="auto"/>
              <w:sz w:val="24"/>
            </w:rPr>
            <w:t>项目入驻证明</w:t>
          </w:r>
        </w:p>
        <w:p w14:paraId="1A98A162">
          <w:pPr>
            <w:adjustRightInd w:val="0"/>
            <w:snapToGrid w:val="0"/>
            <w:spacing w:line="400" w:lineRule="exact"/>
            <w:rPr>
              <w:rFonts w:hint="eastAsia"/>
              <w:color w:val="auto"/>
              <w:sz w:val="24"/>
            </w:rPr>
          </w:pPr>
          <w:r>
            <w:rPr>
              <w:color w:val="auto"/>
              <w:sz w:val="24"/>
            </w:rPr>
            <w:t xml:space="preserve">附件4  </w:t>
          </w:r>
          <w:r>
            <w:rPr>
              <w:rFonts w:hint="eastAsia"/>
              <w:color w:val="auto"/>
              <w:sz w:val="24"/>
            </w:rPr>
            <w:t>厂房租赁合同</w:t>
          </w:r>
        </w:p>
        <w:p w14:paraId="537AB850">
          <w:pPr>
            <w:adjustRightInd w:val="0"/>
            <w:snapToGrid w:val="0"/>
            <w:spacing w:line="400" w:lineRule="exact"/>
            <w:rPr>
              <w:rFonts w:hint="eastAsia"/>
              <w:color w:val="auto"/>
              <w:sz w:val="24"/>
            </w:rPr>
          </w:pPr>
          <w:r>
            <w:rPr>
              <w:rFonts w:hint="default"/>
              <w:color w:val="auto"/>
              <w:sz w:val="24"/>
              <w:lang w:val="en-US" w:eastAsia="zh-CN"/>
            </w:rPr>
            <w:t>附件</w:t>
          </w:r>
          <w:r>
            <w:rPr>
              <w:rFonts w:hint="eastAsia"/>
              <w:color w:val="auto"/>
              <w:sz w:val="24"/>
              <w:lang w:val="en-US" w:eastAsia="zh-CN"/>
            </w:rPr>
            <w:t>5</w:t>
          </w:r>
          <w:r>
            <w:rPr>
              <w:rFonts w:hint="default"/>
              <w:color w:val="auto"/>
              <w:sz w:val="24"/>
              <w:lang w:val="en-US" w:eastAsia="zh-CN"/>
            </w:rPr>
            <w:t xml:space="preserve">  </w:t>
          </w:r>
          <w:r>
            <w:rPr>
              <w:rFonts w:hint="eastAsia"/>
              <w:color w:val="auto"/>
              <w:sz w:val="24"/>
              <w:lang w:val="en-US" w:eastAsia="zh-CN"/>
            </w:rPr>
            <w:t>设备转让合同</w:t>
          </w:r>
        </w:p>
        <w:p w14:paraId="5B7FEFDE">
          <w:pPr>
            <w:adjustRightInd w:val="0"/>
            <w:snapToGrid w:val="0"/>
            <w:spacing w:line="400" w:lineRule="exact"/>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附件</w:t>
          </w:r>
          <w:r>
            <w:rPr>
              <w:rFonts w:hint="eastAsia" w:cs="Times New Roman"/>
              <w:color w:val="auto"/>
              <w:sz w:val="24"/>
              <w:lang w:val="en-US" w:eastAsia="zh-CN"/>
            </w:rPr>
            <w:t>6</w:t>
          </w:r>
          <w:r>
            <w:rPr>
              <w:rFonts w:hint="default" w:ascii="Times New Roman" w:hAnsi="Times New Roman" w:eastAsia="宋体" w:cs="Times New Roman"/>
              <w:color w:val="auto"/>
              <w:sz w:val="24"/>
              <w:lang w:val="en-US" w:eastAsia="zh-CN"/>
            </w:rPr>
            <w:t xml:space="preserve">  </w:t>
          </w:r>
          <w:r>
            <w:rPr>
              <w:rFonts w:hint="eastAsia" w:ascii="Times New Roman" w:hAnsi="Times New Roman" w:eastAsia="宋体" w:cs="Times New Roman"/>
              <w:color w:val="auto"/>
              <w:sz w:val="24"/>
              <w:lang w:val="en-US" w:eastAsia="zh-CN"/>
            </w:rPr>
            <w:t>厂房出租承诺书</w:t>
          </w:r>
        </w:p>
        <w:p w14:paraId="0458880C">
          <w:pPr>
            <w:adjustRightInd w:val="0"/>
            <w:snapToGrid w:val="0"/>
            <w:spacing w:line="400" w:lineRule="exact"/>
            <w:rPr>
              <w:color w:val="auto"/>
              <w:sz w:val="24"/>
            </w:rPr>
          </w:pPr>
          <w:r>
            <w:rPr>
              <w:color w:val="auto"/>
              <w:sz w:val="24"/>
            </w:rPr>
            <w:t>附件</w:t>
          </w:r>
          <w:r>
            <w:rPr>
              <w:rFonts w:hint="eastAsia"/>
              <w:color w:val="auto"/>
              <w:sz w:val="24"/>
              <w:lang w:val="en-US" w:eastAsia="zh-CN"/>
            </w:rPr>
            <w:t>7</w:t>
          </w:r>
          <w:r>
            <w:rPr>
              <w:color w:val="auto"/>
              <w:sz w:val="24"/>
            </w:rPr>
            <w:t xml:space="preserve">  </w:t>
          </w:r>
          <w:r>
            <w:rPr>
              <w:rFonts w:hint="eastAsia"/>
              <w:color w:val="auto"/>
              <w:sz w:val="24"/>
            </w:rPr>
            <w:t>项目涂料成分报告</w:t>
          </w:r>
        </w:p>
        <w:p w14:paraId="1B9C7501">
          <w:pPr>
            <w:adjustRightInd w:val="0"/>
            <w:snapToGrid w:val="0"/>
            <w:spacing w:line="400" w:lineRule="exact"/>
            <w:rPr>
              <w:rFonts w:hint="eastAsia"/>
              <w:color w:val="auto"/>
            </w:rPr>
            <w:sectPr>
              <w:footerReference r:id="rId4" w:type="default"/>
              <w:pgSz w:w="11906" w:h="16838"/>
              <w:pgMar w:top="1701" w:right="1531" w:bottom="1701" w:left="1531" w:header="851" w:footer="1077" w:gutter="0"/>
              <w:pgNumType w:start="3"/>
              <w:cols w:space="720" w:num="1"/>
              <w:docGrid w:linePitch="312" w:charSpace="0"/>
            </w:sectPr>
          </w:pPr>
          <w:r>
            <w:rPr>
              <w:rFonts w:hint="eastAsia"/>
              <w:color w:val="auto"/>
              <w:sz w:val="24"/>
            </w:rPr>
            <w:t>附件</w:t>
          </w:r>
          <w:r>
            <w:rPr>
              <w:rFonts w:hint="eastAsia"/>
              <w:color w:val="auto"/>
              <w:sz w:val="24"/>
              <w:lang w:val="en-US" w:eastAsia="zh-CN"/>
            </w:rPr>
            <w:t>8</w:t>
          </w:r>
          <w:r>
            <w:rPr>
              <w:color w:val="auto"/>
              <w:sz w:val="24"/>
            </w:rPr>
            <w:t xml:space="preserve">  </w:t>
          </w:r>
          <w:r>
            <w:rPr>
              <w:rFonts w:hint="eastAsia"/>
              <w:color w:val="auto"/>
              <w:sz w:val="24"/>
              <w:highlight w:val="none"/>
              <w:lang w:val="en-US" w:eastAsia="zh-CN"/>
            </w:rPr>
            <w:t>承诺书</w:t>
          </w:r>
        </w:p>
      </w:sdtContent>
    </w:sdt>
    <w:p w14:paraId="3824CB12">
      <w:pPr>
        <w:pStyle w:val="2"/>
        <w:spacing w:before="0" w:after="0" w:line="240" w:lineRule="auto"/>
        <w:ind w:left="0" w:firstLine="0"/>
        <w:jc w:val="center"/>
        <w:rPr>
          <w:b w:val="0"/>
          <w:bCs w:val="0"/>
          <w:color w:val="auto"/>
        </w:rPr>
      </w:pPr>
      <w:bookmarkStart w:id="0" w:name="_Toc29797"/>
      <w:bookmarkStart w:id="1" w:name="_Toc27063"/>
      <w:bookmarkStart w:id="2" w:name="_Toc16208"/>
      <w:r>
        <w:rPr>
          <w:b w:val="0"/>
          <w:bCs w:val="0"/>
          <w:color w:val="auto"/>
        </w:rPr>
        <w:t>一、建设项目基本情况</w:t>
      </w:r>
      <w:bookmarkEnd w:id="0"/>
      <w:bookmarkEnd w:id="1"/>
      <w:bookmarkEnd w:id="2"/>
    </w:p>
    <w:tbl>
      <w:tblPr>
        <w:tblStyle w:val="25"/>
        <w:tblW w:w="889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457"/>
        <w:gridCol w:w="624"/>
        <w:gridCol w:w="2615"/>
        <w:gridCol w:w="1390"/>
        <w:gridCol w:w="3805"/>
      </w:tblGrid>
      <w:tr w14:paraId="37DAB0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97" w:hRule="atLeast"/>
          <w:jc w:val="center"/>
        </w:trPr>
        <w:tc>
          <w:tcPr>
            <w:tcW w:w="1081" w:type="dxa"/>
            <w:gridSpan w:val="2"/>
            <w:tcMar>
              <w:top w:w="16" w:type="dxa"/>
              <w:left w:w="16" w:type="dxa"/>
              <w:right w:w="16" w:type="dxa"/>
            </w:tcMar>
            <w:vAlign w:val="center"/>
          </w:tcPr>
          <w:p w14:paraId="4AA23E7D">
            <w:pPr>
              <w:adjustRightInd w:val="0"/>
              <w:snapToGrid w:val="0"/>
              <w:jc w:val="center"/>
              <w:rPr>
                <w:b/>
                <w:bCs/>
                <w:color w:val="auto"/>
                <w:sz w:val="24"/>
              </w:rPr>
            </w:pPr>
            <w:r>
              <w:rPr>
                <w:b/>
                <w:bCs/>
                <w:color w:val="auto"/>
                <w:sz w:val="24"/>
              </w:rPr>
              <w:t>建设项目名称</w:t>
            </w:r>
          </w:p>
        </w:tc>
        <w:tc>
          <w:tcPr>
            <w:tcW w:w="7810" w:type="dxa"/>
            <w:gridSpan w:val="3"/>
            <w:vAlign w:val="center"/>
          </w:tcPr>
          <w:p w14:paraId="57F8ED88">
            <w:pPr>
              <w:adjustRightInd w:val="0"/>
              <w:snapToGrid w:val="0"/>
              <w:jc w:val="center"/>
              <w:rPr>
                <w:color w:val="auto"/>
                <w:sz w:val="24"/>
              </w:rPr>
            </w:pPr>
            <w:r>
              <w:rPr>
                <w:rFonts w:hint="eastAsia"/>
                <w:color w:val="auto"/>
                <w:sz w:val="24"/>
              </w:rPr>
              <w:t>清丰法蒂豪庭家具有限公司年产1万件（套）家具项目</w:t>
            </w:r>
          </w:p>
        </w:tc>
      </w:tr>
      <w:tr w14:paraId="777AB8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81" w:type="dxa"/>
            <w:gridSpan w:val="2"/>
            <w:tcMar>
              <w:top w:w="16" w:type="dxa"/>
              <w:left w:w="16" w:type="dxa"/>
              <w:right w:w="16" w:type="dxa"/>
            </w:tcMar>
            <w:vAlign w:val="center"/>
          </w:tcPr>
          <w:p w14:paraId="729245D8">
            <w:pPr>
              <w:adjustRightInd w:val="0"/>
              <w:snapToGrid w:val="0"/>
              <w:jc w:val="center"/>
              <w:rPr>
                <w:b/>
                <w:bCs/>
                <w:color w:val="auto"/>
                <w:sz w:val="24"/>
              </w:rPr>
            </w:pPr>
            <w:r>
              <w:rPr>
                <w:b/>
                <w:bCs/>
                <w:color w:val="auto"/>
                <w:sz w:val="24"/>
              </w:rPr>
              <w:t>项目代码</w:t>
            </w:r>
          </w:p>
        </w:tc>
        <w:tc>
          <w:tcPr>
            <w:tcW w:w="7810" w:type="dxa"/>
            <w:gridSpan w:val="3"/>
            <w:vAlign w:val="center"/>
          </w:tcPr>
          <w:p w14:paraId="50820DD5">
            <w:pPr>
              <w:adjustRightInd w:val="0"/>
              <w:snapToGrid w:val="0"/>
              <w:jc w:val="center"/>
              <w:rPr>
                <w:color w:val="auto"/>
                <w:sz w:val="24"/>
              </w:rPr>
            </w:pPr>
            <w:r>
              <w:rPr>
                <w:rFonts w:hint="eastAsia"/>
                <w:color w:val="auto"/>
                <w:sz w:val="24"/>
              </w:rPr>
              <w:t>2411-410922-04-01-471652</w:t>
            </w:r>
          </w:p>
        </w:tc>
      </w:tr>
      <w:tr w14:paraId="6DE7DD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81" w:type="dxa"/>
            <w:gridSpan w:val="2"/>
            <w:tcMar>
              <w:top w:w="16" w:type="dxa"/>
              <w:left w:w="16" w:type="dxa"/>
              <w:right w:w="16" w:type="dxa"/>
            </w:tcMar>
            <w:vAlign w:val="center"/>
          </w:tcPr>
          <w:p w14:paraId="5C5DC55A">
            <w:pPr>
              <w:adjustRightInd w:val="0"/>
              <w:snapToGrid w:val="0"/>
              <w:jc w:val="center"/>
              <w:rPr>
                <w:b/>
                <w:bCs/>
                <w:color w:val="auto"/>
                <w:sz w:val="24"/>
              </w:rPr>
            </w:pPr>
            <w:r>
              <w:rPr>
                <w:b/>
                <w:bCs/>
                <w:color w:val="auto"/>
                <w:sz w:val="24"/>
              </w:rPr>
              <w:t>建设单位联系人</w:t>
            </w:r>
          </w:p>
        </w:tc>
        <w:tc>
          <w:tcPr>
            <w:tcW w:w="2615" w:type="dxa"/>
            <w:vAlign w:val="center"/>
          </w:tcPr>
          <w:p w14:paraId="2BAA8FFD">
            <w:pPr>
              <w:adjustRightInd w:val="0"/>
              <w:snapToGrid w:val="0"/>
              <w:jc w:val="center"/>
              <w:rPr>
                <w:color w:val="auto"/>
                <w:sz w:val="24"/>
              </w:rPr>
            </w:pPr>
            <w:r>
              <w:rPr>
                <w:rFonts w:hint="eastAsia"/>
                <w:color w:val="auto"/>
                <w:sz w:val="24"/>
              </w:rPr>
              <w:t>陈本仕</w:t>
            </w:r>
          </w:p>
        </w:tc>
        <w:tc>
          <w:tcPr>
            <w:tcW w:w="1390" w:type="dxa"/>
            <w:vAlign w:val="center"/>
          </w:tcPr>
          <w:p w14:paraId="260B20F2">
            <w:pPr>
              <w:adjustRightInd w:val="0"/>
              <w:snapToGrid w:val="0"/>
              <w:jc w:val="center"/>
              <w:rPr>
                <w:color w:val="auto"/>
                <w:sz w:val="24"/>
              </w:rPr>
            </w:pPr>
            <w:r>
              <w:rPr>
                <w:b/>
                <w:bCs/>
                <w:color w:val="auto"/>
                <w:sz w:val="24"/>
              </w:rPr>
              <w:t>联系方式</w:t>
            </w:r>
          </w:p>
        </w:tc>
        <w:tc>
          <w:tcPr>
            <w:tcW w:w="3805" w:type="dxa"/>
            <w:vAlign w:val="center"/>
          </w:tcPr>
          <w:p w14:paraId="2562691A">
            <w:pPr>
              <w:adjustRightInd w:val="0"/>
              <w:snapToGrid w:val="0"/>
              <w:jc w:val="center"/>
              <w:rPr>
                <w:color w:val="auto"/>
                <w:sz w:val="24"/>
              </w:rPr>
            </w:pPr>
            <w:r>
              <w:rPr>
                <w:rFonts w:hint="eastAsia"/>
                <w:color w:val="auto"/>
                <w:sz w:val="24"/>
              </w:rPr>
              <w:t>15933165326</w:t>
            </w:r>
          </w:p>
        </w:tc>
      </w:tr>
      <w:tr w14:paraId="7F6BA0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0" w:hRule="atLeast"/>
          <w:jc w:val="center"/>
        </w:trPr>
        <w:tc>
          <w:tcPr>
            <w:tcW w:w="1081" w:type="dxa"/>
            <w:gridSpan w:val="2"/>
            <w:tcMar>
              <w:top w:w="16" w:type="dxa"/>
              <w:left w:w="16" w:type="dxa"/>
              <w:right w:w="16" w:type="dxa"/>
            </w:tcMar>
            <w:vAlign w:val="center"/>
          </w:tcPr>
          <w:p w14:paraId="0D6BF9AA">
            <w:pPr>
              <w:adjustRightInd w:val="0"/>
              <w:snapToGrid w:val="0"/>
              <w:jc w:val="center"/>
              <w:rPr>
                <w:b/>
                <w:bCs/>
                <w:color w:val="auto"/>
                <w:sz w:val="24"/>
              </w:rPr>
            </w:pPr>
            <w:r>
              <w:rPr>
                <w:b/>
                <w:bCs/>
                <w:color w:val="auto"/>
                <w:sz w:val="24"/>
              </w:rPr>
              <w:t>建设地点</w:t>
            </w:r>
          </w:p>
        </w:tc>
        <w:tc>
          <w:tcPr>
            <w:tcW w:w="7810" w:type="dxa"/>
            <w:gridSpan w:val="3"/>
            <w:vAlign w:val="center"/>
          </w:tcPr>
          <w:p w14:paraId="18DCF481">
            <w:pPr>
              <w:adjustRightInd w:val="0"/>
              <w:snapToGrid w:val="0"/>
              <w:jc w:val="center"/>
              <w:rPr>
                <w:color w:val="auto"/>
                <w:sz w:val="24"/>
              </w:rPr>
            </w:pPr>
            <w:r>
              <w:rPr>
                <w:rFonts w:hint="eastAsia"/>
                <w:color w:val="auto"/>
                <w:sz w:val="24"/>
              </w:rPr>
              <w:t xml:space="preserve">河南省濮阳市清丰县先进制造业开发区晓月路与兴业路交叉口东100米路北 </w:t>
            </w:r>
          </w:p>
        </w:tc>
      </w:tr>
      <w:tr w14:paraId="4F0EAC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081" w:type="dxa"/>
            <w:gridSpan w:val="2"/>
            <w:tcMar>
              <w:top w:w="16" w:type="dxa"/>
              <w:left w:w="16" w:type="dxa"/>
              <w:right w:w="16" w:type="dxa"/>
            </w:tcMar>
            <w:vAlign w:val="center"/>
          </w:tcPr>
          <w:p w14:paraId="75A5E484">
            <w:pPr>
              <w:adjustRightInd w:val="0"/>
              <w:snapToGrid w:val="0"/>
              <w:jc w:val="center"/>
              <w:rPr>
                <w:b/>
                <w:bCs/>
                <w:color w:val="auto"/>
                <w:sz w:val="24"/>
              </w:rPr>
            </w:pPr>
            <w:r>
              <w:rPr>
                <w:b/>
                <w:bCs/>
                <w:color w:val="auto"/>
                <w:sz w:val="24"/>
              </w:rPr>
              <w:t>地理坐标</w:t>
            </w:r>
          </w:p>
        </w:tc>
        <w:tc>
          <w:tcPr>
            <w:tcW w:w="7810" w:type="dxa"/>
            <w:gridSpan w:val="3"/>
            <w:vAlign w:val="center"/>
          </w:tcPr>
          <w:p w14:paraId="41CDD52D">
            <w:pPr>
              <w:pStyle w:val="21"/>
              <w:spacing w:before="0" w:beforeAutospacing="0" w:after="0" w:afterAutospacing="0"/>
              <w:jc w:val="center"/>
              <w:rPr>
                <w:rFonts w:ascii="Times New Roman" w:hAnsi="Times New Roman"/>
                <w:color w:val="auto"/>
                <w:szCs w:val="24"/>
              </w:rPr>
            </w:pPr>
            <w:r>
              <w:rPr>
                <w:rFonts w:ascii="Times New Roman" w:hAnsi="Times New Roman"/>
                <w:color w:val="auto"/>
              </w:rPr>
              <w:t>（</w:t>
            </w:r>
            <w:r>
              <w:rPr>
                <w:rFonts w:hint="eastAsia" w:ascii="Times New Roman" w:hAnsi="Times New Roman"/>
                <w:color w:val="auto"/>
                <w:lang w:val="en-US" w:eastAsia="zh-CN"/>
              </w:rPr>
              <w:t>东经</w:t>
            </w:r>
            <w:r>
              <w:rPr>
                <w:rFonts w:ascii="Times New Roman" w:hAnsi="Times New Roman"/>
                <w:color w:val="auto"/>
                <w:u w:val="single"/>
              </w:rPr>
              <w:t>115</w:t>
            </w:r>
            <w:r>
              <w:rPr>
                <w:rFonts w:ascii="Times New Roman" w:hAnsi="Times New Roman"/>
                <w:color w:val="auto"/>
              </w:rPr>
              <w:t>度</w:t>
            </w:r>
            <w:r>
              <w:rPr>
                <w:rFonts w:hint="eastAsia" w:ascii="Times New Roman" w:hAnsi="Times New Roman"/>
                <w:color w:val="auto"/>
                <w:u w:val="single"/>
                <w:lang w:val="en-US" w:eastAsia="zh-CN"/>
              </w:rPr>
              <w:t>6</w:t>
            </w:r>
            <w:r>
              <w:rPr>
                <w:rFonts w:ascii="Times New Roman" w:hAnsi="Times New Roman"/>
                <w:color w:val="auto"/>
              </w:rPr>
              <w:t>分</w:t>
            </w:r>
            <w:r>
              <w:rPr>
                <w:rFonts w:hint="eastAsia" w:ascii="Times New Roman" w:hAnsi="Times New Roman"/>
                <w:color w:val="auto"/>
                <w:u w:val="single"/>
                <w:lang w:val="en-US" w:eastAsia="zh-CN"/>
              </w:rPr>
              <w:t>55.727</w:t>
            </w:r>
            <w:r>
              <w:rPr>
                <w:rFonts w:ascii="Times New Roman" w:hAnsi="Times New Roman"/>
                <w:color w:val="auto"/>
              </w:rPr>
              <w:t>秒，</w:t>
            </w:r>
            <w:r>
              <w:rPr>
                <w:rFonts w:hint="eastAsia" w:ascii="Times New Roman" w:hAnsi="Times New Roman"/>
                <w:color w:val="auto"/>
                <w:lang w:val="en-US" w:eastAsia="zh-CN"/>
              </w:rPr>
              <w:t>北纬</w:t>
            </w:r>
            <w:r>
              <w:rPr>
                <w:rFonts w:ascii="Times New Roman" w:hAnsi="Times New Roman"/>
                <w:color w:val="auto"/>
                <w:u w:val="single"/>
              </w:rPr>
              <w:t>35</w:t>
            </w:r>
            <w:r>
              <w:rPr>
                <w:rFonts w:ascii="Times New Roman" w:hAnsi="Times New Roman"/>
                <w:color w:val="auto"/>
              </w:rPr>
              <w:t>度</w:t>
            </w:r>
            <w:r>
              <w:rPr>
                <w:rFonts w:ascii="Times New Roman" w:hAnsi="Times New Roman"/>
                <w:color w:val="auto"/>
                <w:u w:val="single"/>
              </w:rPr>
              <w:t>51</w:t>
            </w:r>
            <w:r>
              <w:rPr>
                <w:rFonts w:ascii="Times New Roman" w:hAnsi="Times New Roman"/>
                <w:color w:val="auto"/>
              </w:rPr>
              <w:t>分</w:t>
            </w:r>
            <w:r>
              <w:rPr>
                <w:rFonts w:hint="eastAsia" w:ascii="Times New Roman" w:hAnsi="Times New Roman"/>
                <w:color w:val="auto"/>
                <w:u w:val="single"/>
                <w:lang w:val="en-US" w:eastAsia="zh-CN"/>
              </w:rPr>
              <w:t>30.558</w:t>
            </w:r>
            <w:r>
              <w:rPr>
                <w:rFonts w:ascii="Times New Roman" w:hAnsi="Times New Roman"/>
                <w:color w:val="auto"/>
              </w:rPr>
              <w:t>秒）</w:t>
            </w:r>
          </w:p>
        </w:tc>
      </w:tr>
      <w:tr w14:paraId="0A149D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081" w:type="dxa"/>
            <w:gridSpan w:val="2"/>
            <w:tcMar>
              <w:top w:w="16" w:type="dxa"/>
              <w:left w:w="16" w:type="dxa"/>
              <w:right w:w="16" w:type="dxa"/>
            </w:tcMar>
            <w:vAlign w:val="center"/>
          </w:tcPr>
          <w:p w14:paraId="1AA92C3D">
            <w:pPr>
              <w:adjustRightInd w:val="0"/>
              <w:snapToGrid w:val="0"/>
              <w:jc w:val="center"/>
              <w:rPr>
                <w:b/>
                <w:bCs/>
                <w:color w:val="auto"/>
                <w:sz w:val="24"/>
              </w:rPr>
            </w:pPr>
            <w:r>
              <w:rPr>
                <w:b/>
                <w:bCs/>
                <w:color w:val="auto"/>
                <w:sz w:val="24"/>
              </w:rPr>
              <w:t>国民经济</w:t>
            </w:r>
          </w:p>
          <w:p w14:paraId="0CF0932B">
            <w:pPr>
              <w:adjustRightInd w:val="0"/>
              <w:snapToGrid w:val="0"/>
              <w:jc w:val="center"/>
              <w:rPr>
                <w:b/>
                <w:bCs/>
                <w:color w:val="auto"/>
                <w:sz w:val="24"/>
              </w:rPr>
            </w:pPr>
            <w:r>
              <w:rPr>
                <w:b/>
                <w:bCs/>
                <w:color w:val="auto"/>
                <w:sz w:val="24"/>
              </w:rPr>
              <w:t>行业类别</w:t>
            </w:r>
          </w:p>
        </w:tc>
        <w:tc>
          <w:tcPr>
            <w:tcW w:w="2615" w:type="dxa"/>
            <w:vAlign w:val="center"/>
          </w:tcPr>
          <w:p w14:paraId="5818F9A8">
            <w:pPr>
              <w:adjustRightInd w:val="0"/>
              <w:snapToGrid w:val="0"/>
              <w:jc w:val="center"/>
              <w:rPr>
                <w:color w:val="auto"/>
                <w:sz w:val="24"/>
              </w:rPr>
            </w:pPr>
            <w:r>
              <w:rPr>
                <w:rFonts w:hint="eastAsia"/>
                <w:color w:val="auto"/>
                <w:sz w:val="24"/>
              </w:rPr>
              <w:t>木质</w:t>
            </w:r>
            <w:r>
              <w:rPr>
                <w:color w:val="auto"/>
                <w:sz w:val="24"/>
              </w:rPr>
              <w:t>家具制造C2110</w:t>
            </w:r>
          </w:p>
        </w:tc>
        <w:tc>
          <w:tcPr>
            <w:tcW w:w="1390" w:type="dxa"/>
            <w:vAlign w:val="center"/>
          </w:tcPr>
          <w:p w14:paraId="6D43EDAB">
            <w:pPr>
              <w:adjustRightInd w:val="0"/>
              <w:snapToGrid w:val="0"/>
              <w:jc w:val="center"/>
              <w:rPr>
                <w:b/>
                <w:bCs/>
                <w:color w:val="auto"/>
                <w:sz w:val="24"/>
              </w:rPr>
            </w:pPr>
            <w:bookmarkStart w:id="3" w:name="_Hlk49843745"/>
            <w:r>
              <w:rPr>
                <w:b/>
                <w:bCs/>
                <w:color w:val="auto"/>
                <w:sz w:val="24"/>
              </w:rPr>
              <w:t>建设项目</w:t>
            </w:r>
          </w:p>
          <w:p w14:paraId="1C1A14F9">
            <w:pPr>
              <w:adjustRightInd w:val="0"/>
              <w:snapToGrid w:val="0"/>
              <w:jc w:val="center"/>
              <w:rPr>
                <w:b/>
                <w:bCs/>
                <w:color w:val="auto"/>
                <w:sz w:val="24"/>
              </w:rPr>
            </w:pPr>
            <w:r>
              <w:rPr>
                <w:b/>
                <w:bCs/>
                <w:color w:val="auto"/>
                <w:sz w:val="24"/>
              </w:rPr>
              <w:t>行业类别</w:t>
            </w:r>
            <w:bookmarkEnd w:id="3"/>
          </w:p>
        </w:tc>
        <w:tc>
          <w:tcPr>
            <w:tcW w:w="3805" w:type="dxa"/>
            <w:vAlign w:val="center"/>
          </w:tcPr>
          <w:p w14:paraId="08A599B4">
            <w:pPr>
              <w:adjustRightInd w:val="0"/>
              <w:snapToGrid w:val="0"/>
              <w:rPr>
                <w:color w:val="auto"/>
                <w:sz w:val="24"/>
              </w:rPr>
            </w:pPr>
            <w:r>
              <w:rPr>
                <w:color w:val="auto"/>
                <w:sz w:val="24"/>
              </w:rPr>
              <w:t>十八、家具制造业21</w:t>
            </w:r>
            <w:r>
              <w:rPr>
                <w:rFonts w:hint="eastAsia"/>
                <w:color w:val="auto"/>
                <w:sz w:val="24"/>
              </w:rPr>
              <w:t>—</w:t>
            </w:r>
            <w:r>
              <w:rPr>
                <w:color w:val="auto"/>
                <w:sz w:val="24"/>
              </w:rPr>
              <w:t>36、木质家具制造211</w:t>
            </w:r>
            <w:r>
              <w:rPr>
                <w:rFonts w:hint="eastAsia"/>
                <w:color w:val="auto"/>
                <w:sz w:val="24"/>
              </w:rPr>
              <w:t>—</w:t>
            </w:r>
            <w:r>
              <w:rPr>
                <w:color w:val="auto"/>
                <w:sz w:val="24"/>
              </w:rPr>
              <w:t>其他（仅分割、组装的除外；年用非溶剂型低VOCs含量涂料10吨以下的除外）</w:t>
            </w:r>
          </w:p>
        </w:tc>
      </w:tr>
      <w:tr w14:paraId="0DF08B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081" w:type="dxa"/>
            <w:gridSpan w:val="2"/>
            <w:tcMar>
              <w:top w:w="16" w:type="dxa"/>
              <w:left w:w="16" w:type="dxa"/>
              <w:right w:w="16" w:type="dxa"/>
            </w:tcMar>
            <w:vAlign w:val="center"/>
          </w:tcPr>
          <w:p w14:paraId="07EB1BC4">
            <w:pPr>
              <w:adjustRightInd w:val="0"/>
              <w:snapToGrid w:val="0"/>
              <w:jc w:val="center"/>
              <w:rPr>
                <w:b/>
                <w:bCs/>
                <w:color w:val="auto"/>
                <w:sz w:val="24"/>
              </w:rPr>
            </w:pPr>
            <w:r>
              <w:rPr>
                <w:b/>
                <w:bCs/>
                <w:color w:val="auto"/>
                <w:sz w:val="24"/>
              </w:rPr>
              <w:t>建设性质</w:t>
            </w:r>
          </w:p>
        </w:tc>
        <w:tc>
          <w:tcPr>
            <w:tcW w:w="2615" w:type="dxa"/>
            <w:vAlign w:val="center"/>
          </w:tcPr>
          <w:p w14:paraId="596F3586">
            <w:pPr>
              <w:jc w:val="left"/>
              <w:rPr>
                <w:color w:val="auto"/>
                <w:sz w:val="24"/>
              </w:rPr>
            </w:pPr>
            <w:r>
              <w:rPr>
                <w:color w:val="auto"/>
                <w:sz w:val="24"/>
              </w:rPr>
              <w:sym w:font="Wingdings 2" w:char="0052"/>
            </w:r>
            <w:r>
              <w:rPr>
                <w:color w:val="auto"/>
                <w:sz w:val="24"/>
              </w:rPr>
              <w:t>新建（迁建）</w:t>
            </w:r>
          </w:p>
          <w:p w14:paraId="4D21CA10">
            <w:pPr>
              <w:jc w:val="left"/>
              <w:rPr>
                <w:color w:val="auto"/>
                <w:sz w:val="24"/>
              </w:rPr>
            </w:pPr>
            <w:r>
              <w:rPr>
                <w:rFonts w:hint="eastAsia"/>
                <w:color w:val="auto"/>
                <w:sz w:val="24"/>
              </w:rPr>
              <w:t>□</w:t>
            </w:r>
            <w:r>
              <w:rPr>
                <w:color w:val="auto"/>
                <w:sz w:val="24"/>
              </w:rPr>
              <w:t>改建</w:t>
            </w:r>
          </w:p>
          <w:p w14:paraId="48242295">
            <w:pPr>
              <w:jc w:val="left"/>
              <w:rPr>
                <w:color w:val="auto"/>
                <w:sz w:val="24"/>
              </w:rPr>
            </w:pPr>
            <w:r>
              <w:rPr>
                <w:rFonts w:hint="eastAsia"/>
                <w:color w:val="auto"/>
                <w:sz w:val="24"/>
              </w:rPr>
              <w:t>□</w:t>
            </w:r>
            <w:r>
              <w:rPr>
                <w:color w:val="auto"/>
                <w:sz w:val="24"/>
              </w:rPr>
              <w:t>扩建</w:t>
            </w:r>
          </w:p>
          <w:p w14:paraId="169F4E15">
            <w:pPr>
              <w:jc w:val="left"/>
              <w:rPr>
                <w:color w:val="auto"/>
                <w:sz w:val="24"/>
              </w:rPr>
            </w:pPr>
            <w:r>
              <w:rPr>
                <w:rFonts w:hint="eastAsia"/>
                <w:color w:val="auto"/>
                <w:sz w:val="24"/>
              </w:rPr>
              <w:t>□</w:t>
            </w:r>
            <w:r>
              <w:rPr>
                <w:color w:val="auto"/>
                <w:sz w:val="24"/>
              </w:rPr>
              <w:t>技术改造</w:t>
            </w:r>
          </w:p>
        </w:tc>
        <w:tc>
          <w:tcPr>
            <w:tcW w:w="1390" w:type="dxa"/>
            <w:vAlign w:val="center"/>
          </w:tcPr>
          <w:p w14:paraId="7D7B4DE0">
            <w:pPr>
              <w:adjustRightInd w:val="0"/>
              <w:snapToGrid w:val="0"/>
              <w:jc w:val="center"/>
              <w:rPr>
                <w:b/>
                <w:bCs/>
                <w:color w:val="auto"/>
                <w:sz w:val="24"/>
              </w:rPr>
            </w:pPr>
            <w:r>
              <w:rPr>
                <w:b/>
                <w:bCs/>
                <w:color w:val="auto"/>
                <w:sz w:val="24"/>
              </w:rPr>
              <w:t>建设项目</w:t>
            </w:r>
          </w:p>
          <w:p w14:paraId="54D267DD">
            <w:pPr>
              <w:adjustRightInd w:val="0"/>
              <w:snapToGrid w:val="0"/>
              <w:jc w:val="center"/>
              <w:rPr>
                <w:b/>
                <w:bCs/>
                <w:color w:val="auto"/>
                <w:sz w:val="24"/>
              </w:rPr>
            </w:pPr>
            <w:r>
              <w:rPr>
                <w:b/>
                <w:bCs/>
                <w:color w:val="auto"/>
                <w:sz w:val="24"/>
              </w:rPr>
              <w:t>申报情形</w:t>
            </w:r>
          </w:p>
        </w:tc>
        <w:tc>
          <w:tcPr>
            <w:tcW w:w="3805" w:type="dxa"/>
            <w:vAlign w:val="center"/>
          </w:tcPr>
          <w:p w14:paraId="1A8A77C8">
            <w:pPr>
              <w:jc w:val="left"/>
              <w:rPr>
                <w:color w:val="auto"/>
                <w:sz w:val="24"/>
              </w:rPr>
            </w:pPr>
            <w:r>
              <w:rPr>
                <w:color w:val="auto"/>
                <w:sz w:val="24"/>
              </w:rPr>
              <w:sym w:font="Wingdings 2" w:char="0052"/>
            </w:r>
            <w:r>
              <w:rPr>
                <w:color w:val="auto"/>
                <w:sz w:val="24"/>
              </w:rPr>
              <w:t xml:space="preserve">首次申报项目             </w:t>
            </w:r>
          </w:p>
          <w:p w14:paraId="6EB0CC11">
            <w:pPr>
              <w:jc w:val="left"/>
              <w:rPr>
                <w:color w:val="auto"/>
                <w:sz w:val="24"/>
              </w:rPr>
            </w:pPr>
            <w:r>
              <w:rPr>
                <w:rFonts w:hint="eastAsia"/>
                <w:color w:val="auto"/>
                <w:sz w:val="24"/>
              </w:rPr>
              <w:t>□</w:t>
            </w:r>
            <w:r>
              <w:rPr>
                <w:color w:val="auto"/>
                <w:sz w:val="24"/>
              </w:rPr>
              <w:t>不予批准后再次申报项目</w:t>
            </w:r>
          </w:p>
          <w:p w14:paraId="21A16244">
            <w:pPr>
              <w:jc w:val="left"/>
              <w:rPr>
                <w:color w:val="auto"/>
                <w:sz w:val="24"/>
              </w:rPr>
            </w:pPr>
            <w:r>
              <w:rPr>
                <w:rFonts w:hint="eastAsia"/>
                <w:color w:val="auto"/>
                <w:sz w:val="24"/>
              </w:rPr>
              <w:t>□</w:t>
            </w:r>
            <w:r>
              <w:rPr>
                <w:color w:val="auto"/>
                <w:sz w:val="24"/>
              </w:rPr>
              <w:t xml:space="preserve">超五年重新审核项目     </w:t>
            </w:r>
          </w:p>
          <w:p w14:paraId="708F88B8">
            <w:pPr>
              <w:jc w:val="left"/>
              <w:rPr>
                <w:color w:val="auto"/>
                <w:sz w:val="24"/>
              </w:rPr>
            </w:pPr>
            <w:r>
              <w:rPr>
                <w:rFonts w:hint="eastAsia"/>
                <w:color w:val="auto"/>
                <w:sz w:val="24"/>
              </w:rPr>
              <w:t>□</w:t>
            </w:r>
            <w:r>
              <w:rPr>
                <w:color w:val="auto"/>
                <w:sz w:val="24"/>
              </w:rPr>
              <w:t>重大变动重新报批项目</w:t>
            </w:r>
          </w:p>
        </w:tc>
      </w:tr>
      <w:tr w14:paraId="0525DD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58" w:hRule="atLeast"/>
          <w:jc w:val="center"/>
        </w:trPr>
        <w:tc>
          <w:tcPr>
            <w:tcW w:w="1081" w:type="dxa"/>
            <w:gridSpan w:val="2"/>
            <w:tcMar>
              <w:top w:w="16" w:type="dxa"/>
              <w:left w:w="16" w:type="dxa"/>
              <w:right w:w="16" w:type="dxa"/>
            </w:tcMar>
            <w:vAlign w:val="center"/>
          </w:tcPr>
          <w:p w14:paraId="16C29966">
            <w:pPr>
              <w:adjustRightInd w:val="0"/>
              <w:snapToGrid w:val="0"/>
              <w:jc w:val="center"/>
              <w:rPr>
                <w:b/>
                <w:bCs/>
                <w:color w:val="auto"/>
                <w:sz w:val="24"/>
              </w:rPr>
            </w:pPr>
            <w:r>
              <w:rPr>
                <w:b/>
                <w:bCs/>
                <w:color w:val="auto"/>
                <w:sz w:val="24"/>
              </w:rPr>
              <w:t>项目</w:t>
            </w:r>
            <w:r>
              <w:rPr>
                <w:b/>
                <w:bCs/>
                <w:color w:val="auto"/>
                <w:spacing w:val="-17"/>
                <w:sz w:val="24"/>
              </w:rPr>
              <w:t>备案</w:t>
            </w:r>
            <w:r>
              <w:rPr>
                <w:b/>
                <w:bCs/>
                <w:color w:val="auto"/>
                <w:sz w:val="24"/>
              </w:rPr>
              <w:t>部门</w:t>
            </w:r>
          </w:p>
        </w:tc>
        <w:tc>
          <w:tcPr>
            <w:tcW w:w="2615" w:type="dxa"/>
            <w:vAlign w:val="center"/>
          </w:tcPr>
          <w:p w14:paraId="449A0D2B">
            <w:pPr>
              <w:adjustRightInd w:val="0"/>
              <w:snapToGrid w:val="0"/>
              <w:jc w:val="center"/>
              <w:rPr>
                <w:color w:val="auto"/>
                <w:sz w:val="24"/>
              </w:rPr>
            </w:pPr>
            <w:r>
              <w:rPr>
                <w:color w:val="auto"/>
                <w:sz w:val="24"/>
              </w:rPr>
              <w:t>清丰县先进制造业开发区管理委员会</w:t>
            </w:r>
          </w:p>
        </w:tc>
        <w:tc>
          <w:tcPr>
            <w:tcW w:w="1390" w:type="dxa"/>
            <w:vAlign w:val="center"/>
          </w:tcPr>
          <w:p w14:paraId="4ACD61BF">
            <w:pPr>
              <w:adjustRightInd w:val="0"/>
              <w:snapToGrid w:val="0"/>
              <w:jc w:val="center"/>
              <w:rPr>
                <w:b/>
                <w:bCs/>
                <w:color w:val="auto"/>
                <w:sz w:val="24"/>
              </w:rPr>
            </w:pPr>
            <w:r>
              <w:rPr>
                <w:b/>
                <w:bCs/>
                <w:color w:val="auto"/>
                <w:sz w:val="24"/>
              </w:rPr>
              <w:t>项目备案</w:t>
            </w:r>
          </w:p>
          <w:p w14:paraId="4126CE42">
            <w:pPr>
              <w:adjustRightInd w:val="0"/>
              <w:snapToGrid w:val="0"/>
              <w:jc w:val="center"/>
              <w:rPr>
                <w:b/>
                <w:bCs/>
                <w:color w:val="auto"/>
                <w:sz w:val="24"/>
              </w:rPr>
            </w:pPr>
            <w:r>
              <w:rPr>
                <w:b/>
                <w:bCs/>
                <w:color w:val="auto"/>
                <w:sz w:val="24"/>
              </w:rPr>
              <w:t>文号</w:t>
            </w:r>
          </w:p>
        </w:tc>
        <w:tc>
          <w:tcPr>
            <w:tcW w:w="3805" w:type="dxa"/>
            <w:vAlign w:val="center"/>
          </w:tcPr>
          <w:p w14:paraId="7CDE7338">
            <w:pPr>
              <w:adjustRightInd w:val="0"/>
              <w:snapToGrid w:val="0"/>
              <w:jc w:val="center"/>
              <w:rPr>
                <w:color w:val="auto"/>
                <w:sz w:val="24"/>
              </w:rPr>
            </w:pPr>
            <w:r>
              <w:rPr>
                <w:rFonts w:hint="eastAsia"/>
                <w:color w:val="auto"/>
                <w:sz w:val="24"/>
              </w:rPr>
              <w:t>2411-410922-04-01-471652</w:t>
            </w:r>
          </w:p>
        </w:tc>
      </w:tr>
      <w:tr w14:paraId="056CB3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1" w:hRule="atLeast"/>
          <w:jc w:val="center"/>
        </w:trPr>
        <w:tc>
          <w:tcPr>
            <w:tcW w:w="1081" w:type="dxa"/>
            <w:gridSpan w:val="2"/>
            <w:tcMar>
              <w:top w:w="16" w:type="dxa"/>
              <w:left w:w="16" w:type="dxa"/>
              <w:right w:w="16" w:type="dxa"/>
            </w:tcMar>
            <w:vAlign w:val="center"/>
          </w:tcPr>
          <w:p w14:paraId="38DEAB2D">
            <w:pPr>
              <w:adjustRightInd w:val="0"/>
              <w:snapToGrid w:val="0"/>
              <w:jc w:val="center"/>
              <w:rPr>
                <w:b/>
                <w:bCs/>
                <w:color w:val="auto"/>
                <w:sz w:val="24"/>
              </w:rPr>
            </w:pPr>
            <w:r>
              <w:rPr>
                <w:b/>
                <w:bCs/>
                <w:color w:val="auto"/>
                <w:sz w:val="24"/>
              </w:rPr>
              <w:t>总投资（万元）</w:t>
            </w:r>
          </w:p>
        </w:tc>
        <w:tc>
          <w:tcPr>
            <w:tcW w:w="2615" w:type="dxa"/>
            <w:vAlign w:val="center"/>
          </w:tcPr>
          <w:p w14:paraId="06537DB1">
            <w:pPr>
              <w:adjustRightInd w:val="0"/>
              <w:snapToGrid w:val="0"/>
              <w:jc w:val="center"/>
              <w:rPr>
                <w:color w:val="auto"/>
                <w:sz w:val="24"/>
              </w:rPr>
            </w:pPr>
            <w:r>
              <w:rPr>
                <w:rFonts w:hint="eastAsia"/>
                <w:color w:val="auto"/>
                <w:sz w:val="24"/>
              </w:rPr>
              <w:t>500</w:t>
            </w:r>
          </w:p>
        </w:tc>
        <w:tc>
          <w:tcPr>
            <w:tcW w:w="1390" w:type="dxa"/>
            <w:tcMar>
              <w:top w:w="16" w:type="dxa"/>
              <w:left w:w="16" w:type="dxa"/>
              <w:right w:w="16" w:type="dxa"/>
            </w:tcMar>
            <w:vAlign w:val="center"/>
          </w:tcPr>
          <w:p w14:paraId="45E5C169">
            <w:pPr>
              <w:adjustRightInd w:val="0"/>
              <w:snapToGrid w:val="0"/>
              <w:jc w:val="center"/>
              <w:rPr>
                <w:b/>
                <w:bCs/>
                <w:color w:val="auto"/>
                <w:sz w:val="24"/>
              </w:rPr>
            </w:pPr>
            <w:r>
              <w:rPr>
                <w:b/>
                <w:bCs/>
                <w:color w:val="auto"/>
                <w:sz w:val="24"/>
              </w:rPr>
              <w:t>环保投资</w:t>
            </w:r>
          </w:p>
          <w:p w14:paraId="60653346">
            <w:pPr>
              <w:adjustRightInd w:val="0"/>
              <w:snapToGrid w:val="0"/>
              <w:jc w:val="center"/>
              <w:rPr>
                <w:b/>
                <w:bCs/>
                <w:color w:val="auto"/>
                <w:sz w:val="24"/>
              </w:rPr>
            </w:pPr>
            <w:r>
              <w:rPr>
                <w:b/>
                <w:bCs/>
                <w:color w:val="auto"/>
                <w:sz w:val="24"/>
              </w:rPr>
              <w:t>（万元）</w:t>
            </w:r>
          </w:p>
        </w:tc>
        <w:tc>
          <w:tcPr>
            <w:tcW w:w="3805" w:type="dxa"/>
            <w:vAlign w:val="center"/>
          </w:tcPr>
          <w:p w14:paraId="480CEB33">
            <w:pPr>
              <w:adjustRightInd w:val="0"/>
              <w:snapToGrid w:val="0"/>
              <w:jc w:val="center"/>
              <w:rPr>
                <w:rFonts w:hint="default"/>
                <w:color w:val="auto"/>
                <w:sz w:val="24"/>
                <w:lang w:val="en-US"/>
              </w:rPr>
            </w:pPr>
            <w:r>
              <w:rPr>
                <w:rFonts w:hint="eastAsia"/>
                <w:b/>
                <w:bCs/>
                <w:color w:val="auto"/>
                <w:sz w:val="24"/>
                <w:u w:val="single"/>
                <w:lang w:val="en-US" w:eastAsia="zh-CN"/>
              </w:rPr>
              <w:t>58.2</w:t>
            </w:r>
          </w:p>
        </w:tc>
      </w:tr>
      <w:tr w14:paraId="021FA1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81" w:type="dxa"/>
            <w:gridSpan w:val="2"/>
            <w:tcMar>
              <w:top w:w="16" w:type="dxa"/>
              <w:left w:w="16" w:type="dxa"/>
              <w:right w:w="16" w:type="dxa"/>
            </w:tcMar>
            <w:vAlign w:val="center"/>
          </w:tcPr>
          <w:p w14:paraId="7F80C42E">
            <w:pPr>
              <w:adjustRightInd w:val="0"/>
              <w:snapToGrid w:val="0"/>
              <w:jc w:val="center"/>
              <w:rPr>
                <w:b/>
                <w:bCs/>
                <w:color w:val="auto"/>
                <w:sz w:val="24"/>
              </w:rPr>
            </w:pPr>
            <w:r>
              <w:rPr>
                <w:b/>
                <w:bCs/>
                <w:color w:val="auto"/>
                <w:sz w:val="24"/>
              </w:rPr>
              <w:t>环保投资占比（%）</w:t>
            </w:r>
          </w:p>
        </w:tc>
        <w:tc>
          <w:tcPr>
            <w:tcW w:w="2615" w:type="dxa"/>
            <w:vAlign w:val="center"/>
          </w:tcPr>
          <w:p w14:paraId="63BE3753">
            <w:pPr>
              <w:adjustRightInd w:val="0"/>
              <w:snapToGrid w:val="0"/>
              <w:jc w:val="center"/>
              <w:rPr>
                <w:rFonts w:hint="default"/>
                <w:color w:val="auto"/>
                <w:sz w:val="24"/>
                <w:lang w:val="en-US"/>
              </w:rPr>
            </w:pPr>
            <w:r>
              <w:rPr>
                <w:rFonts w:hint="eastAsia"/>
                <w:b/>
                <w:bCs/>
                <w:color w:val="auto"/>
                <w:sz w:val="24"/>
                <w:u w:val="single"/>
                <w:lang w:val="en-US" w:eastAsia="zh-CN"/>
              </w:rPr>
              <w:t>11.64</w:t>
            </w:r>
          </w:p>
        </w:tc>
        <w:tc>
          <w:tcPr>
            <w:tcW w:w="1390" w:type="dxa"/>
            <w:tcMar>
              <w:top w:w="16" w:type="dxa"/>
              <w:left w:w="16" w:type="dxa"/>
              <w:right w:w="16" w:type="dxa"/>
            </w:tcMar>
            <w:vAlign w:val="center"/>
          </w:tcPr>
          <w:p w14:paraId="1A5BE8BA">
            <w:pPr>
              <w:adjustRightInd w:val="0"/>
              <w:snapToGrid w:val="0"/>
              <w:jc w:val="center"/>
              <w:rPr>
                <w:b/>
                <w:bCs/>
                <w:color w:val="auto"/>
                <w:sz w:val="24"/>
              </w:rPr>
            </w:pPr>
            <w:r>
              <w:rPr>
                <w:b/>
                <w:bCs/>
                <w:color w:val="auto"/>
                <w:sz w:val="24"/>
              </w:rPr>
              <w:t>施工工期</w:t>
            </w:r>
          </w:p>
        </w:tc>
        <w:tc>
          <w:tcPr>
            <w:tcW w:w="3805" w:type="dxa"/>
            <w:vAlign w:val="center"/>
          </w:tcPr>
          <w:p w14:paraId="0423AE5D">
            <w:pPr>
              <w:adjustRightInd w:val="0"/>
              <w:snapToGrid w:val="0"/>
              <w:jc w:val="center"/>
              <w:rPr>
                <w:color w:val="auto"/>
                <w:sz w:val="24"/>
              </w:rPr>
            </w:pPr>
            <w:r>
              <w:rPr>
                <w:rFonts w:hint="eastAsia"/>
                <w:color w:val="auto"/>
                <w:sz w:val="24"/>
              </w:rPr>
              <w:t>6个月</w:t>
            </w:r>
          </w:p>
        </w:tc>
      </w:tr>
      <w:tr w14:paraId="4F7C2B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81" w:type="dxa"/>
            <w:gridSpan w:val="2"/>
            <w:tcMar>
              <w:top w:w="16" w:type="dxa"/>
              <w:left w:w="16" w:type="dxa"/>
              <w:right w:w="16" w:type="dxa"/>
            </w:tcMar>
            <w:vAlign w:val="center"/>
          </w:tcPr>
          <w:p w14:paraId="0D7C4EEC">
            <w:pPr>
              <w:adjustRightInd w:val="0"/>
              <w:snapToGrid w:val="0"/>
              <w:jc w:val="center"/>
              <w:rPr>
                <w:b/>
                <w:bCs/>
                <w:color w:val="auto"/>
                <w:sz w:val="24"/>
              </w:rPr>
            </w:pPr>
            <w:r>
              <w:rPr>
                <w:b/>
                <w:bCs/>
                <w:color w:val="auto"/>
                <w:sz w:val="24"/>
              </w:rPr>
              <w:t>是否开工建设</w:t>
            </w:r>
          </w:p>
        </w:tc>
        <w:tc>
          <w:tcPr>
            <w:tcW w:w="2615" w:type="dxa"/>
            <w:vAlign w:val="center"/>
          </w:tcPr>
          <w:p w14:paraId="76429EA2">
            <w:pPr>
              <w:adjustRightInd w:val="0"/>
              <w:snapToGrid w:val="0"/>
              <w:rPr>
                <w:color w:val="auto"/>
                <w:sz w:val="24"/>
              </w:rPr>
            </w:pPr>
            <w:r>
              <w:rPr>
                <w:color w:val="auto"/>
                <w:sz w:val="24"/>
              </w:rPr>
              <w:sym w:font="Wingdings 2" w:char="0052"/>
            </w:r>
            <w:r>
              <w:rPr>
                <w:color w:val="auto"/>
                <w:sz w:val="24"/>
              </w:rPr>
              <w:t>否</w:t>
            </w:r>
          </w:p>
          <w:p w14:paraId="01D1935D">
            <w:pPr>
              <w:adjustRightInd w:val="0"/>
              <w:snapToGrid w:val="0"/>
              <w:rPr>
                <w:color w:val="auto"/>
                <w:sz w:val="24"/>
              </w:rPr>
            </w:pPr>
            <w:r>
              <w:rPr>
                <w:color w:val="auto"/>
                <w:sz w:val="24"/>
              </w:rPr>
              <w:sym w:font="Wingdings 2" w:char="00A3"/>
            </w:r>
            <w:r>
              <w:rPr>
                <w:color w:val="auto"/>
                <w:sz w:val="24"/>
              </w:rPr>
              <w:t>是：</w:t>
            </w:r>
            <w:r>
              <w:rPr>
                <w:color w:val="auto"/>
                <w:sz w:val="24"/>
                <w:u w:val="single"/>
              </w:rPr>
              <w:t xml:space="preserve"> </w:t>
            </w:r>
            <w:r>
              <w:rPr>
                <w:rFonts w:hint="eastAsia"/>
                <w:color w:val="auto"/>
                <w:sz w:val="24"/>
                <w:u w:val="single"/>
              </w:rPr>
              <w:t xml:space="preserve">             </w:t>
            </w:r>
            <w:r>
              <w:rPr>
                <w:color w:val="auto"/>
                <w:sz w:val="24"/>
                <w:u w:val="single"/>
              </w:rPr>
              <w:t xml:space="preserve"> </w:t>
            </w:r>
          </w:p>
        </w:tc>
        <w:tc>
          <w:tcPr>
            <w:tcW w:w="1390" w:type="dxa"/>
            <w:tcMar>
              <w:top w:w="16" w:type="dxa"/>
              <w:left w:w="16" w:type="dxa"/>
              <w:right w:w="16" w:type="dxa"/>
            </w:tcMar>
            <w:vAlign w:val="center"/>
          </w:tcPr>
          <w:p w14:paraId="0149B8E7">
            <w:pPr>
              <w:adjustRightInd w:val="0"/>
              <w:snapToGrid w:val="0"/>
              <w:jc w:val="center"/>
              <w:rPr>
                <w:b/>
                <w:bCs/>
                <w:color w:val="auto"/>
                <w:spacing w:val="-6"/>
                <w:sz w:val="24"/>
              </w:rPr>
            </w:pPr>
            <w:r>
              <w:rPr>
                <w:b/>
                <w:bCs/>
                <w:color w:val="auto"/>
                <w:spacing w:val="-6"/>
                <w:sz w:val="24"/>
              </w:rPr>
              <w:t>用地面积</w:t>
            </w:r>
          </w:p>
          <w:p w14:paraId="637B23A2">
            <w:pPr>
              <w:adjustRightInd w:val="0"/>
              <w:snapToGrid w:val="0"/>
              <w:jc w:val="center"/>
              <w:rPr>
                <w:b/>
                <w:bCs/>
                <w:color w:val="auto"/>
                <w:sz w:val="24"/>
              </w:rPr>
            </w:pPr>
            <w:r>
              <w:rPr>
                <w:b/>
                <w:bCs/>
                <w:color w:val="auto"/>
                <w:spacing w:val="-6"/>
                <w:sz w:val="24"/>
              </w:rPr>
              <w:t>（m</w:t>
            </w:r>
            <w:r>
              <w:rPr>
                <w:b/>
                <w:bCs/>
                <w:color w:val="auto"/>
                <w:spacing w:val="-6"/>
                <w:sz w:val="24"/>
                <w:vertAlign w:val="superscript"/>
              </w:rPr>
              <w:t>2</w:t>
            </w:r>
            <w:r>
              <w:rPr>
                <w:b/>
                <w:bCs/>
                <w:color w:val="auto"/>
                <w:spacing w:val="-6"/>
                <w:sz w:val="24"/>
              </w:rPr>
              <w:t>）</w:t>
            </w:r>
          </w:p>
        </w:tc>
        <w:tc>
          <w:tcPr>
            <w:tcW w:w="3805" w:type="dxa"/>
            <w:vAlign w:val="center"/>
          </w:tcPr>
          <w:p w14:paraId="04D86DB7">
            <w:pPr>
              <w:adjustRightInd w:val="0"/>
              <w:snapToGrid w:val="0"/>
              <w:jc w:val="center"/>
              <w:rPr>
                <w:color w:val="auto"/>
                <w:sz w:val="24"/>
              </w:rPr>
            </w:pPr>
            <w:r>
              <w:rPr>
                <w:rFonts w:hint="eastAsia"/>
                <w:color w:val="auto"/>
                <w:sz w:val="24"/>
              </w:rPr>
              <w:t>10500</w:t>
            </w:r>
          </w:p>
        </w:tc>
      </w:tr>
      <w:tr w14:paraId="0BC3D0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1081" w:type="dxa"/>
            <w:gridSpan w:val="2"/>
            <w:vAlign w:val="center"/>
          </w:tcPr>
          <w:p w14:paraId="180A7C47">
            <w:pPr>
              <w:autoSpaceDE w:val="0"/>
              <w:autoSpaceDN w:val="0"/>
              <w:adjustRightInd w:val="0"/>
              <w:snapToGrid w:val="0"/>
              <w:jc w:val="center"/>
              <w:rPr>
                <w:b/>
                <w:bCs/>
                <w:color w:val="auto"/>
                <w:kern w:val="0"/>
                <w:sz w:val="24"/>
              </w:rPr>
            </w:pPr>
            <w:r>
              <w:rPr>
                <w:b/>
                <w:bCs/>
                <w:color w:val="auto"/>
                <w:kern w:val="0"/>
                <w:sz w:val="24"/>
              </w:rPr>
              <w:t>专项评价设置情况</w:t>
            </w:r>
          </w:p>
        </w:tc>
        <w:tc>
          <w:tcPr>
            <w:tcW w:w="7810" w:type="dxa"/>
            <w:gridSpan w:val="3"/>
            <w:vAlign w:val="center"/>
          </w:tcPr>
          <w:p w14:paraId="13F90F70">
            <w:pPr>
              <w:autoSpaceDE w:val="0"/>
              <w:autoSpaceDN w:val="0"/>
              <w:adjustRightInd w:val="0"/>
              <w:snapToGrid w:val="0"/>
              <w:jc w:val="center"/>
              <w:rPr>
                <w:color w:val="auto"/>
                <w:kern w:val="0"/>
                <w:sz w:val="24"/>
              </w:rPr>
            </w:pPr>
            <w:r>
              <w:rPr>
                <w:rFonts w:hint="eastAsia"/>
                <w:color w:val="auto"/>
                <w:kern w:val="0"/>
                <w:sz w:val="24"/>
              </w:rPr>
              <w:t>无</w:t>
            </w:r>
          </w:p>
        </w:tc>
      </w:tr>
      <w:tr w14:paraId="709D63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81" w:type="dxa"/>
            <w:gridSpan w:val="2"/>
            <w:vAlign w:val="center"/>
          </w:tcPr>
          <w:p w14:paraId="273975DF">
            <w:pPr>
              <w:autoSpaceDE w:val="0"/>
              <w:autoSpaceDN w:val="0"/>
              <w:adjustRightInd w:val="0"/>
              <w:snapToGrid w:val="0"/>
              <w:jc w:val="center"/>
              <w:rPr>
                <w:b/>
                <w:bCs/>
                <w:color w:val="auto"/>
                <w:sz w:val="24"/>
              </w:rPr>
            </w:pPr>
            <w:r>
              <w:rPr>
                <w:b/>
                <w:bCs/>
                <w:color w:val="auto"/>
                <w:sz w:val="24"/>
              </w:rPr>
              <w:t>规划</w:t>
            </w:r>
          </w:p>
          <w:p w14:paraId="59DB6D8F">
            <w:pPr>
              <w:autoSpaceDE w:val="0"/>
              <w:autoSpaceDN w:val="0"/>
              <w:adjustRightInd w:val="0"/>
              <w:snapToGrid w:val="0"/>
              <w:jc w:val="center"/>
              <w:rPr>
                <w:color w:val="auto"/>
                <w:kern w:val="0"/>
                <w:sz w:val="24"/>
              </w:rPr>
            </w:pPr>
            <w:r>
              <w:rPr>
                <w:b/>
                <w:bCs/>
                <w:color w:val="auto"/>
                <w:sz w:val="24"/>
              </w:rPr>
              <w:t>情况</w:t>
            </w:r>
          </w:p>
        </w:tc>
        <w:tc>
          <w:tcPr>
            <w:tcW w:w="7810" w:type="dxa"/>
            <w:gridSpan w:val="3"/>
            <w:vAlign w:val="center"/>
          </w:tcPr>
          <w:p w14:paraId="7495AB6B">
            <w:pPr>
              <w:autoSpaceDE w:val="0"/>
              <w:autoSpaceDN w:val="0"/>
              <w:adjustRightInd w:val="0"/>
              <w:snapToGrid w:val="0"/>
              <w:spacing w:line="360" w:lineRule="auto"/>
              <w:rPr>
                <w:rFonts w:hint="eastAsia"/>
                <w:b/>
                <w:bCs/>
                <w:color w:val="auto"/>
                <w:sz w:val="24"/>
                <w:u w:val="single"/>
              </w:rPr>
            </w:pPr>
            <w:r>
              <w:rPr>
                <w:rFonts w:hint="eastAsia"/>
                <w:b/>
                <w:bCs/>
                <w:color w:val="auto"/>
                <w:sz w:val="24"/>
                <w:u w:val="single"/>
              </w:rPr>
              <w:t>规划名称：《清丰县产业集聚区发展规划（2009-2020）》、《清丰县产业集聚区发展规划调整方案（2013-2020）》</w:t>
            </w:r>
          </w:p>
          <w:p w14:paraId="6358A522">
            <w:pPr>
              <w:autoSpaceDE w:val="0"/>
              <w:autoSpaceDN w:val="0"/>
              <w:adjustRightInd w:val="0"/>
              <w:snapToGrid w:val="0"/>
              <w:spacing w:line="360" w:lineRule="auto"/>
              <w:rPr>
                <w:rFonts w:hint="eastAsia"/>
                <w:b/>
                <w:bCs/>
                <w:color w:val="auto"/>
                <w:sz w:val="24"/>
                <w:u w:val="single"/>
              </w:rPr>
            </w:pPr>
            <w:r>
              <w:rPr>
                <w:rFonts w:hint="eastAsia"/>
                <w:b/>
                <w:bCs/>
                <w:color w:val="auto"/>
                <w:sz w:val="24"/>
                <w:u w:val="single"/>
              </w:rPr>
              <w:t>审批机关：河南省发展和改革委员会</w:t>
            </w:r>
          </w:p>
          <w:p w14:paraId="764C4357">
            <w:pPr>
              <w:autoSpaceDE w:val="0"/>
              <w:autoSpaceDN w:val="0"/>
              <w:adjustRightInd w:val="0"/>
              <w:snapToGrid w:val="0"/>
              <w:spacing w:line="360" w:lineRule="auto"/>
              <w:rPr>
                <w:rFonts w:hint="eastAsia"/>
                <w:b/>
                <w:bCs/>
                <w:color w:val="auto"/>
                <w:sz w:val="24"/>
                <w:u w:val="single"/>
              </w:rPr>
            </w:pPr>
            <w:r>
              <w:rPr>
                <w:rFonts w:hint="eastAsia"/>
                <w:b/>
                <w:bCs/>
                <w:color w:val="auto"/>
                <w:sz w:val="24"/>
                <w:u w:val="single"/>
              </w:rPr>
              <w:t>审批文件名称及文号：《关于清丰县产业集聚区发展规划调整方案的批复》（豫发改工业【2016】363号）</w:t>
            </w:r>
          </w:p>
          <w:p w14:paraId="1F6398BB">
            <w:pPr>
              <w:autoSpaceDE w:val="0"/>
              <w:autoSpaceDN w:val="0"/>
              <w:adjustRightInd w:val="0"/>
              <w:snapToGrid w:val="0"/>
              <w:spacing w:line="360" w:lineRule="auto"/>
              <w:rPr>
                <w:rFonts w:hint="eastAsia"/>
                <w:b/>
                <w:bCs/>
                <w:color w:val="auto"/>
                <w:sz w:val="24"/>
                <w:u w:val="single"/>
              </w:rPr>
            </w:pPr>
            <w:r>
              <w:rPr>
                <w:rFonts w:hint="eastAsia"/>
                <w:b/>
                <w:bCs/>
                <w:color w:val="auto"/>
                <w:sz w:val="24"/>
                <w:u w:val="single"/>
              </w:rPr>
              <w:t>新规划名称：《清丰县先进制造业开发区发展规划（2022-2035）》</w:t>
            </w:r>
          </w:p>
          <w:p w14:paraId="5D8CAF39">
            <w:pPr>
              <w:autoSpaceDE w:val="0"/>
              <w:autoSpaceDN w:val="0"/>
              <w:adjustRightInd w:val="0"/>
              <w:snapToGrid w:val="0"/>
              <w:spacing w:line="360" w:lineRule="auto"/>
              <w:rPr>
                <w:rFonts w:hint="eastAsia"/>
                <w:b/>
                <w:bCs/>
                <w:color w:val="auto"/>
                <w:sz w:val="24"/>
                <w:u w:val="single"/>
              </w:rPr>
            </w:pPr>
            <w:r>
              <w:rPr>
                <w:rFonts w:hint="eastAsia"/>
                <w:b/>
                <w:bCs/>
                <w:color w:val="auto"/>
                <w:sz w:val="24"/>
                <w:u w:val="single"/>
              </w:rPr>
              <w:t>编制单位：河南省城乡规划设计研究总院股份有限公司</w:t>
            </w:r>
          </w:p>
          <w:p w14:paraId="14E3F72D">
            <w:pPr>
              <w:autoSpaceDE w:val="0"/>
              <w:autoSpaceDN w:val="0"/>
              <w:adjustRightInd w:val="0"/>
              <w:snapToGrid w:val="0"/>
              <w:spacing w:line="360" w:lineRule="auto"/>
              <w:rPr>
                <w:color w:val="auto"/>
              </w:rPr>
            </w:pPr>
            <w:r>
              <w:rPr>
                <w:rFonts w:hint="eastAsia"/>
                <w:color w:val="auto"/>
                <w:sz w:val="24"/>
              </w:rPr>
              <w:t>审批机关：河南省发展和改革委员会</w:t>
            </w:r>
          </w:p>
        </w:tc>
      </w:tr>
      <w:tr w14:paraId="1C2EEF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1081" w:type="dxa"/>
            <w:gridSpan w:val="2"/>
            <w:vAlign w:val="center"/>
          </w:tcPr>
          <w:p w14:paraId="374EC4FD">
            <w:pPr>
              <w:adjustRightInd w:val="0"/>
              <w:snapToGrid w:val="0"/>
              <w:jc w:val="center"/>
              <w:rPr>
                <w:b/>
                <w:bCs/>
                <w:color w:val="auto"/>
                <w:sz w:val="24"/>
              </w:rPr>
            </w:pPr>
            <w:r>
              <w:rPr>
                <w:b/>
                <w:bCs/>
                <w:color w:val="auto"/>
                <w:sz w:val="24"/>
              </w:rPr>
              <w:t>规划环境影响</w:t>
            </w:r>
          </w:p>
          <w:p w14:paraId="6B22E9D2">
            <w:pPr>
              <w:adjustRightInd w:val="0"/>
              <w:snapToGrid w:val="0"/>
              <w:jc w:val="center"/>
              <w:rPr>
                <w:color w:val="auto"/>
                <w:kern w:val="0"/>
                <w:sz w:val="24"/>
              </w:rPr>
            </w:pPr>
            <w:r>
              <w:rPr>
                <w:b/>
                <w:bCs/>
                <w:color w:val="auto"/>
                <w:sz w:val="24"/>
              </w:rPr>
              <w:t>评价情况</w:t>
            </w:r>
          </w:p>
        </w:tc>
        <w:tc>
          <w:tcPr>
            <w:tcW w:w="7810" w:type="dxa"/>
            <w:gridSpan w:val="3"/>
            <w:vAlign w:val="center"/>
          </w:tcPr>
          <w:p w14:paraId="3257C79D">
            <w:pPr>
              <w:adjustRightInd w:val="0"/>
              <w:snapToGrid w:val="0"/>
              <w:spacing w:line="360" w:lineRule="auto"/>
              <w:rPr>
                <w:rFonts w:hint="eastAsia"/>
                <w:b/>
                <w:bCs/>
                <w:color w:val="auto"/>
                <w:kern w:val="0"/>
                <w:sz w:val="24"/>
                <w:u w:val="single"/>
              </w:rPr>
            </w:pPr>
            <w:r>
              <w:rPr>
                <w:rFonts w:hint="eastAsia"/>
                <w:b/>
                <w:bCs/>
                <w:color w:val="auto"/>
                <w:kern w:val="0"/>
                <w:sz w:val="24"/>
                <w:u w:val="single"/>
              </w:rPr>
              <w:t>规划环评名称：《清丰县产业集聚区总体发展规划（2013-2020）环境影响评价报告书》</w:t>
            </w:r>
          </w:p>
          <w:p w14:paraId="653674C0">
            <w:pPr>
              <w:adjustRightInd w:val="0"/>
              <w:snapToGrid w:val="0"/>
              <w:spacing w:line="360" w:lineRule="auto"/>
              <w:rPr>
                <w:rFonts w:hint="eastAsia"/>
                <w:b/>
                <w:bCs/>
                <w:color w:val="auto"/>
                <w:kern w:val="0"/>
                <w:sz w:val="24"/>
                <w:u w:val="single"/>
              </w:rPr>
            </w:pPr>
            <w:r>
              <w:rPr>
                <w:rFonts w:hint="eastAsia"/>
                <w:b/>
                <w:bCs/>
                <w:color w:val="auto"/>
                <w:kern w:val="0"/>
                <w:sz w:val="24"/>
                <w:u w:val="single"/>
              </w:rPr>
              <w:t>审批部门：濮阳市环境保护局</w:t>
            </w:r>
          </w:p>
          <w:p w14:paraId="6D95558B">
            <w:pPr>
              <w:adjustRightInd w:val="0"/>
              <w:snapToGrid w:val="0"/>
              <w:spacing w:line="360" w:lineRule="auto"/>
              <w:rPr>
                <w:rFonts w:hint="eastAsia"/>
                <w:color w:val="auto"/>
                <w:kern w:val="0"/>
                <w:sz w:val="24"/>
              </w:rPr>
            </w:pPr>
            <w:r>
              <w:rPr>
                <w:rFonts w:hint="eastAsia"/>
                <w:b/>
                <w:bCs/>
                <w:color w:val="auto"/>
                <w:kern w:val="0"/>
                <w:sz w:val="24"/>
                <w:u w:val="single"/>
              </w:rPr>
              <w:t>审批文号：濮环审〔2017〕10号</w:t>
            </w:r>
          </w:p>
          <w:p w14:paraId="0E9D487D">
            <w:pPr>
              <w:adjustRightInd w:val="0"/>
              <w:snapToGrid w:val="0"/>
              <w:spacing w:line="360" w:lineRule="auto"/>
              <w:rPr>
                <w:rFonts w:hint="eastAsia"/>
                <w:b/>
                <w:bCs/>
                <w:color w:val="auto"/>
                <w:kern w:val="0"/>
                <w:sz w:val="24"/>
                <w:u w:val="single"/>
              </w:rPr>
            </w:pPr>
            <w:r>
              <w:rPr>
                <w:rFonts w:hint="eastAsia"/>
                <w:color w:val="auto"/>
                <w:kern w:val="0"/>
                <w:sz w:val="24"/>
              </w:rPr>
              <w:t>新规划环评名称：</w:t>
            </w:r>
            <w:r>
              <w:rPr>
                <w:rFonts w:hint="eastAsia"/>
                <w:b/>
                <w:bCs/>
                <w:color w:val="auto"/>
                <w:kern w:val="0"/>
                <w:sz w:val="24"/>
                <w:u w:val="single"/>
              </w:rPr>
              <w:t>《清丰县先进制造业开发区发展规划（2022-2035 年）环境影响评价报告书》</w:t>
            </w:r>
          </w:p>
          <w:p w14:paraId="595AC233">
            <w:pPr>
              <w:adjustRightInd w:val="0"/>
              <w:snapToGrid w:val="0"/>
              <w:spacing w:line="360" w:lineRule="auto"/>
              <w:rPr>
                <w:rFonts w:hint="eastAsia" w:eastAsia="宋体"/>
                <w:color w:val="auto"/>
                <w:kern w:val="0"/>
                <w:sz w:val="24"/>
                <w:lang w:val="en-US" w:eastAsia="zh-CN"/>
              </w:rPr>
            </w:pPr>
            <w:r>
              <w:rPr>
                <w:color w:val="auto"/>
                <w:kern w:val="0"/>
                <w:sz w:val="24"/>
              </w:rPr>
              <w:t>编制单位：</w:t>
            </w:r>
            <w:r>
              <w:rPr>
                <w:rFonts w:hint="eastAsia"/>
                <w:b/>
                <w:bCs/>
                <w:strike w:val="0"/>
                <w:dstrike w:val="0"/>
                <w:color w:val="auto"/>
                <w:kern w:val="0"/>
                <w:sz w:val="24"/>
                <w:u w:val="single"/>
                <w:lang w:val="en-US" w:eastAsia="zh-CN"/>
              </w:rPr>
              <w:t>河南汇商环保科技有限公司</w:t>
            </w:r>
          </w:p>
          <w:p w14:paraId="1BBBFE4F">
            <w:pPr>
              <w:adjustRightInd w:val="0"/>
              <w:snapToGrid w:val="0"/>
              <w:spacing w:line="360" w:lineRule="auto"/>
              <w:rPr>
                <w:rFonts w:hint="eastAsia"/>
                <w:color w:val="auto"/>
              </w:rPr>
            </w:pPr>
            <w:r>
              <w:rPr>
                <w:rFonts w:hint="eastAsia"/>
                <w:color w:val="auto"/>
                <w:kern w:val="0"/>
                <w:sz w:val="24"/>
              </w:rPr>
              <w:t>召集</w:t>
            </w:r>
            <w:r>
              <w:rPr>
                <w:color w:val="auto"/>
                <w:kern w:val="0"/>
                <w:sz w:val="24"/>
              </w:rPr>
              <w:t>审查机关：濮阳市生态环境局</w:t>
            </w:r>
          </w:p>
        </w:tc>
      </w:tr>
      <w:tr w14:paraId="2A75DA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7" w:type="dxa"/>
            <w:vAlign w:val="center"/>
          </w:tcPr>
          <w:p w14:paraId="56DD68F3">
            <w:pPr>
              <w:adjustRightInd w:val="0"/>
              <w:snapToGrid w:val="0"/>
              <w:jc w:val="center"/>
              <w:rPr>
                <w:color w:val="auto"/>
                <w:kern w:val="0"/>
                <w:szCs w:val="21"/>
              </w:rPr>
            </w:pPr>
            <w:r>
              <w:rPr>
                <w:b/>
                <w:bCs/>
                <w:color w:val="auto"/>
                <w:kern w:val="0"/>
                <w:sz w:val="24"/>
                <w:szCs w:val="24"/>
              </w:rPr>
              <w:t>规划及规划环境影响评价符合性分析</w:t>
            </w:r>
          </w:p>
        </w:tc>
        <w:tc>
          <w:tcPr>
            <w:tcW w:w="8434" w:type="dxa"/>
            <w:gridSpan w:val="4"/>
            <w:vAlign w:val="center"/>
          </w:tcPr>
          <w:p w14:paraId="4BE49922">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both"/>
              <w:textAlignment w:val="auto"/>
              <w:rPr>
                <w:rFonts w:hint="eastAsia" w:ascii="Times New Roman" w:hAnsi="Times New Roman" w:eastAsia="宋体" w:cs="Times New Roman"/>
                <w:b/>
                <w:bCs/>
                <w:color w:val="auto"/>
                <w:kern w:val="2"/>
                <w:sz w:val="24"/>
                <w:szCs w:val="24"/>
                <w:u w:val="single"/>
                <w:lang w:val="en-US" w:eastAsia="zh-CN" w:bidi="ar-SA"/>
              </w:rPr>
            </w:pPr>
            <w:r>
              <w:rPr>
                <w:rFonts w:hint="eastAsia" w:ascii="Times New Roman" w:hAnsi="Times New Roman" w:eastAsia="宋体" w:cs="Times New Roman"/>
                <w:b/>
                <w:bCs/>
                <w:color w:val="auto"/>
                <w:kern w:val="2"/>
                <w:sz w:val="24"/>
                <w:szCs w:val="24"/>
                <w:u w:val="single"/>
                <w:lang w:val="en-US" w:eastAsia="zh-CN" w:bidi="ar-SA"/>
              </w:rPr>
              <w:t>清丰县先进制造业开发区依托清丰县产业集聚区建设，开发区成立以来，主导产业发展迅速，以先进制造业开发区为载体，聚焦家居、食品、节能环保三大主导产业，突出产业链“延链、补链、强链”，加快传统产业提质增效，实木家具园、智能家居园、家纺产业园三个“园中园”成效初显。马庄桥商贸片区主要由清丰国际家居博览交易中心和清丰万邦农产品批发市场组成。六塔工业园位于六塔乡南侧，西接濮阳市华龙区、东邻范县，南靠濮阳县，是一区三县的交会地带，基地对外交通状况良好，为清丰县新兴产业园。</w:t>
            </w:r>
          </w:p>
          <w:p w14:paraId="437A2244">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both"/>
              <w:textAlignment w:val="auto"/>
              <w:rPr>
                <w:rFonts w:hint="eastAsia" w:ascii="Times New Roman" w:hAnsi="Times New Roman" w:eastAsia="宋体" w:cs="Times New Roman"/>
                <w:b/>
                <w:bCs/>
                <w:color w:val="auto"/>
                <w:kern w:val="2"/>
                <w:sz w:val="24"/>
                <w:szCs w:val="24"/>
                <w:u w:val="single"/>
                <w:lang w:val="en-US" w:eastAsia="zh-CN" w:bidi="ar-SA"/>
              </w:rPr>
            </w:pPr>
            <w:r>
              <w:rPr>
                <w:rFonts w:hint="eastAsia" w:ascii="Times New Roman" w:hAnsi="Times New Roman" w:eastAsia="宋体" w:cs="Times New Roman"/>
                <w:b/>
                <w:bCs/>
                <w:color w:val="auto"/>
                <w:kern w:val="2"/>
                <w:sz w:val="24"/>
                <w:szCs w:val="24"/>
                <w:u w:val="single"/>
                <w:lang w:val="en-US" w:eastAsia="zh-CN" w:bidi="ar-SA"/>
              </w:rPr>
              <w:t>2022年，经省发改委批复，将清丰县产业集聚区、马庄桥商贸片区和六塔工业园整合为清丰县先进制造业开发区。至此，清丰县先进制造业开发区由城区综合制造产业园、马庄桥商贸物流园和六塔工业园组成。</w:t>
            </w:r>
          </w:p>
          <w:p w14:paraId="234014EC">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both"/>
              <w:textAlignment w:val="auto"/>
              <w:rPr>
                <w:rFonts w:hint="eastAsia" w:ascii="Times New Roman" w:hAnsi="Times New Roman" w:eastAsia="宋体" w:cs="Times New Roman"/>
                <w:b/>
                <w:bCs/>
                <w:color w:val="auto"/>
                <w:kern w:val="2"/>
                <w:sz w:val="24"/>
                <w:szCs w:val="24"/>
                <w:u w:val="single"/>
                <w:lang w:val="en-US" w:eastAsia="zh-CN" w:bidi="ar-SA"/>
              </w:rPr>
            </w:pPr>
            <w:r>
              <w:rPr>
                <w:rFonts w:hint="eastAsia" w:ascii="Times New Roman" w:hAnsi="Times New Roman" w:eastAsia="宋体" w:cs="Times New Roman"/>
                <w:b/>
                <w:bCs/>
                <w:color w:val="auto"/>
                <w:kern w:val="2"/>
                <w:sz w:val="24"/>
                <w:szCs w:val="24"/>
                <w:u w:val="single"/>
                <w:lang w:val="en-US" w:eastAsia="zh-CN" w:bidi="ar-SA"/>
              </w:rPr>
              <w:t>清丰县先进制造业开发区发展规划期限为2022-2035年，规划近期至2025年，远期至2035年。</w:t>
            </w:r>
          </w:p>
          <w:p w14:paraId="126E8B70">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both"/>
              <w:textAlignment w:val="auto"/>
              <w:rPr>
                <w:rFonts w:hint="eastAsia" w:ascii="Times New Roman" w:hAnsi="Times New Roman" w:eastAsia="宋体" w:cs="Times New Roman"/>
                <w:b/>
                <w:bCs/>
                <w:color w:val="auto"/>
                <w:kern w:val="2"/>
                <w:sz w:val="24"/>
                <w:szCs w:val="24"/>
                <w:u w:val="single"/>
                <w:lang w:val="en-US" w:eastAsia="zh-CN" w:bidi="ar-SA"/>
              </w:rPr>
            </w:pPr>
            <w:r>
              <w:rPr>
                <w:rFonts w:hint="eastAsia" w:ascii="Times New Roman" w:hAnsi="Times New Roman" w:eastAsia="宋体" w:cs="Times New Roman"/>
                <w:b/>
                <w:bCs/>
                <w:color w:val="auto"/>
                <w:kern w:val="2"/>
                <w:sz w:val="24"/>
                <w:szCs w:val="24"/>
                <w:u w:val="single"/>
                <w:lang w:val="en-US" w:eastAsia="zh-CN" w:bidi="ar-SA"/>
              </w:rPr>
              <w:t>（1）规划范围</w:t>
            </w:r>
          </w:p>
          <w:p w14:paraId="76ED7F26">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both"/>
              <w:textAlignment w:val="auto"/>
              <w:rPr>
                <w:rFonts w:hint="eastAsia" w:ascii="Times New Roman" w:hAnsi="Times New Roman" w:eastAsia="宋体" w:cs="Times New Roman"/>
                <w:b/>
                <w:bCs/>
                <w:color w:val="auto"/>
                <w:kern w:val="2"/>
                <w:sz w:val="24"/>
                <w:szCs w:val="24"/>
                <w:u w:val="single"/>
                <w:lang w:val="en-US" w:eastAsia="zh-CN" w:bidi="ar-SA"/>
              </w:rPr>
            </w:pPr>
            <w:r>
              <w:rPr>
                <w:rFonts w:hint="eastAsia" w:ascii="Times New Roman" w:hAnsi="Times New Roman" w:eastAsia="宋体" w:cs="Times New Roman"/>
                <w:b/>
                <w:bCs/>
                <w:color w:val="auto"/>
                <w:kern w:val="2"/>
                <w:sz w:val="24"/>
                <w:szCs w:val="24"/>
                <w:u w:val="single"/>
                <w:lang w:val="en-US" w:eastAsia="zh-CN" w:bidi="ar-SA"/>
              </w:rPr>
              <w:t>清丰县先进制造业开发区共分为三个片区，分别为城区综合制造产业园、马庄桥商贸物流产业园和六塔工业园，总规划面积为24.75平方公里。</w:t>
            </w:r>
          </w:p>
          <w:p w14:paraId="47238F48">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both"/>
              <w:textAlignment w:val="auto"/>
              <w:rPr>
                <w:rFonts w:hint="eastAsia" w:ascii="Times New Roman" w:hAnsi="Times New Roman" w:eastAsia="宋体" w:cs="Times New Roman"/>
                <w:b/>
                <w:bCs/>
                <w:color w:val="auto"/>
                <w:kern w:val="2"/>
                <w:sz w:val="24"/>
                <w:szCs w:val="24"/>
                <w:u w:val="single"/>
                <w:lang w:val="en-US" w:eastAsia="zh-CN" w:bidi="ar-SA"/>
              </w:rPr>
            </w:pPr>
            <w:r>
              <w:rPr>
                <w:rFonts w:hint="eastAsia" w:ascii="Times New Roman" w:hAnsi="Times New Roman" w:eastAsia="宋体" w:cs="Times New Roman"/>
                <w:b/>
                <w:bCs/>
                <w:color w:val="auto"/>
                <w:kern w:val="2"/>
                <w:sz w:val="24"/>
                <w:szCs w:val="24"/>
                <w:u w:val="single"/>
                <w:lang w:val="en-US" w:eastAsia="zh-CN" w:bidi="ar-SA"/>
              </w:rPr>
              <w:t>城区综合制造产业园前身为清丰县产业集聚区，规划面积为17.93平方公里，东至龙乡路、北至潴泷河、西至晓月路、南至柳格大道；</w:t>
            </w:r>
          </w:p>
          <w:p w14:paraId="7C103733">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both"/>
              <w:textAlignment w:val="auto"/>
              <w:rPr>
                <w:rFonts w:hint="eastAsia" w:ascii="Times New Roman" w:hAnsi="Times New Roman" w:eastAsia="宋体" w:cs="Times New Roman"/>
                <w:b/>
                <w:bCs/>
                <w:color w:val="auto"/>
                <w:kern w:val="2"/>
                <w:sz w:val="24"/>
                <w:szCs w:val="24"/>
                <w:u w:val="single"/>
                <w:lang w:val="en-US" w:eastAsia="zh-CN" w:bidi="ar-SA"/>
              </w:rPr>
            </w:pPr>
            <w:r>
              <w:rPr>
                <w:rFonts w:hint="eastAsia" w:ascii="Times New Roman" w:hAnsi="Times New Roman" w:eastAsia="宋体" w:cs="Times New Roman"/>
                <w:b/>
                <w:bCs/>
                <w:color w:val="auto"/>
                <w:kern w:val="2"/>
                <w:sz w:val="24"/>
                <w:szCs w:val="24"/>
                <w:u w:val="single"/>
                <w:lang w:val="en-US" w:eastAsia="zh-CN" w:bidi="ar-SA"/>
              </w:rPr>
              <w:t>马庄桥商贸物流园分成东西两个区域，总规划面积4.06平方公里，位于城镇开发边界内用地面积为3.14平方公里。</w:t>
            </w:r>
          </w:p>
          <w:p w14:paraId="4018DC56">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both"/>
              <w:textAlignment w:val="auto"/>
              <w:rPr>
                <w:rFonts w:hint="eastAsia" w:ascii="Times New Roman" w:hAnsi="Times New Roman" w:eastAsia="宋体" w:cs="Times New Roman"/>
                <w:b/>
                <w:bCs/>
                <w:color w:val="auto"/>
                <w:kern w:val="2"/>
                <w:sz w:val="24"/>
                <w:szCs w:val="24"/>
                <w:u w:val="single"/>
                <w:lang w:val="en-US" w:eastAsia="zh-CN" w:bidi="ar-SA"/>
              </w:rPr>
            </w:pPr>
            <w:r>
              <w:rPr>
                <w:rFonts w:hint="eastAsia" w:ascii="Times New Roman" w:hAnsi="Times New Roman" w:eastAsia="宋体" w:cs="Times New Roman"/>
                <w:b/>
                <w:bCs/>
                <w:color w:val="auto"/>
                <w:kern w:val="2"/>
                <w:sz w:val="24"/>
                <w:szCs w:val="24"/>
                <w:u w:val="single"/>
                <w:lang w:val="en-US" w:eastAsia="zh-CN" w:bidi="ar-SA"/>
              </w:rPr>
              <w:t>六塔工业园位于六塔乡东南部，西接濮阳市华龙区、东邻范县，南靠濮阳县，是一区三县的交汇处，规划总用地面积2.76平方公里。</w:t>
            </w:r>
          </w:p>
          <w:p w14:paraId="33DBEA89">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both"/>
              <w:textAlignment w:val="auto"/>
              <w:rPr>
                <w:rFonts w:hint="eastAsia" w:ascii="Times New Roman" w:hAnsi="Times New Roman" w:eastAsia="宋体" w:cs="Times New Roman"/>
                <w:b/>
                <w:bCs/>
                <w:color w:val="auto"/>
                <w:kern w:val="2"/>
                <w:sz w:val="24"/>
                <w:szCs w:val="24"/>
                <w:highlight w:val="none"/>
                <w:u w:val="single"/>
                <w:lang w:val="en-US" w:eastAsia="zh-CN" w:bidi="ar-SA"/>
              </w:rPr>
            </w:pPr>
            <w:r>
              <w:rPr>
                <w:rFonts w:hint="eastAsia" w:ascii="Times New Roman" w:hAnsi="Times New Roman" w:eastAsia="宋体" w:cs="Times New Roman"/>
                <w:b/>
                <w:bCs/>
                <w:color w:val="auto"/>
                <w:kern w:val="2"/>
                <w:sz w:val="24"/>
                <w:szCs w:val="24"/>
                <w:highlight w:val="none"/>
                <w:u w:val="single"/>
                <w:lang w:val="en-US" w:eastAsia="zh-CN" w:bidi="ar-SA"/>
              </w:rPr>
              <w:t>本项目位于城区综合制造产业园北侧，在规划范围内。</w:t>
            </w:r>
          </w:p>
          <w:p w14:paraId="61FFF655">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both"/>
              <w:textAlignment w:val="auto"/>
              <w:rPr>
                <w:rFonts w:hint="eastAsia" w:ascii="Times New Roman" w:hAnsi="Times New Roman" w:eastAsia="宋体" w:cs="Times New Roman"/>
                <w:b/>
                <w:bCs/>
                <w:color w:val="auto"/>
                <w:kern w:val="2"/>
                <w:sz w:val="24"/>
                <w:szCs w:val="24"/>
                <w:u w:val="single"/>
                <w:lang w:val="en-US" w:eastAsia="zh-CN" w:bidi="ar-SA"/>
              </w:rPr>
            </w:pPr>
            <w:r>
              <w:rPr>
                <w:rFonts w:hint="eastAsia" w:ascii="Times New Roman" w:hAnsi="Times New Roman" w:eastAsia="宋体" w:cs="Times New Roman"/>
                <w:b/>
                <w:bCs/>
                <w:color w:val="auto"/>
                <w:kern w:val="2"/>
                <w:sz w:val="24"/>
                <w:szCs w:val="24"/>
                <w:u w:val="single"/>
                <w:lang w:val="en-US" w:eastAsia="zh-CN" w:bidi="ar-SA"/>
              </w:rPr>
              <w:t>（2）基础设施（节选相关部分）</w:t>
            </w:r>
          </w:p>
          <w:p w14:paraId="4640FE0A">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both"/>
              <w:textAlignment w:val="auto"/>
              <w:rPr>
                <w:rFonts w:hint="eastAsia" w:ascii="Times New Roman" w:hAnsi="Times New Roman" w:eastAsia="宋体" w:cs="Times New Roman"/>
                <w:b/>
                <w:bCs/>
                <w:color w:val="auto"/>
                <w:kern w:val="2"/>
                <w:sz w:val="24"/>
                <w:szCs w:val="24"/>
                <w:u w:val="single"/>
                <w:lang w:val="en-US" w:eastAsia="zh-CN" w:bidi="ar-SA"/>
              </w:rPr>
            </w:pPr>
            <w:r>
              <w:rPr>
                <w:rFonts w:hint="eastAsia" w:ascii="Times New Roman" w:hAnsi="Times New Roman" w:eastAsia="宋体" w:cs="Times New Roman"/>
                <w:b/>
                <w:bCs/>
                <w:color w:val="auto"/>
                <w:kern w:val="2"/>
                <w:sz w:val="24"/>
                <w:szCs w:val="24"/>
                <w:u w:val="single"/>
                <w:lang w:val="en-US" w:eastAsia="zh-CN" w:bidi="ar-SA"/>
              </w:rPr>
              <w:t>供排水：城区综合制造产业园区内现有水厂一座，日供水量达到3万立方米，供水管线13686米；已规划的工业污水处理厂一座，日处理2万立方米，排水管线约10公里。</w:t>
            </w:r>
          </w:p>
          <w:p w14:paraId="339563C4">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both"/>
              <w:textAlignment w:val="auto"/>
              <w:rPr>
                <w:rFonts w:hint="eastAsia" w:ascii="Times New Roman" w:hAnsi="Times New Roman" w:eastAsia="宋体" w:cs="Times New Roman"/>
                <w:b/>
                <w:bCs/>
                <w:color w:val="auto"/>
                <w:kern w:val="2"/>
                <w:sz w:val="24"/>
                <w:szCs w:val="24"/>
                <w:u w:val="single"/>
                <w:lang w:val="en-US" w:eastAsia="zh-CN" w:bidi="ar-SA"/>
              </w:rPr>
            </w:pPr>
            <w:r>
              <w:rPr>
                <w:rFonts w:hint="eastAsia" w:ascii="Times New Roman" w:hAnsi="Times New Roman" w:eastAsia="宋体" w:cs="Times New Roman"/>
                <w:b/>
                <w:bCs/>
                <w:color w:val="auto"/>
                <w:kern w:val="2"/>
                <w:sz w:val="24"/>
                <w:szCs w:val="24"/>
                <w:u w:val="single"/>
                <w:lang w:val="en-US" w:eastAsia="zh-CN" w:bidi="ar-SA"/>
              </w:rPr>
              <w:t>固废：垃圾处理场一座，日处理能力220吨。</w:t>
            </w:r>
          </w:p>
          <w:p w14:paraId="2FDC6590">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both"/>
              <w:textAlignment w:val="auto"/>
              <w:rPr>
                <w:rFonts w:hint="eastAsia" w:ascii="Times New Roman" w:hAnsi="Times New Roman" w:eastAsia="宋体" w:cs="Times New Roman"/>
                <w:b/>
                <w:bCs/>
                <w:color w:val="auto"/>
                <w:kern w:val="2"/>
                <w:sz w:val="24"/>
                <w:szCs w:val="24"/>
                <w:u w:val="single"/>
                <w:lang w:val="en-US" w:eastAsia="zh-CN" w:bidi="ar-SA"/>
              </w:rPr>
            </w:pPr>
            <w:r>
              <w:rPr>
                <w:rFonts w:hint="eastAsia" w:ascii="Times New Roman" w:hAnsi="Times New Roman" w:eastAsia="宋体" w:cs="Times New Roman"/>
                <w:b/>
                <w:bCs/>
                <w:color w:val="auto"/>
                <w:kern w:val="2"/>
                <w:sz w:val="24"/>
                <w:szCs w:val="24"/>
                <w:u w:val="single"/>
                <w:lang w:val="en-US" w:eastAsia="zh-CN" w:bidi="ar-SA"/>
              </w:rPr>
              <w:t>供气：区内建成天然气供气枢纽站1座，架设供气管道4550米，可提供现有企业的正常用气。</w:t>
            </w:r>
          </w:p>
          <w:p w14:paraId="42E1B867">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both"/>
              <w:textAlignment w:val="auto"/>
              <w:rPr>
                <w:rFonts w:hint="eastAsia" w:ascii="Times New Roman" w:hAnsi="Times New Roman" w:eastAsia="宋体" w:cs="Times New Roman"/>
                <w:b/>
                <w:bCs/>
                <w:color w:val="auto"/>
                <w:kern w:val="2"/>
                <w:sz w:val="24"/>
                <w:szCs w:val="24"/>
                <w:u w:val="single"/>
                <w:lang w:val="en-US" w:eastAsia="zh-CN" w:bidi="ar-SA"/>
              </w:rPr>
            </w:pPr>
            <w:r>
              <w:rPr>
                <w:rFonts w:hint="eastAsia" w:ascii="Times New Roman" w:hAnsi="Times New Roman" w:eastAsia="宋体" w:cs="Times New Roman"/>
                <w:b/>
                <w:bCs/>
                <w:color w:val="auto"/>
                <w:kern w:val="2"/>
                <w:sz w:val="24"/>
                <w:szCs w:val="24"/>
                <w:u w:val="single"/>
                <w:lang w:val="en-US" w:eastAsia="zh-CN" w:bidi="ar-SA"/>
              </w:rPr>
              <w:t>供电：开发区距城关110KV变电站2公里，距高堡110KV变电站5公里。</w:t>
            </w:r>
          </w:p>
          <w:p w14:paraId="2A98F39E">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both"/>
              <w:textAlignment w:val="auto"/>
              <w:rPr>
                <w:rFonts w:hint="eastAsia" w:ascii="Times New Roman" w:hAnsi="Times New Roman" w:eastAsia="宋体" w:cs="Times New Roman"/>
                <w:b/>
                <w:bCs/>
                <w:color w:val="auto"/>
                <w:kern w:val="2"/>
                <w:sz w:val="24"/>
                <w:szCs w:val="24"/>
                <w:u w:val="single"/>
                <w:lang w:val="en-US" w:eastAsia="zh-CN" w:bidi="ar-SA"/>
              </w:rPr>
            </w:pPr>
            <w:r>
              <w:rPr>
                <w:rFonts w:hint="eastAsia" w:ascii="Times New Roman" w:hAnsi="Times New Roman" w:eastAsia="宋体" w:cs="Times New Roman"/>
                <w:b/>
                <w:bCs/>
                <w:color w:val="auto"/>
                <w:kern w:val="2"/>
                <w:sz w:val="24"/>
                <w:szCs w:val="24"/>
                <w:u w:val="single"/>
                <w:lang w:val="en-US" w:eastAsia="zh-CN" w:bidi="ar-SA"/>
              </w:rPr>
              <w:t>目前区内各企业用电主要来自城关110KV变电站。</w:t>
            </w:r>
          </w:p>
          <w:p w14:paraId="097C7126">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both"/>
              <w:textAlignment w:val="auto"/>
              <w:rPr>
                <w:rFonts w:hint="eastAsia" w:ascii="Times New Roman" w:hAnsi="Times New Roman" w:eastAsia="宋体" w:cs="Times New Roman"/>
                <w:b/>
                <w:bCs/>
                <w:color w:val="auto"/>
                <w:kern w:val="2"/>
                <w:sz w:val="24"/>
                <w:szCs w:val="24"/>
                <w:highlight w:val="none"/>
                <w:u w:val="single"/>
                <w:lang w:val="en-US" w:eastAsia="zh-CN" w:bidi="ar-SA"/>
              </w:rPr>
            </w:pPr>
            <w:r>
              <w:rPr>
                <w:rFonts w:hint="eastAsia" w:ascii="Times New Roman" w:hAnsi="Times New Roman" w:eastAsia="宋体" w:cs="Times New Roman"/>
                <w:b/>
                <w:bCs/>
                <w:color w:val="auto"/>
                <w:kern w:val="2"/>
                <w:sz w:val="24"/>
                <w:szCs w:val="24"/>
                <w:highlight w:val="none"/>
                <w:u w:val="single"/>
                <w:lang w:val="en-US" w:eastAsia="zh-CN" w:bidi="ar-SA"/>
              </w:rPr>
              <w:t>根据现场踏勘情况，项目所在位置基础设施完善，供水、供电可接入，雨污管网已铺设至厂区西侧道路，已完成接管。</w:t>
            </w:r>
          </w:p>
          <w:p w14:paraId="5AC57F7B">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both"/>
              <w:textAlignment w:val="auto"/>
              <w:rPr>
                <w:rFonts w:hint="eastAsia" w:ascii="Times New Roman" w:hAnsi="Times New Roman" w:eastAsia="宋体" w:cs="Times New Roman"/>
                <w:b/>
                <w:bCs/>
                <w:color w:val="auto"/>
                <w:kern w:val="2"/>
                <w:sz w:val="24"/>
                <w:szCs w:val="24"/>
                <w:u w:val="single"/>
                <w:lang w:val="en-US" w:eastAsia="zh-CN" w:bidi="ar-SA"/>
              </w:rPr>
            </w:pPr>
            <w:r>
              <w:rPr>
                <w:rFonts w:hint="eastAsia" w:ascii="Times New Roman" w:hAnsi="Times New Roman" w:eastAsia="宋体" w:cs="Times New Roman"/>
                <w:b/>
                <w:bCs/>
                <w:color w:val="auto"/>
                <w:kern w:val="2"/>
                <w:sz w:val="24"/>
                <w:szCs w:val="24"/>
                <w:u w:val="single"/>
                <w:lang w:val="en-US" w:eastAsia="zh-CN" w:bidi="ar-SA"/>
              </w:rPr>
              <w:t>（3）产业布局</w:t>
            </w:r>
          </w:p>
          <w:p w14:paraId="12F9D6D7">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both"/>
              <w:textAlignment w:val="auto"/>
              <w:rPr>
                <w:rFonts w:hint="eastAsia" w:ascii="Times New Roman" w:hAnsi="Times New Roman" w:eastAsia="宋体" w:cs="Times New Roman"/>
                <w:b/>
                <w:bCs/>
                <w:color w:val="auto"/>
                <w:kern w:val="2"/>
                <w:sz w:val="24"/>
                <w:szCs w:val="24"/>
                <w:u w:val="single"/>
                <w:lang w:val="en-US" w:eastAsia="zh-CN" w:bidi="ar-SA"/>
              </w:rPr>
            </w:pPr>
            <w:r>
              <w:rPr>
                <w:rFonts w:hint="eastAsia" w:ascii="Times New Roman" w:hAnsi="Times New Roman" w:eastAsia="宋体" w:cs="Times New Roman"/>
                <w:b/>
                <w:bCs/>
                <w:color w:val="auto"/>
                <w:kern w:val="2"/>
                <w:sz w:val="24"/>
                <w:szCs w:val="24"/>
                <w:u w:val="single"/>
                <w:lang w:val="en-US" w:eastAsia="zh-CN" w:bidi="ar-SA"/>
              </w:rPr>
              <w:t>城区综合制造产业园重点推动绿色家具、食品、节能环保装备制造三大传统产业提质增效；</w:t>
            </w:r>
          </w:p>
          <w:p w14:paraId="1C1330C2">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both"/>
              <w:textAlignment w:val="auto"/>
              <w:rPr>
                <w:rFonts w:hint="eastAsia" w:ascii="Times New Roman" w:hAnsi="Times New Roman" w:eastAsia="宋体" w:cs="Times New Roman"/>
                <w:b/>
                <w:bCs/>
                <w:color w:val="auto"/>
                <w:kern w:val="2"/>
                <w:sz w:val="24"/>
                <w:szCs w:val="24"/>
                <w:u w:val="single"/>
                <w:lang w:val="en-US" w:eastAsia="zh-CN" w:bidi="ar-SA"/>
              </w:rPr>
            </w:pPr>
            <w:r>
              <w:rPr>
                <w:rFonts w:hint="eastAsia" w:ascii="Times New Roman" w:hAnsi="Times New Roman" w:eastAsia="宋体" w:cs="Times New Roman"/>
                <w:b/>
                <w:bCs/>
                <w:color w:val="auto"/>
                <w:kern w:val="2"/>
                <w:sz w:val="24"/>
                <w:szCs w:val="24"/>
                <w:u w:val="single"/>
                <w:lang w:val="en-US" w:eastAsia="zh-CN" w:bidi="ar-SA"/>
              </w:rPr>
              <w:t>马庄桥现代商贸物流园重点发展农副产品物流、家具物流、电商物流、中央厨房、总部经济等生产性服务业，打造冀鲁豫三省省际物流中心；</w:t>
            </w:r>
          </w:p>
          <w:p w14:paraId="506BB29E">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both"/>
              <w:textAlignment w:val="auto"/>
              <w:rPr>
                <w:rFonts w:hint="eastAsia" w:ascii="Times New Roman" w:hAnsi="Times New Roman" w:eastAsia="宋体" w:cs="Times New Roman"/>
                <w:b/>
                <w:bCs/>
                <w:color w:val="auto"/>
                <w:kern w:val="2"/>
                <w:sz w:val="24"/>
                <w:szCs w:val="24"/>
                <w:u w:val="single"/>
                <w:lang w:val="en-US" w:eastAsia="zh-CN" w:bidi="ar-SA"/>
              </w:rPr>
            </w:pPr>
            <w:r>
              <w:rPr>
                <w:rFonts w:hint="eastAsia" w:ascii="Times New Roman" w:hAnsi="Times New Roman" w:eastAsia="宋体" w:cs="Times New Roman"/>
                <w:b/>
                <w:bCs/>
                <w:color w:val="auto"/>
                <w:kern w:val="2"/>
                <w:sz w:val="24"/>
                <w:szCs w:val="24"/>
                <w:u w:val="single"/>
                <w:lang w:val="en-US" w:eastAsia="zh-CN" w:bidi="ar-SA"/>
              </w:rPr>
              <w:t>六塔工业园围绕豫能电厂热电项目，发展轻工、生物发酵、新能源、节能环保等新兴产业，培育新的经济增长点。</w:t>
            </w:r>
          </w:p>
          <w:p w14:paraId="433A63F6">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both"/>
              <w:textAlignment w:val="auto"/>
              <w:rPr>
                <w:rFonts w:hint="eastAsia" w:ascii="Times New Roman" w:hAnsi="Times New Roman" w:eastAsia="宋体" w:cs="Times New Roman"/>
                <w:b/>
                <w:bCs/>
                <w:color w:val="auto"/>
                <w:kern w:val="2"/>
                <w:sz w:val="24"/>
                <w:szCs w:val="24"/>
                <w:u w:val="single"/>
                <w:lang w:val="en-US" w:eastAsia="zh-CN" w:bidi="ar-SA"/>
              </w:rPr>
            </w:pPr>
            <w:r>
              <w:rPr>
                <w:rFonts w:hint="eastAsia" w:ascii="Times New Roman" w:hAnsi="Times New Roman" w:eastAsia="宋体" w:cs="Times New Roman"/>
                <w:b/>
                <w:bCs/>
                <w:color w:val="auto"/>
                <w:kern w:val="2"/>
                <w:sz w:val="24"/>
                <w:szCs w:val="24"/>
                <w:u w:val="single"/>
                <w:lang w:val="en-US" w:eastAsia="zh-CN" w:bidi="ar-SA"/>
              </w:rPr>
              <w:t>（4）功能分区（节选相关部分）</w:t>
            </w:r>
          </w:p>
          <w:p w14:paraId="5AC476CC">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both"/>
              <w:textAlignment w:val="auto"/>
              <w:rPr>
                <w:rFonts w:hint="eastAsia" w:ascii="Times New Roman" w:hAnsi="Times New Roman" w:eastAsia="宋体" w:cs="Times New Roman"/>
                <w:b/>
                <w:bCs/>
                <w:color w:val="auto"/>
                <w:kern w:val="2"/>
                <w:sz w:val="24"/>
                <w:szCs w:val="24"/>
                <w:u w:val="single"/>
                <w:lang w:val="en-US" w:eastAsia="zh-CN" w:bidi="ar-SA"/>
              </w:rPr>
            </w:pPr>
            <w:r>
              <w:rPr>
                <w:rFonts w:hint="eastAsia" w:ascii="Times New Roman" w:hAnsi="Times New Roman" w:eastAsia="宋体" w:cs="Times New Roman"/>
                <w:b/>
                <w:bCs/>
                <w:color w:val="auto"/>
                <w:kern w:val="2"/>
                <w:sz w:val="24"/>
                <w:szCs w:val="24"/>
                <w:u w:val="single"/>
                <w:lang w:val="en-US" w:eastAsia="zh-CN" w:bidi="ar-SA"/>
              </w:rPr>
              <w:t>城区综合制造产业园在空间布局上划分为三个功能片区的总体发展格局。</w:t>
            </w:r>
          </w:p>
          <w:p w14:paraId="365FE37F">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both"/>
              <w:textAlignment w:val="auto"/>
              <w:rPr>
                <w:rFonts w:hint="eastAsia" w:ascii="Times New Roman" w:hAnsi="Times New Roman" w:eastAsia="宋体" w:cs="Times New Roman"/>
                <w:b/>
                <w:bCs/>
                <w:color w:val="auto"/>
                <w:kern w:val="2"/>
                <w:sz w:val="24"/>
                <w:szCs w:val="24"/>
                <w:u w:val="single"/>
                <w:lang w:val="en-US" w:eastAsia="zh-CN" w:bidi="ar-SA"/>
              </w:rPr>
            </w:pPr>
            <w:r>
              <w:rPr>
                <w:rFonts w:hint="eastAsia" w:ascii="Times New Roman" w:hAnsi="Times New Roman" w:eastAsia="宋体" w:cs="Times New Roman"/>
                <w:b/>
                <w:bCs/>
                <w:color w:val="auto"/>
                <w:kern w:val="2"/>
                <w:sz w:val="24"/>
                <w:szCs w:val="24"/>
                <w:u w:val="single"/>
                <w:lang w:val="en-US" w:eastAsia="zh-CN" w:bidi="ar-SA"/>
              </w:rPr>
              <w:t>1）节能环保装备制造产业园</w:t>
            </w:r>
          </w:p>
          <w:p w14:paraId="213418DD">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both"/>
              <w:textAlignment w:val="auto"/>
              <w:rPr>
                <w:rFonts w:hint="eastAsia" w:ascii="Times New Roman" w:hAnsi="Times New Roman" w:eastAsia="宋体" w:cs="Times New Roman"/>
                <w:b/>
                <w:bCs/>
                <w:color w:val="auto"/>
                <w:kern w:val="2"/>
                <w:sz w:val="24"/>
                <w:szCs w:val="24"/>
                <w:u w:val="single"/>
                <w:lang w:val="en-US" w:eastAsia="zh-CN" w:bidi="ar-SA"/>
              </w:rPr>
            </w:pPr>
            <w:r>
              <w:rPr>
                <w:rFonts w:hint="eastAsia" w:ascii="Times New Roman" w:hAnsi="Times New Roman" w:eastAsia="宋体" w:cs="Times New Roman"/>
                <w:b/>
                <w:bCs/>
                <w:color w:val="auto"/>
                <w:kern w:val="2"/>
                <w:sz w:val="24"/>
                <w:szCs w:val="24"/>
                <w:u w:val="single"/>
                <w:lang w:val="en-US" w:eastAsia="zh-CN" w:bidi="ar-SA"/>
              </w:rPr>
              <w:t>规划节能环保装备制造产业园位于城区产业园的北部，具体位置为朝阳路以北、潴泷河以南、晓月路以东、开发边界以西区域，规划建设用地面积为195公顷，规划装备制造产业园，作为环保装备制造等传统产业的发展空间。</w:t>
            </w:r>
          </w:p>
          <w:p w14:paraId="61FABC40">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both"/>
              <w:textAlignment w:val="auto"/>
              <w:rPr>
                <w:rFonts w:hint="eastAsia" w:ascii="Times New Roman" w:hAnsi="Times New Roman" w:eastAsia="宋体" w:cs="Times New Roman"/>
                <w:b/>
                <w:bCs/>
                <w:color w:val="auto"/>
                <w:kern w:val="2"/>
                <w:sz w:val="24"/>
                <w:szCs w:val="24"/>
                <w:u w:val="single"/>
                <w:lang w:val="en-US" w:eastAsia="zh-CN" w:bidi="ar-SA"/>
              </w:rPr>
            </w:pPr>
            <w:r>
              <w:rPr>
                <w:rFonts w:hint="eastAsia" w:ascii="Times New Roman" w:hAnsi="Times New Roman" w:eastAsia="宋体" w:cs="Times New Roman"/>
                <w:b/>
                <w:bCs/>
                <w:color w:val="auto"/>
                <w:kern w:val="2"/>
                <w:sz w:val="24"/>
                <w:szCs w:val="24"/>
                <w:u w:val="single"/>
                <w:lang w:val="en-US" w:eastAsia="zh-CN" w:bidi="ar-SA"/>
              </w:rPr>
              <w:t>2）食品加工产业园</w:t>
            </w:r>
          </w:p>
          <w:p w14:paraId="666D9DAE">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both"/>
              <w:textAlignment w:val="auto"/>
              <w:rPr>
                <w:rFonts w:hint="eastAsia" w:ascii="Times New Roman" w:hAnsi="Times New Roman" w:eastAsia="宋体" w:cs="Times New Roman"/>
                <w:b/>
                <w:bCs/>
                <w:color w:val="auto"/>
                <w:kern w:val="2"/>
                <w:sz w:val="24"/>
                <w:szCs w:val="24"/>
                <w:u w:val="single"/>
                <w:lang w:val="en-US" w:eastAsia="zh-CN" w:bidi="ar-SA"/>
              </w:rPr>
            </w:pPr>
            <w:r>
              <w:rPr>
                <w:rFonts w:hint="eastAsia" w:ascii="Times New Roman" w:hAnsi="Times New Roman" w:eastAsia="宋体" w:cs="Times New Roman"/>
                <w:b/>
                <w:bCs/>
                <w:color w:val="auto"/>
                <w:kern w:val="2"/>
                <w:sz w:val="24"/>
                <w:szCs w:val="24"/>
                <w:u w:val="single"/>
                <w:lang w:val="en-US" w:eastAsia="zh-CN" w:bidi="ar-SA"/>
              </w:rPr>
              <w:t>食品加工产业园位于城区产业园中部，以现状凯利粮业有限公司、伍钰泉面粉厂、恒立佳泰农业、福润肉类加工、味德食品等食品加工企业为基础在人民路以北、朝阳路以南的区域布置。规划用地246公顷。</w:t>
            </w:r>
          </w:p>
          <w:p w14:paraId="71AC4177">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both"/>
              <w:textAlignment w:val="auto"/>
              <w:rPr>
                <w:rFonts w:hint="eastAsia" w:ascii="Times New Roman" w:hAnsi="Times New Roman" w:eastAsia="宋体" w:cs="Times New Roman"/>
                <w:b/>
                <w:bCs/>
                <w:color w:val="auto"/>
                <w:kern w:val="2"/>
                <w:sz w:val="24"/>
                <w:szCs w:val="24"/>
                <w:u w:val="single"/>
                <w:lang w:val="en-US" w:eastAsia="zh-CN" w:bidi="ar-SA"/>
              </w:rPr>
            </w:pPr>
            <w:r>
              <w:rPr>
                <w:rFonts w:hint="eastAsia" w:ascii="Times New Roman" w:hAnsi="Times New Roman" w:eastAsia="宋体" w:cs="Times New Roman"/>
                <w:b/>
                <w:bCs/>
                <w:color w:val="auto"/>
                <w:kern w:val="2"/>
                <w:sz w:val="24"/>
                <w:szCs w:val="24"/>
                <w:u w:val="single"/>
                <w:lang w:val="en-US" w:eastAsia="zh-CN" w:bidi="ar-SA"/>
              </w:rPr>
              <w:t>3）家具制造产业园</w:t>
            </w:r>
          </w:p>
          <w:p w14:paraId="0F1CAEB8">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both"/>
              <w:textAlignment w:val="auto"/>
              <w:rPr>
                <w:rFonts w:hint="eastAsia" w:ascii="Times New Roman" w:hAnsi="Times New Roman" w:eastAsia="宋体" w:cs="Times New Roman"/>
                <w:b/>
                <w:bCs/>
                <w:color w:val="auto"/>
                <w:kern w:val="2"/>
                <w:sz w:val="24"/>
                <w:szCs w:val="24"/>
                <w:u w:val="single"/>
                <w:lang w:val="en-US" w:eastAsia="zh-CN" w:bidi="ar-SA"/>
              </w:rPr>
            </w:pPr>
            <w:r>
              <w:rPr>
                <w:rFonts w:hint="eastAsia" w:ascii="Times New Roman" w:hAnsi="Times New Roman" w:eastAsia="宋体" w:cs="Times New Roman"/>
                <w:b/>
                <w:bCs/>
                <w:color w:val="auto"/>
                <w:kern w:val="2"/>
                <w:sz w:val="24"/>
                <w:szCs w:val="24"/>
                <w:u w:val="single"/>
                <w:lang w:val="en-US" w:eastAsia="zh-CN" w:bidi="ar-SA"/>
              </w:rPr>
              <w:t>家具制造产业园位于城区产业园南部，在人民路以南、人和大道两侧现状已经形成一定规模的家具制造产业的基础上，具体范围为人民路以南至柳格大道，规划建设用地951公顷。</w:t>
            </w:r>
          </w:p>
          <w:p w14:paraId="52FD3F60">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both"/>
              <w:textAlignment w:val="auto"/>
              <w:rPr>
                <w:rFonts w:hint="eastAsia" w:ascii="Times New Roman" w:hAnsi="Times New Roman" w:eastAsia="宋体" w:cs="Times New Roman"/>
                <w:b/>
                <w:bCs/>
                <w:color w:val="auto"/>
                <w:kern w:val="2"/>
                <w:sz w:val="24"/>
                <w:szCs w:val="24"/>
                <w:highlight w:val="none"/>
                <w:u w:val="single"/>
                <w:lang w:val="en-US" w:eastAsia="zh-CN" w:bidi="ar-SA"/>
              </w:rPr>
            </w:pPr>
            <w:r>
              <w:rPr>
                <w:rFonts w:hint="eastAsia" w:ascii="Times New Roman" w:hAnsi="Times New Roman" w:eastAsia="宋体" w:cs="Times New Roman"/>
                <w:b/>
                <w:bCs/>
                <w:color w:val="auto"/>
                <w:kern w:val="2"/>
                <w:sz w:val="24"/>
                <w:szCs w:val="24"/>
                <w:highlight w:val="none"/>
                <w:u w:val="single"/>
                <w:lang w:val="en-US" w:eastAsia="zh-CN" w:bidi="ar-SA"/>
              </w:rPr>
              <w:t>本项目属于家具制造产业，位于家具制造产业园内，符合开发区产业布局要求。</w:t>
            </w:r>
          </w:p>
          <w:p w14:paraId="63A3A9B8">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both"/>
              <w:textAlignment w:val="auto"/>
              <w:rPr>
                <w:rFonts w:hint="eastAsia" w:ascii="Times New Roman" w:hAnsi="Times New Roman" w:eastAsia="宋体" w:cs="Times New Roman"/>
                <w:b/>
                <w:bCs/>
                <w:color w:val="auto"/>
                <w:kern w:val="2"/>
                <w:sz w:val="24"/>
                <w:szCs w:val="24"/>
                <w:highlight w:val="none"/>
                <w:u w:val="single"/>
                <w:lang w:val="en-US" w:eastAsia="zh-CN" w:bidi="ar-SA"/>
              </w:rPr>
            </w:pPr>
            <w:r>
              <w:rPr>
                <w:rFonts w:hint="eastAsia" w:ascii="Times New Roman" w:hAnsi="Times New Roman" w:eastAsia="宋体" w:cs="Times New Roman"/>
                <w:b/>
                <w:bCs/>
                <w:color w:val="auto"/>
                <w:kern w:val="2"/>
                <w:sz w:val="24"/>
                <w:szCs w:val="24"/>
                <w:highlight w:val="none"/>
                <w:u w:val="single"/>
                <w:lang w:val="en-US" w:eastAsia="zh-CN" w:bidi="ar-SA"/>
              </w:rPr>
              <w:t>综上所述，本项目的建设与《清丰县先进制造业开发区发展规划（2022-2035）》相符。</w:t>
            </w:r>
          </w:p>
          <w:p w14:paraId="1CA2DA7A">
            <w:pPr>
              <w:pStyle w:val="46"/>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default" w:ascii="Times New Roman" w:hAnsi="Arial Unicode MS" w:eastAsia="宋体" w:cs="Times New Roman"/>
                <w:b/>
                <w:color w:val="auto"/>
                <w:kern w:val="2"/>
                <w:sz w:val="24"/>
                <w:szCs w:val="24"/>
                <w:lang w:val="en-US" w:eastAsia="zh-CN" w:bidi="ar-SA"/>
              </w:rPr>
            </w:pPr>
            <w:r>
              <w:rPr>
                <w:rFonts w:hint="default" w:ascii="Times New Roman" w:hAnsi="Arial Unicode MS" w:eastAsia="宋体" w:cs="Times New Roman"/>
                <w:b/>
                <w:color w:val="auto"/>
                <w:kern w:val="2"/>
                <w:sz w:val="24"/>
                <w:szCs w:val="24"/>
                <w:lang w:val="en-US" w:eastAsia="zh-CN" w:bidi="ar-SA"/>
              </w:rPr>
              <w:t>与《清丰县先进制造业开发区发展规划（2022-2035年）环境影响评价报告书》中项目环境准入条件、负面清单相符性分析</w:t>
            </w:r>
          </w:p>
          <w:tbl>
            <w:tblPr>
              <w:tblStyle w:val="25"/>
              <w:tblW w:w="77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426"/>
              <w:gridCol w:w="3277"/>
              <w:gridCol w:w="2779"/>
              <w:gridCol w:w="594"/>
            </w:tblGrid>
            <w:tr w14:paraId="20FF7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01" w:type="dxa"/>
                  <w:noWrap w:val="0"/>
                  <w:vAlign w:val="center"/>
                </w:tcPr>
                <w:p w14:paraId="1E86FAF3">
                  <w:pPr>
                    <w:pStyle w:val="7"/>
                    <w:keepNext w:val="0"/>
                    <w:keepLines w:val="0"/>
                    <w:pageBreakBefore w:val="0"/>
                    <w:widowControl w:val="0"/>
                    <w:kinsoku/>
                    <w:wordWrap/>
                    <w:overflowPunct/>
                    <w:topLinePunct w:val="0"/>
                    <w:autoSpaceDE/>
                    <w:autoSpaceDN/>
                    <w:bidi w:val="0"/>
                    <w:adjustRightInd/>
                    <w:spacing w:line="240" w:lineRule="auto"/>
                    <w:ind w:firstLine="0"/>
                    <w:jc w:val="center"/>
                    <w:textAlignment w:val="auto"/>
                    <w:rPr>
                      <w:b/>
                      <w:bCs/>
                      <w:color w:val="auto"/>
                      <w:spacing w:val="0"/>
                      <w:sz w:val="21"/>
                      <w:szCs w:val="21"/>
                      <w:u w:val="single"/>
                    </w:rPr>
                  </w:pPr>
                  <w:r>
                    <w:rPr>
                      <w:b/>
                      <w:bCs/>
                      <w:color w:val="auto"/>
                      <w:spacing w:val="0"/>
                      <w:sz w:val="21"/>
                      <w:szCs w:val="21"/>
                      <w:u w:val="single"/>
                    </w:rPr>
                    <w:t>项目</w:t>
                  </w:r>
                </w:p>
              </w:tc>
              <w:tc>
                <w:tcPr>
                  <w:tcW w:w="3703" w:type="dxa"/>
                  <w:gridSpan w:val="2"/>
                  <w:noWrap w:val="0"/>
                  <w:vAlign w:val="center"/>
                </w:tcPr>
                <w:p w14:paraId="5DF5C133">
                  <w:pPr>
                    <w:pStyle w:val="7"/>
                    <w:keepNext w:val="0"/>
                    <w:keepLines w:val="0"/>
                    <w:pageBreakBefore w:val="0"/>
                    <w:widowControl w:val="0"/>
                    <w:kinsoku/>
                    <w:wordWrap/>
                    <w:overflowPunct/>
                    <w:topLinePunct w:val="0"/>
                    <w:autoSpaceDE/>
                    <w:autoSpaceDN/>
                    <w:bidi w:val="0"/>
                    <w:adjustRightInd/>
                    <w:spacing w:line="240" w:lineRule="auto"/>
                    <w:ind w:firstLine="0"/>
                    <w:jc w:val="center"/>
                    <w:textAlignment w:val="auto"/>
                    <w:rPr>
                      <w:b/>
                      <w:bCs/>
                      <w:color w:val="auto"/>
                      <w:spacing w:val="0"/>
                      <w:sz w:val="21"/>
                      <w:szCs w:val="21"/>
                      <w:u w:val="single"/>
                    </w:rPr>
                  </w:pPr>
                  <w:r>
                    <w:rPr>
                      <w:b/>
                      <w:bCs/>
                      <w:color w:val="auto"/>
                      <w:spacing w:val="0"/>
                      <w:sz w:val="21"/>
                      <w:szCs w:val="21"/>
                      <w:u w:val="single"/>
                    </w:rPr>
                    <w:t>环境准入条件</w:t>
                  </w:r>
                </w:p>
              </w:tc>
              <w:tc>
                <w:tcPr>
                  <w:tcW w:w="2779" w:type="dxa"/>
                  <w:noWrap w:val="0"/>
                  <w:vAlign w:val="center"/>
                </w:tcPr>
                <w:p w14:paraId="7823449B">
                  <w:pPr>
                    <w:pStyle w:val="7"/>
                    <w:keepNext w:val="0"/>
                    <w:keepLines w:val="0"/>
                    <w:pageBreakBefore w:val="0"/>
                    <w:widowControl w:val="0"/>
                    <w:kinsoku/>
                    <w:wordWrap/>
                    <w:overflowPunct/>
                    <w:topLinePunct w:val="0"/>
                    <w:autoSpaceDE/>
                    <w:autoSpaceDN/>
                    <w:bidi w:val="0"/>
                    <w:adjustRightInd/>
                    <w:spacing w:line="240" w:lineRule="auto"/>
                    <w:ind w:firstLine="0"/>
                    <w:jc w:val="center"/>
                    <w:textAlignment w:val="auto"/>
                    <w:rPr>
                      <w:b/>
                      <w:bCs/>
                      <w:color w:val="auto"/>
                      <w:spacing w:val="0"/>
                      <w:sz w:val="21"/>
                      <w:szCs w:val="21"/>
                      <w:u w:val="single"/>
                    </w:rPr>
                  </w:pPr>
                  <w:r>
                    <w:rPr>
                      <w:b/>
                      <w:bCs/>
                      <w:color w:val="auto"/>
                      <w:spacing w:val="0"/>
                      <w:sz w:val="21"/>
                      <w:szCs w:val="21"/>
                      <w:u w:val="single"/>
                    </w:rPr>
                    <w:t>项目情况</w:t>
                  </w:r>
                </w:p>
              </w:tc>
              <w:tc>
                <w:tcPr>
                  <w:tcW w:w="594" w:type="dxa"/>
                  <w:noWrap w:val="0"/>
                  <w:vAlign w:val="center"/>
                </w:tcPr>
                <w:p w14:paraId="1DA71CD0">
                  <w:pPr>
                    <w:pStyle w:val="7"/>
                    <w:keepNext w:val="0"/>
                    <w:keepLines w:val="0"/>
                    <w:pageBreakBefore w:val="0"/>
                    <w:widowControl w:val="0"/>
                    <w:kinsoku/>
                    <w:wordWrap/>
                    <w:overflowPunct/>
                    <w:topLinePunct w:val="0"/>
                    <w:autoSpaceDE/>
                    <w:autoSpaceDN/>
                    <w:bidi w:val="0"/>
                    <w:adjustRightInd/>
                    <w:spacing w:line="240" w:lineRule="auto"/>
                    <w:ind w:firstLine="0"/>
                    <w:jc w:val="center"/>
                    <w:textAlignment w:val="auto"/>
                    <w:rPr>
                      <w:b/>
                      <w:bCs/>
                      <w:color w:val="auto"/>
                      <w:spacing w:val="0"/>
                      <w:sz w:val="21"/>
                      <w:szCs w:val="21"/>
                      <w:u w:val="single"/>
                    </w:rPr>
                  </w:pPr>
                  <w:r>
                    <w:rPr>
                      <w:b/>
                      <w:bCs/>
                      <w:color w:val="auto"/>
                      <w:spacing w:val="0"/>
                      <w:sz w:val="21"/>
                      <w:szCs w:val="21"/>
                      <w:u w:val="single"/>
                    </w:rPr>
                    <w:t>相符性</w:t>
                  </w:r>
                </w:p>
              </w:tc>
            </w:tr>
            <w:tr w14:paraId="7A09B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1" w:type="dxa"/>
                  <w:vMerge w:val="restart"/>
                  <w:noWrap w:val="0"/>
                  <w:vAlign w:val="center"/>
                </w:tcPr>
                <w:p w14:paraId="04D1816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b/>
                      <w:bCs/>
                      <w:color w:val="auto"/>
                      <w:spacing w:val="0"/>
                      <w:szCs w:val="21"/>
                      <w:u w:val="single"/>
                    </w:rPr>
                    <w:t>产业发展要求</w:t>
                  </w:r>
                </w:p>
              </w:tc>
              <w:tc>
                <w:tcPr>
                  <w:tcW w:w="426" w:type="dxa"/>
                  <w:noWrap w:val="0"/>
                  <w:vAlign w:val="center"/>
                </w:tcPr>
                <w:p w14:paraId="2E478E2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b/>
                      <w:bCs/>
                      <w:color w:val="auto"/>
                      <w:spacing w:val="0"/>
                      <w:szCs w:val="21"/>
                      <w:u w:val="single"/>
                    </w:rPr>
                    <w:t>1</w:t>
                  </w:r>
                </w:p>
              </w:tc>
              <w:tc>
                <w:tcPr>
                  <w:tcW w:w="3277" w:type="dxa"/>
                  <w:noWrap w:val="0"/>
                  <w:vAlign w:val="center"/>
                </w:tcPr>
                <w:p w14:paraId="026D2DF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rFonts w:hint="eastAsia"/>
                      <w:b/>
                      <w:bCs/>
                      <w:color w:val="auto"/>
                      <w:spacing w:val="0"/>
                      <w:szCs w:val="21"/>
                      <w:u w:val="single"/>
                    </w:rPr>
                    <w:t>入驻项目应符合园区规划或规划环评的要求，禁止发展用排水量较大或污染严重风险较大的化学原料、医药中间体等化工项目，按照用排水量控制屠宰项目。</w:t>
                  </w:r>
                </w:p>
              </w:tc>
              <w:tc>
                <w:tcPr>
                  <w:tcW w:w="2779" w:type="dxa"/>
                  <w:noWrap w:val="0"/>
                  <w:vAlign w:val="center"/>
                </w:tcPr>
                <w:p w14:paraId="0E26195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eastAsia="宋体"/>
                      <w:b/>
                      <w:bCs/>
                      <w:color w:val="auto"/>
                      <w:spacing w:val="0"/>
                      <w:szCs w:val="21"/>
                      <w:u w:val="single"/>
                      <w:lang w:val="en-US" w:eastAsia="zh-CN"/>
                    </w:rPr>
                  </w:pPr>
                  <w:r>
                    <w:rPr>
                      <w:rFonts w:hint="eastAsia"/>
                      <w:b/>
                      <w:bCs/>
                      <w:color w:val="auto"/>
                      <w:spacing w:val="0"/>
                      <w:szCs w:val="21"/>
                      <w:u w:val="single"/>
                      <w:lang w:val="en-US" w:eastAsia="zh-CN"/>
                    </w:rPr>
                    <w:t>本项目属于C2110 木质家具制造，符合园区规划要求，项目总排水量为880m</w:t>
                  </w:r>
                  <w:r>
                    <w:rPr>
                      <w:rFonts w:hint="eastAsia"/>
                      <w:b/>
                      <w:bCs/>
                      <w:color w:val="auto"/>
                      <w:spacing w:val="0"/>
                      <w:szCs w:val="21"/>
                      <w:u w:val="single"/>
                      <w:vertAlign w:val="superscript"/>
                      <w:lang w:val="en-US" w:eastAsia="zh-CN"/>
                    </w:rPr>
                    <w:t>3</w:t>
                  </w:r>
                  <w:r>
                    <w:rPr>
                      <w:rFonts w:hint="eastAsia"/>
                      <w:b/>
                      <w:bCs/>
                      <w:color w:val="auto"/>
                      <w:spacing w:val="0"/>
                      <w:szCs w:val="21"/>
                      <w:u w:val="single"/>
                      <w:lang w:val="en-US" w:eastAsia="zh-CN"/>
                    </w:rPr>
                    <w:t>/a，不属于</w:t>
                  </w:r>
                  <w:r>
                    <w:rPr>
                      <w:rFonts w:hint="eastAsia"/>
                      <w:b/>
                      <w:bCs/>
                      <w:color w:val="auto"/>
                      <w:spacing w:val="0"/>
                      <w:szCs w:val="21"/>
                      <w:u w:val="single"/>
                    </w:rPr>
                    <w:t>用排水量较大或污染严重风险较大</w:t>
                  </w:r>
                  <w:r>
                    <w:rPr>
                      <w:rFonts w:hint="eastAsia"/>
                      <w:b/>
                      <w:bCs/>
                      <w:color w:val="auto"/>
                      <w:spacing w:val="0"/>
                      <w:szCs w:val="21"/>
                      <w:u w:val="single"/>
                      <w:lang w:val="en-US" w:eastAsia="zh-CN"/>
                    </w:rPr>
                    <w:t>的化工项目。</w:t>
                  </w:r>
                </w:p>
              </w:tc>
              <w:tc>
                <w:tcPr>
                  <w:tcW w:w="594" w:type="dxa"/>
                  <w:noWrap w:val="0"/>
                  <w:vAlign w:val="center"/>
                </w:tcPr>
                <w:p w14:paraId="3A6C3C7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b/>
                      <w:bCs/>
                      <w:color w:val="auto"/>
                      <w:spacing w:val="0"/>
                      <w:szCs w:val="21"/>
                      <w:u w:val="single"/>
                    </w:rPr>
                    <w:t>相符</w:t>
                  </w:r>
                </w:p>
              </w:tc>
            </w:tr>
            <w:tr w14:paraId="7F683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701" w:type="dxa"/>
                  <w:vMerge w:val="continue"/>
                  <w:noWrap w:val="0"/>
                  <w:vAlign w:val="center"/>
                </w:tcPr>
                <w:p w14:paraId="43ABDD1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p>
              </w:tc>
              <w:tc>
                <w:tcPr>
                  <w:tcW w:w="426" w:type="dxa"/>
                  <w:noWrap w:val="0"/>
                  <w:vAlign w:val="center"/>
                </w:tcPr>
                <w:p w14:paraId="5DEF604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b/>
                      <w:bCs/>
                      <w:color w:val="auto"/>
                      <w:spacing w:val="0"/>
                      <w:szCs w:val="21"/>
                      <w:u w:val="single"/>
                    </w:rPr>
                    <w:t>2</w:t>
                  </w:r>
                </w:p>
              </w:tc>
              <w:tc>
                <w:tcPr>
                  <w:tcW w:w="3277" w:type="dxa"/>
                  <w:noWrap w:val="0"/>
                  <w:vAlign w:val="center"/>
                </w:tcPr>
                <w:p w14:paraId="43AC69D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rFonts w:hint="eastAsia"/>
                      <w:b/>
                      <w:bCs/>
                      <w:color w:val="auto"/>
                      <w:spacing w:val="0"/>
                      <w:szCs w:val="21"/>
                      <w:u w:val="single"/>
                    </w:rPr>
                    <w:t>禁止《产业结构调整指导目录（2024年本）》限制类和淘汰类落后生产工艺装备和产品项目入驻。</w:t>
                  </w:r>
                </w:p>
              </w:tc>
              <w:tc>
                <w:tcPr>
                  <w:tcW w:w="2779" w:type="dxa"/>
                  <w:noWrap w:val="0"/>
                  <w:vAlign w:val="center"/>
                </w:tcPr>
                <w:p w14:paraId="566F641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eastAsia="宋体"/>
                      <w:b/>
                      <w:bCs/>
                      <w:color w:val="auto"/>
                      <w:spacing w:val="0"/>
                      <w:szCs w:val="21"/>
                      <w:u w:val="single"/>
                      <w:lang w:val="en-US" w:eastAsia="zh-CN"/>
                    </w:rPr>
                  </w:pPr>
                  <w:r>
                    <w:rPr>
                      <w:rFonts w:hint="eastAsia"/>
                      <w:b/>
                      <w:bCs/>
                      <w:color w:val="auto"/>
                      <w:spacing w:val="0"/>
                      <w:szCs w:val="21"/>
                      <w:u w:val="single"/>
                    </w:rPr>
                    <w:t>根据《产业结构调整指导目录（2024年本）》，项目属于</w:t>
                  </w:r>
                  <w:r>
                    <w:rPr>
                      <w:rFonts w:hint="eastAsia"/>
                      <w:b/>
                      <w:bCs/>
                      <w:color w:val="auto"/>
                      <w:spacing w:val="0"/>
                      <w:szCs w:val="21"/>
                      <w:u w:val="single"/>
                      <w:lang w:val="en-US" w:eastAsia="zh-CN"/>
                    </w:rPr>
                    <w:t>允许类项目。</w:t>
                  </w:r>
                </w:p>
              </w:tc>
              <w:tc>
                <w:tcPr>
                  <w:tcW w:w="594" w:type="dxa"/>
                  <w:noWrap w:val="0"/>
                  <w:vAlign w:val="center"/>
                </w:tcPr>
                <w:p w14:paraId="6975D0B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b/>
                      <w:bCs/>
                      <w:color w:val="auto"/>
                      <w:spacing w:val="0"/>
                      <w:szCs w:val="21"/>
                      <w:u w:val="single"/>
                    </w:rPr>
                    <w:t>相符</w:t>
                  </w:r>
                </w:p>
              </w:tc>
            </w:tr>
            <w:tr w14:paraId="6A997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01" w:type="dxa"/>
                  <w:vMerge w:val="continue"/>
                  <w:noWrap w:val="0"/>
                  <w:vAlign w:val="center"/>
                </w:tcPr>
                <w:p w14:paraId="2FF3058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p>
              </w:tc>
              <w:tc>
                <w:tcPr>
                  <w:tcW w:w="426" w:type="dxa"/>
                  <w:noWrap w:val="0"/>
                  <w:vAlign w:val="center"/>
                </w:tcPr>
                <w:p w14:paraId="6F2398D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b/>
                      <w:bCs/>
                      <w:color w:val="auto"/>
                      <w:spacing w:val="0"/>
                      <w:szCs w:val="21"/>
                      <w:u w:val="single"/>
                    </w:rPr>
                    <w:t>3</w:t>
                  </w:r>
                </w:p>
              </w:tc>
              <w:tc>
                <w:tcPr>
                  <w:tcW w:w="3277" w:type="dxa"/>
                  <w:noWrap w:val="0"/>
                  <w:vAlign w:val="center"/>
                </w:tcPr>
                <w:p w14:paraId="21D9AF1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rFonts w:hint="eastAsia"/>
                      <w:b/>
                      <w:bCs/>
                      <w:color w:val="auto"/>
                      <w:spacing w:val="0"/>
                      <w:szCs w:val="21"/>
                      <w:u w:val="single"/>
                    </w:rPr>
                    <w:t>禁止入驻不符合行业准入条件及相关管理要求的项目</w:t>
                  </w:r>
                </w:p>
              </w:tc>
              <w:tc>
                <w:tcPr>
                  <w:tcW w:w="2779" w:type="dxa"/>
                  <w:noWrap w:val="0"/>
                  <w:vAlign w:val="center"/>
                </w:tcPr>
                <w:p w14:paraId="4747D0B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eastAsia="宋体"/>
                      <w:b/>
                      <w:bCs/>
                      <w:color w:val="auto"/>
                      <w:spacing w:val="0"/>
                      <w:szCs w:val="21"/>
                      <w:u w:val="single"/>
                      <w:lang w:val="en-US" w:eastAsia="zh-CN"/>
                    </w:rPr>
                  </w:pPr>
                  <w:r>
                    <w:rPr>
                      <w:rFonts w:hint="eastAsia"/>
                      <w:b/>
                      <w:bCs/>
                      <w:color w:val="auto"/>
                      <w:spacing w:val="0"/>
                      <w:szCs w:val="21"/>
                      <w:u w:val="single"/>
                      <w:lang w:val="en-US" w:eastAsia="zh-CN"/>
                    </w:rPr>
                    <w:t>本项目属于C2110 木质家具制造，且</w:t>
                  </w:r>
                  <w:r>
                    <w:rPr>
                      <w:rFonts w:hint="eastAsia"/>
                      <w:b/>
                      <w:bCs/>
                      <w:color w:val="auto"/>
                      <w:spacing w:val="0"/>
                      <w:szCs w:val="21"/>
                      <w:u w:val="single"/>
                    </w:rPr>
                    <w:t>根据清丰县先进制造业开发区管委会出具的证明可知本项目允许入驻</w:t>
                  </w:r>
                  <w:r>
                    <w:rPr>
                      <w:rFonts w:hint="eastAsia"/>
                      <w:b/>
                      <w:bCs/>
                      <w:color w:val="auto"/>
                      <w:spacing w:val="0"/>
                      <w:szCs w:val="21"/>
                      <w:u w:val="single"/>
                      <w:lang w:eastAsia="zh-CN"/>
                    </w:rPr>
                    <w:t>。</w:t>
                  </w:r>
                </w:p>
              </w:tc>
              <w:tc>
                <w:tcPr>
                  <w:tcW w:w="594" w:type="dxa"/>
                  <w:noWrap w:val="0"/>
                  <w:vAlign w:val="center"/>
                </w:tcPr>
                <w:p w14:paraId="2F4E0BF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eastAsia="宋体"/>
                      <w:b/>
                      <w:bCs/>
                      <w:color w:val="auto"/>
                      <w:spacing w:val="0"/>
                      <w:szCs w:val="21"/>
                      <w:u w:val="single"/>
                      <w:lang w:eastAsia="zh-CN"/>
                    </w:rPr>
                  </w:pPr>
                  <w:r>
                    <w:rPr>
                      <w:rFonts w:hint="eastAsia"/>
                      <w:b/>
                      <w:bCs/>
                      <w:color w:val="auto"/>
                      <w:spacing w:val="0"/>
                      <w:szCs w:val="21"/>
                      <w:u w:val="single"/>
                      <w:lang w:val="en-US" w:eastAsia="zh-CN"/>
                    </w:rPr>
                    <w:t>相符</w:t>
                  </w:r>
                </w:p>
              </w:tc>
            </w:tr>
            <w:tr w14:paraId="3673F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01" w:type="dxa"/>
                  <w:vMerge w:val="continue"/>
                  <w:noWrap w:val="0"/>
                  <w:vAlign w:val="center"/>
                </w:tcPr>
                <w:p w14:paraId="6D47F58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p>
              </w:tc>
              <w:tc>
                <w:tcPr>
                  <w:tcW w:w="426" w:type="dxa"/>
                  <w:noWrap w:val="0"/>
                  <w:vAlign w:val="center"/>
                </w:tcPr>
                <w:p w14:paraId="39F938B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eastAsia="宋体"/>
                      <w:b/>
                      <w:bCs/>
                      <w:color w:val="auto"/>
                      <w:spacing w:val="0"/>
                      <w:szCs w:val="21"/>
                      <w:u w:val="single"/>
                      <w:lang w:val="en-US" w:eastAsia="zh-CN"/>
                    </w:rPr>
                  </w:pPr>
                  <w:r>
                    <w:rPr>
                      <w:rFonts w:hint="eastAsia"/>
                      <w:b/>
                      <w:bCs/>
                      <w:color w:val="auto"/>
                      <w:spacing w:val="0"/>
                      <w:szCs w:val="21"/>
                      <w:u w:val="single"/>
                      <w:lang w:val="en-US" w:eastAsia="zh-CN"/>
                    </w:rPr>
                    <w:t>4</w:t>
                  </w:r>
                </w:p>
              </w:tc>
              <w:tc>
                <w:tcPr>
                  <w:tcW w:w="3277" w:type="dxa"/>
                  <w:noWrap w:val="0"/>
                  <w:vAlign w:val="center"/>
                </w:tcPr>
                <w:p w14:paraId="1786002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b/>
                      <w:bCs/>
                      <w:color w:val="auto"/>
                      <w:spacing w:val="0"/>
                      <w:szCs w:val="21"/>
                      <w:u w:val="single"/>
                    </w:rPr>
                  </w:pPr>
                  <w:r>
                    <w:rPr>
                      <w:rFonts w:hint="eastAsia"/>
                      <w:b/>
                      <w:bCs/>
                      <w:color w:val="auto"/>
                      <w:spacing w:val="0"/>
                      <w:szCs w:val="21"/>
                      <w:u w:val="single"/>
                    </w:rPr>
                    <w:t>禁止《高污染、高环境风险产品名录》中产品项目入驻。</w:t>
                  </w:r>
                </w:p>
              </w:tc>
              <w:tc>
                <w:tcPr>
                  <w:tcW w:w="2779" w:type="dxa"/>
                  <w:noWrap w:val="0"/>
                  <w:vAlign w:val="center"/>
                </w:tcPr>
                <w:p w14:paraId="2D91C9B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eastAsia="宋体"/>
                      <w:b/>
                      <w:bCs/>
                      <w:color w:val="auto"/>
                      <w:spacing w:val="0"/>
                      <w:szCs w:val="21"/>
                      <w:u w:val="single"/>
                      <w:lang w:val="en-US" w:eastAsia="zh-CN"/>
                    </w:rPr>
                  </w:pPr>
                  <w:r>
                    <w:rPr>
                      <w:rFonts w:hint="eastAsia"/>
                      <w:b/>
                      <w:bCs/>
                      <w:color w:val="auto"/>
                      <w:spacing w:val="0"/>
                      <w:szCs w:val="21"/>
                      <w:u w:val="single"/>
                      <w:lang w:val="en-US" w:eastAsia="zh-CN"/>
                    </w:rPr>
                    <w:t>经查询，本项目不属于高污染、高环境风险项目。</w:t>
                  </w:r>
                </w:p>
              </w:tc>
              <w:tc>
                <w:tcPr>
                  <w:tcW w:w="594" w:type="dxa"/>
                  <w:noWrap w:val="0"/>
                  <w:vAlign w:val="center"/>
                </w:tcPr>
                <w:p w14:paraId="215EF46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b/>
                      <w:bCs/>
                      <w:color w:val="auto"/>
                      <w:spacing w:val="0"/>
                      <w:szCs w:val="21"/>
                      <w:u w:val="single"/>
                    </w:rPr>
                    <w:t>相符</w:t>
                  </w:r>
                </w:p>
              </w:tc>
            </w:tr>
            <w:tr w14:paraId="2BD55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01" w:type="dxa"/>
                  <w:vMerge w:val="continue"/>
                  <w:noWrap w:val="0"/>
                  <w:vAlign w:val="center"/>
                </w:tcPr>
                <w:p w14:paraId="4F0A42C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p>
              </w:tc>
              <w:tc>
                <w:tcPr>
                  <w:tcW w:w="426" w:type="dxa"/>
                  <w:noWrap w:val="0"/>
                  <w:vAlign w:val="center"/>
                </w:tcPr>
                <w:p w14:paraId="4C5DBD3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b/>
                      <w:bCs/>
                      <w:color w:val="auto"/>
                      <w:spacing w:val="0"/>
                      <w:szCs w:val="21"/>
                      <w:u w:val="single"/>
                      <w:lang w:val="en-US" w:eastAsia="zh-CN"/>
                    </w:rPr>
                  </w:pPr>
                  <w:r>
                    <w:rPr>
                      <w:rFonts w:hint="eastAsia"/>
                      <w:b/>
                      <w:bCs/>
                      <w:color w:val="auto"/>
                      <w:spacing w:val="0"/>
                      <w:szCs w:val="21"/>
                      <w:u w:val="single"/>
                      <w:lang w:val="en-US" w:eastAsia="zh-CN"/>
                    </w:rPr>
                    <w:t>5</w:t>
                  </w:r>
                </w:p>
              </w:tc>
              <w:tc>
                <w:tcPr>
                  <w:tcW w:w="3277" w:type="dxa"/>
                  <w:noWrap w:val="0"/>
                  <w:vAlign w:val="center"/>
                </w:tcPr>
                <w:p w14:paraId="561B8A0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b/>
                      <w:bCs/>
                      <w:color w:val="auto"/>
                      <w:spacing w:val="0"/>
                      <w:szCs w:val="21"/>
                      <w:u w:val="single"/>
                    </w:rPr>
                  </w:pPr>
                  <w:r>
                    <w:rPr>
                      <w:rFonts w:hint="eastAsia"/>
                      <w:b/>
                      <w:bCs/>
                      <w:color w:val="auto"/>
                      <w:spacing w:val="0"/>
                      <w:szCs w:val="21"/>
                      <w:u w:val="single"/>
                    </w:rPr>
                    <w:t>禁止化工（与主导产业配套的辅助工程除外）、皮毛鞣制、造纸、印染等污染重的项目入驻。</w:t>
                  </w:r>
                </w:p>
              </w:tc>
              <w:tc>
                <w:tcPr>
                  <w:tcW w:w="2779" w:type="dxa"/>
                  <w:noWrap w:val="0"/>
                  <w:vAlign w:val="center"/>
                </w:tcPr>
                <w:p w14:paraId="796A68D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eastAsia="宋体"/>
                      <w:b/>
                      <w:bCs/>
                      <w:color w:val="auto"/>
                      <w:spacing w:val="0"/>
                      <w:szCs w:val="21"/>
                      <w:u w:val="single"/>
                      <w:lang w:eastAsia="zh-CN"/>
                    </w:rPr>
                  </w:pPr>
                  <w:r>
                    <w:rPr>
                      <w:rFonts w:hint="eastAsia"/>
                      <w:b/>
                      <w:bCs/>
                      <w:color w:val="auto"/>
                      <w:spacing w:val="0"/>
                      <w:szCs w:val="21"/>
                      <w:u w:val="single"/>
                      <w:lang w:val="en-US" w:eastAsia="zh-CN"/>
                    </w:rPr>
                    <w:t>本项目不涉及</w:t>
                  </w:r>
                </w:p>
              </w:tc>
              <w:tc>
                <w:tcPr>
                  <w:tcW w:w="594" w:type="dxa"/>
                  <w:noWrap w:val="0"/>
                  <w:vAlign w:val="center"/>
                </w:tcPr>
                <w:p w14:paraId="001940B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eastAsia="宋体"/>
                      <w:b/>
                      <w:bCs/>
                      <w:color w:val="auto"/>
                      <w:spacing w:val="0"/>
                      <w:szCs w:val="21"/>
                      <w:u w:val="single"/>
                      <w:lang w:val="en-US" w:eastAsia="zh-CN"/>
                    </w:rPr>
                  </w:pPr>
                  <w:r>
                    <w:rPr>
                      <w:rFonts w:hint="eastAsia"/>
                      <w:b/>
                      <w:bCs/>
                      <w:color w:val="auto"/>
                      <w:spacing w:val="0"/>
                      <w:szCs w:val="21"/>
                      <w:u w:val="single"/>
                      <w:lang w:val="en-US" w:eastAsia="zh-CN"/>
                    </w:rPr>
                    <w:t>/</w:t>
                  </w:r>
                </w:p>
              </w:tc>
            </w:tr>
            <w:tr w14:paraId="20580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01" w:type="dxa"/>
                  <w:vMerge w:val="continue"/>
                  <w:noWrap w:val="0"/>
                  <w:vAlign w:val="center"/>
                </w:tcPr>
                <w:p w14:paraId="422936B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p>
              </w:tc>
              <w:tc>
                <w:tcPr>
                  <w:tcW w:w="426" w:type="dxa"/>
                  <w:noWrap w:val="0"/>
                  <w:vAlign w:val="center"/>
                </w:tcPr>
                <w:p w14:paraId="5858B58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b/>
                      <w:bCs/>
                      <w:color w:val="auto"/>
                      <w:spacing w:val="0"/>
                      <w:szCs w:val="21"/>
                      <w:u w:val="single"/>
                      <w:lang w:val="en-US" w:eastAsia="zh-CN"/>
                    </w:rPr>
                  </w:pPr>
                  <w:r>
                    <w:rPr>
                      <w:rFonts w:hint="eastAsia"/>
                      <w:b/>
                      <w:bCs/>
                      <w:color w:val="auto"/>
                      <w:spacing w:val="0"/>
                      <w:szCs w:val="21"/>
                      <w:u w:val="single"/>
                      <w:lang w:val="en-US" w:eastAsia="zh-CN"/>
                    </w:rPr>
                    <w:t>6</w:t>
                  </w:r>
                </w:p>
              </w:tc>
              <w:tc>
                <w:tcPr>
                  <w:tcW w:w="3277" w:type="dxa"/>
                  <w:noWrap w:val="0"/>
                  <w:vAlign w:val="center"/>
                </w:tcPr>
                <w:p w14:paraId="6563936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b/>
                      <w:bCs/>
                      <w:color w:val="auto"/>
                      <w:spacing w:val="0"/>
                      <w:szCs w:val="21"/>
                      <w:u w:val="single"/>
                    </w:rPr>
                  </w:pPr>
                  <w:r>
                    <w:rPr>
                      <w:rFonts w:hint="eastAsia"/>
                      <w:b/>
                      <w:bCs/>
                      <w:color w:val="auto"/>
                      <w:spacing w:val="0"/>
                      <w:szCs w:val="21"/>
                      <w:u w:val="single"/>
                    </w:rPr>
                    <w:t>禁止建设投资强度不符合《河南省人民政府关于进一步加强节约集约用地的意见》（豫政[2015]66号）文件要求的项目</w:t>
                  </w:r>
                </w:p>
              </w:tc>
              <w:tc>
                <w:tcPr>
                  <w:tcW w:w="2779" w:type="dxa"/>
                  <w:noWrap w:val="0"/>
                  <w:vAlign w:val="center"/>
                </w:tcPr>
                <w:p w14:paraId="15754C4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eastAsia="宋体"/>
                      <w:b/>
                      <w:bCs/>
                      <w:color w:val="auto"/>
                      <w:spacing w:val="0"/>
                      <w:szCs w:val="21"/>
                      <w:u w:val="single"/>
                      <w:lang w:val="en-US" w:eastAsia="zh-CN"/>
                    </w:rPr>
                  </w:pPr>
                  <w:r>
                    <w:rPr>
                      <w:rFonts w:hint="eastAsia"/>
                      <w:b/>
                      <w:bCs/>
                      <w:color w:val="auto"/>
                      <w:spacing w:val="0"/>
                      <w:szCs w:val="21"/>
                      <w:u w:val="single"/>
                      <w:lang w:val="en-US" w:eastAsia="zh-CN"/>
                    </w:rPr>
                    <w:t>本项目属于C2110 木质家具制造，位于河南省濮阳市清丰县先进制造业开发区内，项目占地为规划中的工业用地。</w:t>
                  </w:r>
                </w:p>
              </w:tc>
              <w:tc>
                <w:tcPr>
                  <w:tcW w:w="594" w:type="dxa"/>
                  <w:noWrap w:val="0"/>
                  <w:vAlign w:val="center"/>
                </w:tcPr>
                <w:p w14:paraId="24A8AFA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b/>
                      <w:bCs/>
                      <w:color w:val="auto"/>
                      <w:spacing w:val="0"/>
                      <w:szCs w:val="21"/>
                      <w:u w:val="single"/>
                    </w:rPr>
                    <w:t>相符</w:t>
                  </w:r>
                </w:p>
              </w:tc>
            </w:tr>
            <w:tr w14:paraId="02C86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01" w:type="dxa"/>
                  <w:vMerge w:val="continue"/>
                  <w:noWrap w:val="0"/>
                  <w:vAlign w:val="center"/>
                </w:tcPr>
                <w:p w14:paraId="595DAE1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p>
              </w:tc>
              <w:tc>
                <w:tcPr>
                  <w:tcW w:w="426" w:type="dxa"/>
                  <w:noWrap w:val="0"/>
                  <w:vAlign w:val="center"/>
                </w:tcPr>
                <w:p w14:paraId="50B683F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b/>
                      <w:bCs/>
                      <w:color w:val="auto"/>
                      <w:spacing w:val="0"/>
                      <w:szCs w:val="21"/>
                      <w:u w:val="single"/>
                      <w:lang w:val="en-US" w:eastAsia="zh-CN"/>
                    </w:rPr>
                  </w:pPr>
                  <w:r>
                    <w:rPr>
                      <w:rFonts w:hint="eastAsia"/>
                      <w:b/>
                      <w:bCs/>
                      <w:color w:val="auto"/>
                      <w:spacing w:val="0"/>
                      <w:szCs w:val="21"/>
                      <w:u w:val="single"/>
                      <w:lang w:val="en-US" w:eastAsia="zh-CN"/>
                    </w:rPr>
                    <w:t>7</w:t>
                  </w:r>
                </w:p>
              </w:tc>
              <w:tc>
                <w:tcPr>
                  <w:tcW w:w="3277" w:type="dxa"/>
                  <w:noWrap w:val="0"/>
                  <w:vAlign w:val="center"/>
                </w:tcPr>
                <w:p w14:paraId="0F57382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b/>
                      <w:bCs/>
                      <w:color w:val="auto"/>
                      <w:spacing w:val="0"/>
                      <w:szCs w:val="21"/>
                      <w:u w:val="single"/>
                    </w:rPr>
                  </w:pPr>
                  <w:r>
                    <w:rPr>
                      <w:rFonts w:hint="eastAsia"/>
                      <w:b/>
                      <w:bCs/>
                      <w:color w:val="auto"/>
                      <w:spacing w:val="0"/>
                      <w:szCs w:val="21"/>
                      <w:u w:val="single"/>
                    </w:rPr>
                    <w:t>入驻企业的生产工艺、设备、污染治理技术、清洁生产水平均需达到同行业国内先进水平</w:t>
                  </w:r>
                </w:p>
              </w:tc>
              <w:tc>
                <w:tcPr>
                  <w:tcW w:w="2779" w:type="dxa"/>
                  <w:noWrap w:val="0"/>
                  <w:vAlign w:val="center"/>
                </w:tcPr>
                <w:p w14:paraId="70875B2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eastAsia="宋体"/>
                      <w:b/>
                      <w:bCs/>
                      <w:color w:val="auto"/>
                      <w:spacing w:val="0"/>
                      <w:szCs w:val="21"/>
                      <w:u w:val="single"/>
                      <w:lang w:val="en-US" w:eastAsia="zh-CN"/>
                    </w:rPr>
                  </w:pPr>
                  <w:r>
                    <w:rPr>
                      <w:rFonts w:hint="eastAsia"/>
                      <w:b/>
                      <w:bCs/>
                      <w:color w:val="auto"/>
                      <w:spacing w:val="0"/>
                      <w:szCs w:val="21"/>
                      <w:u w:val="single"/>
                      <w:lang w:val="en-US" w:eastAsia="zh-CN"/>
                    </w:rPr>
                    <w:t>本项目均达到同行业国内先进水平。</w:t>
                  </w:r>
                </w:p>
              </w:tc>
              <w:tc>
                <w:tcPr>
                  <w:tcW w:w="594" w:type="dxa"/>
                  <w:noWrap w:val="0"/>
                  <w:vAlign w:val="center"/>
                </w:tcPr>
                <w:p w14:paraId="4EF7B19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b/>
                      <w:bCs/>
                      <w:color w:val="auto"/>
                      <w:spacing w:val="0"/>
                      <w:szCs w:val="21"/>
                      <w:u w:val="single"/>
                    </w:rPr>
                    <w:t>相符</w:t>
                  </w:r>
                </w:p>
              </w:tc>
            </w:tr>
            <w:tr w14:paraId="1F56D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01" w:type="dxa"/>
                  <w:vMerge w:val="continue"/>
                  <w:noWrap w:val="0"/>
                  <w:vAlign w:val="center"/>
                </w:tcPr>
                <w:p w14:paraId="6F991BD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p>
              </w:tc>
              <w:tc>
                <w:tcPr>
                  <w:tcW w:w="426" w:type="dxa"/>
                  <w:noWrap w:val="0"/>
                  <w:vAlign w:val="center"/>
                </w:tcPr>
                <w:p w14:paraId="5DB20BA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b/>
                      <w:bCs/>
                      <w:color w:val="auto"/>
                      <w:spacing w:val="0"/>
                      <w:szCs w:val="21"/>
                      <w:u w:val="single"/>
                      <w:lang w:val="en-US" w:eastAsia="zh-CN"/>
                    </w:rPr>
                  </w:pPr>
                  <w:r>
                    <w:rPr>
                      <w:rFonts w:hint="eastAsia"/>
                      <w:b/>
                      <w:bCs/>
                      <w:color w:val="auto"/>
                      <w:spacing w:val="0"/>
                      <w:szCs w:val="21"/>
                      <w:u w:val="single"/>
                      <w:lang w:val="en-US" w:eastAsia="zh-CN"/>
                    </w:rPr>
                    <w:t>8</w:t>
                  </w:r>
                </w:p>
              </w:tc>
              <w:tc>
                <w:tcPr>
                  <w:tcW w:w="3277" w:type="dxa"/>
                  <w:noWrap w:val="0"/>
                  <w:vAlign w:val="center"/>
                </w:tcPr>
                <w:p w14:paraId="71F4743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b/>
                      <w:bCs/>
                      <w:color w:val="auto"/>
                      <w:spacing w:val="0"/>
                      <w:szCs w:val="21"/>
                      <w:u w:val="single"/>
                    </w:rPr>
                  </w:pPr>
                  <w:r>
                    <w:rPr>
                      <w:rFonts w:hint="eastAsia"/>
                      <w:b/>
                      <w:bCs/>
                      <w:color w:val="auto"/>
                      <w:spacing w:val="0"/>
                      <w:szCs w:val="21"/>
                      <w:u w:val="single"/>
                    </w:rPr>
                    <w:t>从严控制高耗能、高排放项目建设，原则上禁止新建、扩建单纯新增产能的钢铁、电解铝、水泥、平板玻璃、传统煤化工（甲醇、合成氨）、焦化、铝用碳素、铅锌冶炼（含再生铅）、砖瓦窑（有烧结工序的）、耐火材料制品（有烧结工序的）项目。</w:t>
                  </w:r>
                </w:p>
              </w:tc>
              <w:tc>
                <w:tcPr>
                  <w:tcW w:w="2779" w:type="dxa"/>
                  <w:noWrap w:val="0"/>
                  <w:vAlign w:val="center"/>
                </w:tcPr>
                <w:p w14:paraId="135D6B9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eastAsia="宋体"/>
                      <w:b/>
                      <w:bCs/>
                      <w:color w:val="auto"/>
                      <w:spacing w:val="0"/>
                      <w:szCs w:val="21"/>
                      <w:u w:val="single"/>
                      <w:lang w:val="en-US" w:eastAsia="zh-CN"/>
                    </w:rPr>
                  </w:pPr>
                  <w:r>
                    <w:rPr>
                      <w:rFonts w:hint="eastAsia"/>
                      <w:b/>
                      <w:bCs/>
                      <w:color w:val="auto"/>
                      <w:spacing w:val="0"/>
                      <w:szCs w:val="21"/>
                      <w:u w:val="single"/>
                      <w:lang w:val="en-US" w:eastAsia="zh-CN"/>
                    </w:rPr>
                    <w:t>本项目不属于高耗能、高排放项目以及所列举禁止建设项目。</w:t>
                  </w:r>
                </w:p>
              </w:tc>
              <w:tc>
                <w:tcPr>
                  <w:tcW w:w="594" w:type="dxa"/>
                  <w:noWrap w:val="0"/>
                  <w:vAlign w:val="center"/>
                </w:tcPr>
                <w:p w14:paraId="6FD6C58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b/>
                      <w:bCs/>
                      <w:color w:val="auto"/>
                      <w:spacing w:val="0"/>
                      <w:szCs w:val="21"/>
                      <w:u w:val="single"/>
                    </w:rPr>
                    <w:t>相符</w:t>
                  </w:r>
                </w:p>
              </w:tc>
            </w:tr>
            <w:tr w14:paraId="02D73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01" w:type="dxa"/>
                  <w:vMerge w:val="continue"/>
                  <w:noWrap w:val="0"/>
                  <w:vAlign w:val="center"/>
                </w:tcPr>
                <w:p w14:paraId="155F504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p>
              </w:tc>
              <w:tc>
                <w:tcPr>
                  <w:tcW w:w="426" w:type="dxa"/>
                  <w:noWrap w:val="0"/>
                  <w:vAlign w:val="center"/>
                </w:tcPr>
                <w:p w14:paraId="4A347B5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b/>
                      <w:bCs/>
                      <w:color w:val="auto"/>
                      <w:spacing w:val="0"/>
                      <w:szCs w:val="21"/>
                      <w:u w:val="single"/>
                      <w:lang w:val="en-US" w:eastAsia="zh-CN"/>
                    </w:rPr>
                  </w:pPr>
                  <w:r>
                    <w:rPr>
                      <w:rFonts w:hint="eastAsia"/>
                      <w:b/>
                      <w:bCs/>
                      <w:color w:val="auto"/>
                      <w:spacing w:val="0"/>
                      <w:szCs w:val="21"/>
                      <w:u w:val="single"/>
                      <w:lang w:val="en-US" w:eastAsia="zh-CN"/>
                    </w:rPr>
                    <w:t>9</w:t>
                  </w:r>
                </w:p>
              </w:tc>
              <w:tc>
                <w:tcPr>
                  <w:tcW w:w="3277" w:type="dxa"/>
                  <w:noWrap w:val="0"/>
                  <w:vAlign w:val="center"/>
                </w:tcPr>
                <w:p w14:paraId="5A7E221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b/>
                      <w:bCs/>
                      <w:color w:val="auto"/>
                      <w:spacing w:val="0"/>
                      <w:szCs w:val="21"/>
                      <w:u w:val="single"/>
                    </w:rPr>
                  </w:pPr>
                  <w:r>
                    <w:rPr>
                      <w:rFonts w:hint="eastAsia"/>
                      <w:b/>
                      <w:bCs/>
                      <w:color w:val="auto"/>
                      <w:spacing w:val="0"/>
                      <w:szCs w:val="21"/>
                      <w:u w:val="single"/>
                    </w:rPr>
                    <w:t>鼓励发展家具制造、食品加工和节能环保产业，鼓励能够延长开发区产业链条的，符合开发区功能定位的项目入驻。</w:t>
                  </w:r>
                </w:p>
              </w:tc>
              <w:tc>
                <w:tcPr>
                  <w:tcW w:w="2779" w:type="dxa"/>
                  <w:noWrap w:val="0"/>
                  <w:vAlign w:val="center"/>
                </w:tcPr>
                <w:p w14:paraId="54BB744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rFonts w:hint="eastAsia"/>
                      <w:b/>
                      <w:bCs/>
                      <w:color w:val="auto"/>
                      <w:spacing w:val="0"/>
                      <w:szCs w:val="21"/>
                      <w:u w:val="single"/>
                      <w:lang w:val="en-US" w:eastAsia="zh-CN"/>
                    </w:rPr>
                    <w:t>本项目属于C2110 木质家具制造，</w:t>
                  </w:r>
                  <w:r>
                    <w:rPr>
                      <w:rFonts w:hint="eastAsia"/>
                      <w:b/>
                      <w:bCs/>
                      <w:color w:val="auto"/>
                      <w:spacing w:val="0"/>
                      <w:szCs w:val="21"/>
                      <w:u w:val="single"/>
                    </w:rPr>
                    <w:t>符合开发区功能定位</w:t>
                  </w:r>
                </w:p>
              </w:tc>
              <w:tc>
                <w:tcPr>
                  <w:tcW w:w="594" w:type="dxa"/>
                  <w:noWrap w:val="0"/>
                  <w:vAlign w:val="center"/>
                </w:tcPr>
                <w:p w14:paraId="01926D6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eastAsia="宋体"/>
                      <w:b/>
                      <w:bCs/>
                      <w:color w:val="auto"/>
                      <w:spacing w:val="0"/>
                      <w:szCs w:val="21"/>
                      <w:u w:val="single"/>
                      <w:lang w:val="en-US" w:eastAsia="zh-CN"/>
                    </w:rPr>
                  </w:pPr>
                  <w:r>
                    <w:rPr>
                      <w:rFonts w:hint="eastAsia"/>
                      <w:b/>
                      <w:bCs/>
                      <w:color w:val="auto"/>
                      <w:spacing w:val="0"/>
                      <w:szCs w:val="21"/>
                      <w:u w:val="single"/>
                      <w:lang w:val="en-US" w:eastAsia="zh-CN"/>
                    </w:rPr>
                    <w:t>相符</w:t>
                  </w:r>
                </w:p>
              </w:tc>
            </w:tr>
            <w:tr w14:paraId="5FD06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01" w:type="dxa"/>
                  <w:vMerge w:val="continue"/>
                  <w:noWrap w:val="0"/>
                  <w:vAlign w:val="center"/>
                </w:tcPr>
                <w:p w14:paraId="78E59B4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p>
              </w:tc>
              <w:tc>
                <w:tcPr>
                  <w:tcW w:w="426" w:type="dxa"/>
                  <w:noWrap w:val="0"/>
                  <w:vAlign w:val="center"/>
                </w:tcPr>
                <w:p w14:paraId="70F5C46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b/>
                      <w:bCs/>
                      <w:color w:val="auto"/>
                      <w:spacing w:val="0"/>
                      <w:szCs w:val="21"/>
                      <w:u w:val="single"/>
                      <w:lang w:val="en-US" w:eastAsia="zh-CN"/>
                    </w:rPr>
                  </w:pPr>
                  <w:r>
                    <w:rPr>
                      <w:rFonts w:hint="eastAsia"/>
                      <w:b/>
                      <w:bCs/>
                      <w:color w:val="auto"/>
                      <w:spacing w:val="0"/>
                      <w:szCs w:val="21"/>
                      <w:u w:val="single"/>
                      <w:lang w:val="en-US" w:eastAsia="zh-CN"/>
                    </w:rPr>
                    <w:t>10</w:t>
                  </w:r>
                </w:p>
              </w:tc>
              <w:tc>
                <w:tcPr>
                  <w:tcW w:w="3277" w:type="dxa"/>
                  <w:noWrap w:val="0"/>
                  <w:vAlign w:val="center"/>
                </w:tcPr>
                <w:p w14:paraId="52D7814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b/>
                      <w:bCs/>
                      <w:color w:val="auto"/>
                      <w:spacing w:val="0"/>
                      <w:szCs w:val="21"/>
                      <w:u w:val="single"/>
                    </w:rPr>
                  </w:pPr>
                  <w:r>
                    <w:rPr>
                      <w:rFonts w:hint="eastAsia"/>
                      <w:b/>
                      <w:bCs/>
                      <w:color w:val="auto"/>
                      <w:spacing w:val="0"/>
                      <w:szCs w:val="21"/>
                      <w:u w:val="single"/>
                    </w:rPr>
                    <w:t>鼓励开发区内建设集中的喷涂中心，禁止露天和敞开式喷漆项目。</w:t>
                  </w:r>
                </w:p>
              </w:tc>
              <w:tc>
                <w:tcPr>
                  <w:tcW w:w="2779" w:type="dxa"/>
                  <w:noWrap w:val="0"/>
                  <w:vAlign w:val="center"/>
                </w:tcPr>
                <w:p w14:paraId="518B48B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eastAsia="宋体"/>
                      <w:b/>
                      <w:bCs/>
                      <w:color w:val="auto"/>
                      <w:spacing w:val="0"/>
                      <w:szCs w:val="21"/>
                      <w:u w:val="single"/>
                      <w:lang w:val="en-US" w:eastAsia="zh-CN"/>
                    </w:rPr>
                  </w:pPr>
                  <w:r>
                    <w:rPr>
                      <w:rFonts w:hint="eastAsia"/>
                      <w:b/>
                      <w:bCs/>
                      <w:color w:val="auto"/>
                      <w:spacing w:val="0"/>
                      <w:szCs w:val="21"/>
                      <w:u w:val="single"/>
                      <w:lang w:val="en-US" w:eastAsia="zh-CN"/>
                    </w:rPr>
                    <w:t>本项目喷漆设置密闭喷漆房，不进行露天或者敞开式喷漆。</w:t>
                  </w:r>
                </w:p>
              </w:tc>
              <w:tc>
                <w:tcPr>
                  <w:tcW w:w="594" w:type="dxa"/>
                  <w:noWrap w:val="0"/>
                  <w:vAlign w:val="center"/>
                </w:tcPr>
                <w:p w14:paraId="4FD5815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b/>
                      <w:bCs/>
                      <w:color w:val="auto"/>
                      <w:spacing w:val="0"/>
                      <w:szCs w:val="21"/>
                      <w:u w:val="single"/>
                    </w:rPr>
                    <w:t>相符</w:t>
                  </w:r>
                </w:p>
              </w:tc>
            </w:tr>
            <w:tr w14:paraId="13C68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01" w:type="dxa"/>
                  <w:vMerge w:val="continue"/>
                  <w:noWrap w:val="0"/>
                  <w:vAlign w:val="center"/>
                </w:tcPr>
                <w:p w14:paraId="2E406E1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p>
              </w:tc>
              <w:tc>
                <w:tcPr>
                  <w:tcW w:w="426" w:type="dxa"/>
                  <w:noWrap w:val="0"/>
                  <w:vAlign w:val="center"/>
                </w:tcPr>
                <w:p w14:paraId="70A3ED2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b/>
                      <w:bCs/>
                      <w:color w:val="auto"/>
                      <w:spacing w:val="0"/>
                      <w:szCs w:val="21"/>
                      <w:u w:val="single"/>
                      <w:lang w:val="en-US" w:eastAsia="zh-CN"/>
                    </w:rPr>
                  </w:pPr>
                  <w:r>
                    <w:rPr>
                      <w:rFonts w:hint="eastAsia"/>
                      <w:b/>
                      <w:bCs/>
                      <w:color w:val="auto"/>
                      <w:spacing w:val="0"/>
                      <w:szCs w:val="21"/>
                      <w:u w:val="single"/>
                      <w:lang w:val="en-US" w:eastAsia="zh-CN"/>
                    </w:rPr>
                    <w:t>11</w:t>
                  </w:r>
                </w:p>
              </w:tc>
              <w:tc>
                <w:tcPr>
                  <w:tcW w:w="3277" w:type="dxa"/>
                  <w:noWrap w:val="0"/>
                  <w:vAlign w:val="center"/>
                </w:tcPr>
                <w:p w14:paraId="7C33E6F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b/>
                      <w:bCs/>
                      <w:color w:val="auto"/>
                      <w:spacing w:val="0"/>
                      <w:szCs w:val="21"/>
                      <w:u w:val="single"/>
                    </w:rPr>
                  </w:pPr>
                  <w:r>
                    <w:rPr>
                      <w:rFonts w:hint="eastAsia"/>
                      <w:b/>
                      <w:bCs/>
                      <w:color w:val="auto"/>
                      <w:spacing w:val="0"/>
                      <w:szCs w:val="21"/>
                      <w:u w:val="single"/>
                    </w:rPr>
                    <w:t>在园区实现集中供热之前，禁止新建燃煤、重油及高污染燃料的锅炉项目。在园区实现集中供热之后，在保障各企业工业用蒸汽的等级、压力及用汽的连续性的基础上，原则上不再新增分散式燃气锅炉项目，原有的分散锅炉应逐步取缔。</w:t>
                  </w:r>
                </w:p>
              </w:tc>
              <w:tc>
                <w:tcPr>
                  <w:tcW w:w="2779" w:type="dxa"/>
                  <w:noWrap w:val="0"/>
                  <w:vAlign w:val="center"/>
                </w:tcPr>
                <w:p w14:paraId="46BB930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rFonts w:hint="eastAsia"/>
                      <w:b/>
                      <w:bCs/>
                      <w:color w:val="auto"/>
                      <w:spacing w:val="0"/>
                      <w:szCs w:val="21"/>
                      <w:u w:val="single"/>
                    </w:rPr>
                    <w:t>本项目</w:t>
                  </w:r>
                  <w:r>
                    <w:rPr>
                      <w:rFonts w:hint="eastAsia"/>
                      <w:b/>
                      <w:bCs/>
                      <w:color w:val="auto"/>
                      <w:spacing w:val="0"/>
                      <w:szCs w:val="21"/>
                      <w:u w:val="single"/>
                      <w:lang w:val="en-US" w:eastAsia="zh-CN"/>
                    </w:rPr>
                    <w:t>不涉及锅炉，水性漆产品在冬季使用干燥机进行烘干</w:t>
                  </w:r>
                  <w:r>
                    <w:rPr>
                      <w:rFonts w:hint="eastAsia"/>
                      <w:b/>
                      <w:bCs/>
                      <w:color w:val="auto"/>
                      <w:spacing w:val="0"/>
                      <w:szCs w:val="21"/>
                      <w:u w:val="single"/>
                    </w:rPr>
                    <w:t>。</w:t>
                  </w:r>
                </w:p>
              </w:tc>
              <w:tc>
                <w:tcPr>
                  <w:tcW w:w="594" w:type="dxa"/>
                  <w:noWrap w:val="0"/>
                  <w:vAlign w:val="center"/>
                </w:tcPr>
                <w:p w14:paraId="5525D07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b/>
                      <w:bCs/>
                      <w:color w:val="auto"/>
                      <w:spacing w:val="0"/>
                      <w:szCs w:val="21"/>
                      <w:u w:val="single"/>
                    </w:rPr>
                    <w:t>相符</w:t>
                  </w:r>
                </w:p>
              </w:tc>
            </w:tr>
            <w:tr w14:paraId="163CB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01" w:type="dxa"/>
                  <w:vMerge w:val="continue"/>
                  <w:noWrap w:val="0"/>
                  <w:vAlign w:val="center"/>
                </w:tcPr>
                <w:p w14:paraId="057E3B9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p>
              </w:tc>
              <w:tc>
                <w:tcPr>
                  <w:tcW w:w="426" w:type="dxa"/>
                  <w:noWrap w:val="0"/>
                  <w:vAlign w:val="center"/>
                </w:tcPr>
                <w:p w14:paraId="1DF5C43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b/>
                      <w:bCs/>
                      <w:color w:val="auto"/>
                      <w:spacing w:val="0"/>
                      <w:szCs w:val="21"/>
                      <w:u w:val="single"/>
                      <w:lang w:val="en-US" w:eastAsia="zh-CN"/>
                    </w:rPr>
                  </w:pPr>
                  <w:r>
                    <w:rPr>
                      <w:rFonts w:hint="eastAsia"/>
                      <w:b/>
                      <w:bCs/>
                      <w:color w:val="auto"/>
                      <w:spacing w:val="0"/>
                      <w:szCs w:val="21"/>
                      <w:u w:val="single"/>
                      <w:lang w:val="en-US" w:eastAsia="zh-CN"/>
                    </w:rPr>
                    <w:t>12</w:t>
                  </w:r>
                </w:p>
              </w:tc>
              <w:tc>
                <w:tcPr>
                  <w:tcW w:w="3277" w:type="dxa"/>
                  <w:noWrap w:val="0"/>
                  <w:vAlign w:val="center"/>
                </w:tcPr>
                <w:p w14:paraId="14AF350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b/>
                      <w:bCs/>
                      <w:color w:val="auto"/>
                      <w:spacing w:val="0"/>
                      <w:szCs w:val="21"/>
                      <w:u w:val="single"/>
                    </w:rPr>
                  </w:pPr>
                  <w:r>
                    <w:rPr>
                      <w:rFonts w:hint="eastAsia"/>
                      <w:b/>
                      <w:bCs/>
                      <w:color w:val="auto"/>
                      <w:spacing w:val="0"/>
                      <w:szCs w:val="21"/>
                      <w:u w:val="single"/>
                    </w:rPr>
                    <w:t>鼓励中水回用、污水深度治理等基础设施项目入驻</w:t>
                  </w:r>
                </w:p>
              </w:tc>
              <w:tc>
                <w:tcPr>
                  <w:tcW w:w="2779" w:type="dxa"/>
                  <w:noWrap w:val="0"/>
                  <w:vAlign w:val="center"/>
                </w:tcPr>
                <w:p w14:paraId="3159971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eastAsia="宋体"/>
                      <w:b/>
                      <w:bCs/>
                      <w:color w:val="auto"/>
                      <w:spacing w:val="0"/>
                      <w:szCs w:val="21"/>
                      <w:u w:val="single"/>
                      <w:lang w:val="en-US" w:eastAsia="zh-CN"/>
                    </w:rPr>
                  </w:pPr>
                  <w:r>
                    <w:rPr>
                      <w:rFonts w:hint="eastAsia"/>
                      <w:b/>
                      <w:bCs/>
                      <w:color w:val="auto"/>
                      <w:spacing w:val="0"/>
                      <w:szCs w:val="21"/>
                      <w:u w:val="single"/>
                      <w:lang w:val="en-US" w:eastAsia="zh-CN"/>
                    </w:rPr>
                    <w:t>项目制备废水和生活污水一起经化粪池（自建，12m</w:t>
                  </w:r>
                  <w:r>
                    <w:rPr>
                      <w:rFonts w:hint="eastAsia"/>
                      <w:b/>
                      <w:bCs/>
                      <w:color w:val="auto"/>
                      <w:spacing w:val="0"/>
                      <w:szCs w:val="21"/>
                      <w:u w:val="single"/>
                      <w:vertAlign w:val="superscript"/>
                      <w:lang w:val="en-US" w:eastAsia="zh-CN"/>
                    </w:rPr>
                    <w:t>3</w:t>
                  </w:r>
                  <w:r>
                    <w:rPr>
                      <w:rFonts w:hint="eastAsia"/>
                      <w:b/>
                      <w:bCs/>
                      <w:color w:val="auto"/>
                      <w:spacing w:val="0"/>
                      <w:szCs w:val="21"/>
                      <w:u w:val="single"/>
                      <w:lang w:val="en-US" w:eastAsia="zh-CN"/>
                    </w:rPr>
                    <w:t>）处理后排入清丰中州水务有限公司第二污水处理厂进一步处理</w:t>
                  </w:r>
                </w:p>
              </w:tc>
              <w:tc>
                <w:tcPr>
                  <w:tcW w:w="594" w:type="dxa"/>
                  <w:noWrap w:val="0"/>
                  <w:vAlign w:val="center"/>
                </w:tcPr>
                <w:p w14:paraId="485C32E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b/>
                      <w:bCs/>
                      <w:color w:val="auto"/>
                      <w:spacing w:val="0"/>
                      <w:szCs w:val="21"/>
                      <w:u w:val="single"/>
                    </w:rPr>
                    <w:t>相符</w:t>
                  </w:r>
                </w:p>
              </w:tc>
            </w:tr>
            <w:tr w14:paraId="64303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701" w:type="dxa"/>
                  <w:vMerge w:val="restart"/>
                  <w:noWrap w:val="0"/>
                  <w:vAlign w:val="center"/>
                </w:tcPr>
                <w:p w14:paraId="0F75408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rFonts w:hint="eastAsia"/>
                      <w:b/>
                      <w:bCs/>
                      <w:color w:val="auto"/>
                      <w:spacing w:val="0"/>
                      <w:szCs w:val="21"/>
                      <w:u w:val="single"/>
                    </w:rPr>
                    <w:t>空间布局约束</w:t>
                  </w:r>
                </w:p>
              </w:tc>
              <w:tc>
                <w:tcPr>
                  <w:tcW w:w="426" w:type="dxa"/>
                  <w:noWrap w:val="0"/>
                  <w:vAlign w:val="center"/>
                </w:tcPr>
                <w:p w14:paraId="19A67A3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b/>
                      <w:bCs/>
                      <w:color w:val="auto"/>
                      <w:spacing w:val="0"/>
                      <w:szCs w:val="21"/>
                      <w:u w:val="single"/>
                    </w:rPr>
                    <w:t>1</w:t>
                  </w:r>
                </w:p>
              </w:tc>
              <w:tc>
                <w:tcPr>
                  <w:tcW w:w="3277" w:type="dxa"/>
                  <w:noWrap w:val="0"/>
                  <w:vAlign w:val="center"/>
                </w:tcPr>
                <w:p w14:paraId="1F3851D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rFonts w:hint="eastAsia"/>
                      <w:b/>
                      <w:bCs/>
                      <w:color w:val="auto"/>
                      <w:spacing w:val="0"/>
                      <w:szCs w:val="21"/>
                      <w:u w:val="single"/>
                    </w:rPr>
                    <w:t>禁止新建选址不符合“三线一单”和规划环评空间管控要求的项目入驻。</w:t>
                  </w:r>
                </w:p>
              </w:tc>
              <w:tc>
                <w:tcPr>
                  <w:tcW w:w="2779" w:type="dxa"/>
                  <w:noWrap w:val="0"/>
                  <w:vAlign w:val="center"/>
                </w:tcPr>
                <w:p w14:paraId="4E40C70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eastAsia="宋体"/>
                      <w:b/>
                      <w:bCs/>
                      <w:color w:val="auto"/>
                      <w:spacing w:val="0"/>
                      <w:szCs w:val="21"/>
                      <w:u w:val="single"/>
                      <w:lang w:val="en-US" w:eastAsia="zh-CN"/>
                    </w:rPr>
                  </w:pPr>
                  <w:r>
                    <w:rPr>
                      <w:rFonts w:hint="eastAsia"/>
                      <w:b/>
                      <w:bCs/>
                      <w:color w:val="auto"/>
                      <w:spacing w:val="0"/>
                      <w:szCs w:val="21"/>
                      <w:u w:val="single"/>
                    </w:rPr>
                    <w:t>对照“河南省“三线一单”生态环境分区管控更新成果（2023年版）”</w:t>
                  </w:r>
                  <w:r>
                    <w:rPr>
                      <w:rFonts w:hint="eastAsia"/>
                      <w:b/>
                      <w:bCs/>
                      <w:color w:val="auto"/>
                      <w:spacing w:val="0"/>
                      <w:szCs w:val="21"/>
                      <w:u w:val="single"/>
                      <w:lang w:eastAsia="zh-CN"/>
                    </w:rPr>
                    <w:t>，</w:t>
                  </w:r>
                  <w:r>
                    <w:rPr>
                      <w:rFonts w:hint="eastAsia"/>
                      <w:b/>
                      <w:bCs/>
                      <w:color w:val="auto"/>
                      <w:spacing w:val="0"/>
                      <w:szCs w:val="21"/>
                      <w:u w:val="single"/>
                      <w:lang w:val="en-US" w:eastAsia="zh-CN"/>
                    </w:rPr>
                    <w:t>本项目符合</w:t>
                  </w:r>
                  <w:r>
                    <w:rPr>
                      <w:rFonts w:hint="eastAsia"/>
                      <w:b/>
                      <w:bCs/>
                      <w:color w:val="auto"/>
                      <w:spacing w:val="0"/>
                      <w:szCs w:val="21"/>
                      <w:u w:val="single"/>
                    </w:rPr>
                    <w:t>“三线一单”和规划环评空间管控</w:t>
                  </w:r>
                  <w:r>
                    <w:rPr>
                      <w:rFonts w:hint="eastAsia"/>
                      <w:b/>
                      <w:bCs/>
                      <w:color w:val="auto"/>
                      <w:spacing w:val="0"/>
                      <w:szCs w:val="21"/>
                      <w:u w:val="single"/>
                      <w:lang w:val="en-US" w:eastAsia="zh-CN"/>
                    </w:rPr>
                    <w:t>相关</w:t>
                  </w:r>
                  <w:r>
                    <w:rPr>
                      <w:rFonts w:hint="eastAsia"/>
                      <w:b/>
                      <w:bCs/>
                      <w:color w:val="auto"/>
                      <w:spacing w:val="0"/>
                      <w:szCs w:val="21"/>
                      <w:u w:val="single"/>
                    </w:rPr>
                    <w:t>要求</w:t>
                  </w:r>
                  <w:r>
                    <w:rPr>
                      <w:rFonts w:hint="eastAsia"/>
                      <w:b/>
                      <w:bCs/>
                      <w:color w:val="auto"/>
                      <w:spacing w:val="0"/>
                      <w:szCs w:val="21"/>
                      <w:u w:val="single"/>
                      <w:lang w:eastAsia="zh-CN"/>
                    </w:rPr>
                    <w:t>。</w:t>
                  </w:r>
                </w:p>
              </w:tc>
              <w:tc>
                <w:tcPr>
                  <w:tcW w:w="594" w:type="dxa"/>
                  <w:noWrap w:val="0"/>
                  <w:vAlign w:val="center"/>
                </w:tcPr>
                <w:p w14:paraId="4A7B1F3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b/>
                      <w:bCs/>
                      <w:color w:val="auto"/>
                      <w:spacing w:val="0"/>
                      <w:szCs w:val="21"/>
                      <w:u w:val="single"/>
                    </w:rPr>
                    <w:t>相符</w:t>
                  </w:r>
                </w:p>
              </w:tc>
            </w:tr>
            <w:tr w14:paraId="63B0A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1" w:type="dxa"/>
                  <w:vMerge w:val="continue"/>
                  <w:noWrap w:val="0"/>
                  <w:vAlign w:val="center"/>
                </w:tcPr>
                <w:p w14:paraId="1ADD227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p>
              </w:tc>
              <w:tc>
                <w:tcPr>
                  <w:tcW w:w="426" w:type="dxa"/>
                  <w:noWrap w:val="0"/>
                  <w:vAlign w:val="center"/>
                </w:tcPr>
                <w:p w14:paraId="4DA26C1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b/>
                      <w:bCs/>
                      <w:color w:val="auto"/>
                      <w:spacing w:val="0"/>
                      <w:szCs w:val="21"/>
                      <w:u w:val="single"/>
                    </w:rPr>
                    <w:t>2</w:t>
                  </w:r>
                </w:p>
              </w:tc>
              <w:tc>
                <w:tcPr>
                  <w:tcW w:w="3277" w:type="dxa"/>
                  <w:noWrap w:val="0"/>
                  <w:vAlign w:val="center"/>
                </w:tcPr>
                <w:p w14:paraId="0B218F1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rFonts w:hint="eastAsia"/>
                      <w:b/>
                      <w:bCs/>
                      <w:color w:val="auto"/>
                      <w:spacing w:val="0"/>
                      <w:szCs w:val="21"/>
                      <w:u w:val="single"/>
                    </w:rPr>
                    <w:t>禁止在黄河干支流岸线管控范围内新建、扩建化工项目；禁止在黄河干流岸线和重要支流岸线的管控范围内新建、改建、扩建尾矿库，但是以提升安全水平、生态环境保护水平为目的的改建除外。</w:t>
                  </w:r>
                </w:p>
              </w:tc>
              <w:tc>
                <w:tcPr>
                  <w:tcW w:w="2779" w:type="dxa"/>
                  <w:noWrap w:val="0"/>
                  <w:vAlign w:val="center"/>
                </w:tcPr>
                <w:p w14:paraId="255B351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rFonts w:hint="eastAsia"/>
                      <w:b/>
                      <w:bCs/>
                      <w:color w:val="auto"/>
                      <w:spacing w:val="0"/>
                      <w:szCs w:val="21"/>
                      <w:u w:val="single"/>
                      <w:lang w:val="en-US" w:eastAsia="zh-CN"/>
                    </w:rPr>
                    <w:t>本项目不涉及。</w:t>
                  </w:r>
                </w:p>
              </w:tc>
              <w:tc>
                <w:tcPr>
                  <w:tcW w:w="594" w:type="dxa"/>
                  <w:noWrap w:val="0"/>
                  <w:vAlign w:val="center"/>
                </w:tcPr>
                <w:p w14:paraId="4005250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eastAsia="宋体"/>
                      <w:b/>
                      <w:bCs/>
                      <w:color w:val="auto"/>
                      <w:spacing w:val="0"/>
                      <w:szCs w:val="21"/>
                      <w:u w:val="single"/>
                      <w:lang w:eastAsia="zh-CN"/>
                    </w:rPr>
                  </w:pPr>
                  <w:r>
                    <w:rPr>
                      <w:rFonts w:hint="eastAsia"/>
                      <w:b/>
                      <w:bCs/>
                      <w:color w:val="auto"/>
                      <w:spacing w:val="0"/>
                      <w:szCs w:val="21"/>
                      <w:u w:val="single"/>
                      <w:lang w:val="en-US" w:eastAsia="zh-CN"/>
                    </w:rPr>
                    <w:t>/</w:t>
                  </w:r>
                </w:p>
              </w:tc>
            </w:tr>
            <w:tr w14:paraId="3666A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1" w:type="dxa"/>
                  <w:vMerge w:val="continue"/>
                  <w:noWrap w:val="0"/>
                  <w:vAlign w:val="center"/>
                </w:tcPr>
                <w:p w14:paraId="58317F6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p>
              </w:tc>
              <w:tc>
                <w:tcPr>
                  <w:tcW w:w="426" w:type="dxa"/>
                  <w:noWrap w:val="0"/>
                  <w:vAlign w:val="center"/>
                </w:tcPr>
                <w:p w14:paraId="13168BE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b/>
                      <w:bCs/>
                      <w:color w:val="auto"/>
                      <w:spacing w:val="0"/>
                      <w:szCs w:val="21"/>
                      <w:u w:val="single"/>
                    </w:rPr>
                    <w:t>3</w:t>
                  </w:r>
                </w:p>
              </w:tc>
              <w:tc>
                <w:tcPr>
                  <w:tcW w:w="3277" w:type="dxa"/>
                  <w:noWrap w:val="0"/>
                  <w:vAlign w:val="center"/>
                </w:tcPr>
                <w:p w14:paraId="368C41A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rFonts w:hint="eastAsia"/>
                      <w:b/>
                      <w:bCs/>
                      <w:color w:val="auto"/>
                      <w:spacing w:val="0"/>
                      <w:szCs w:val="21"/>
                      <w:u w:val="single"/>
                    </w:rPr>
                    <w:t>禁止大气环境防护距离和环境风险防护距离范围涉及规划教育、医疗等用地的项目入驻。</w:t>
                  </w:r>
                </w:p>
              </w:tc>
              <w:tc>
                <w:tcPr>
                  <w:tcW w:w="2779" w:type="dxa"/>
                  <w:noWrap w:val="0"/>
                  <w:vAlign w:val="center"/>
                </w:tcPr>
                <w:p w14:paraId="6A8ABB9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eastAsia="宋体"/>
                      <w:b/>
                      <w:bCs/>
                      <w:color w:val="auto"/>
                      <w:spacing w:val="0"/>
                      <w:szCs w:val="21"/>
                      <w:u w:val="single"/>
                      <w:lang w:eastAsia="zh-CN"/>
                    </w:rPr>
                  </w:pPr>
                  <w:r>
                    <w:rPr>
                      <w:rFonts w:hint="eastAsia"/>
                      <w:b/>
                      <w:bCs/>
                      <w:color w:val="auto"/>
                      <w:spacing w:val="0"/>
                      <w:szCs w:val="21"/>
                      <w:u w:val="single"/>
                      <w:lang w:val="en-US" w:eastAsia="zh-CN"/>
                    </w:rPr>
                    <w:t>本项目不涉及。</w:t>
                  </w:r>
                </w:p>
              </w:tc>
              <w:tc>
                <w:tcPr>
                  <w:tcW w:w="594" w:type="dxa"/>
                  <w:noWrap w:val="0"/>
                  <w:vAlign w:val="center"/>
                </w:tcPr>
                <w:p w14:paraId="3965669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eastAsia="宋体"/>
                      <w:b/>
                      <w:bCs/>
                      <w:color w:val="auto"/>
                      <w:spacing w:val="0"/>
                      <w:szCs w:val="21"/>
                      <w:u w:val="single"/>
                      <w:lang w:eastAsia="zh-CN"/>
                    </w:rPr>
                  </w:pPr>
                  <w:r>
                    <w:rPr>
                      <w:rFonts w:hint="eastAsia"/>
                      <w:b/>
                      <w:bCs/>
                      <w:color w:val="auto"/>
                      <w:spacing w:val="0"/>
                      <w:szCs w:val="21"/>
                      <w:u w:val="single"/>
                      <w:lang w:val="en-US" w:eastAsia="zh-CN"/>
                    </w:rPr>
                    <w:t>/</w:t>
                  </w:r>
                </w:p>
              </w:tc>
            </w:tr>
            <w:tr w14:paraId="0F34B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1" w:type="dxa"/>
                  <w:vMerge w:val="continue"/>
                  <w:noWrap w:val="0"/>
                  <w:vAlign w:val="center"/>
                </w:tcPr>
                <w:p w14:paraId="43CB436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p>
              </w:tc>
              <w:tc>
                <w:tcPr>
                  <w:tcW w:w="426" w:type="dxa"/>
                  <w:noWrap w:val="0"/>
                  <w:vAlign w:val="center"/>
                </w:tcPr>
                <w:p w14:paraId="740E250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eastAsia="宋体"/>
                      <w:b/>
                      <w:bCs/>
                      <w:color w:val="auto"/>
                      <w:spacing w:val="0"/>
                      <w:szCs w:val="21"/>
                      <w:u w:val="single"/>
                      <w:lang w:val="en-US" w:eastAsia="zh-CN"/>
                    </w:rPr>
                  </w:pPr>
                  <w:r>
                    <w:rPr>
                      <w:rFonts w:hint="eastAsia"/>
                      <w:b/>
                      <w:bCs/>
                      <w:color w:val="auto"/>
                      <w:spacing w:val="0"/>
                      <w:szCs w:val="21"/>
                      <w:u w:val="single"/>
                      <w:lang w:val="en-US" w:eastAsia="zh-CN"/>
                    </w:rPr>
                    <w:t>4</w:t>
                  </w:r>
                </w:p>
              </w:tc>
              <w:tc>
                <w:tcPr>
                  <w:tcW w:w="3277" w:type="dxa"/>
                  <w:noWrap w:val="0"/>
                  <w:vAlign w:val="center"/>
                </w:tcPr>
                <w:p w14:paraId="572CE16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b/>
                      <w:bCs/>
                      <w:color w:val="auto"/>
                      <w:spacing w:val="0"/>
                      <w:szCs w:val="21"/>
                      <w:u w:val="single"/>
                    </w:rPr>
                  </w:pPr>
                  <w:r>
                    <w:rPr>
                      <w:rFonts w:hint="eastAsia"/>
                      <w:b/>
                      <w:bCs/>
                      <w:color w:val="auto"/>
                      <w:spacing w:val="0"/>
                      <w:szCs w:val="21"/>
                      <w:u w:val="single"/>
                    </w:rPr>
                    <w:t>被列入建设用地土壤污染风险管控和修复名录的地块，不得作为住宅、公共管理和公共服务设施用地。</w:t>
                  </w:r>
                </w:p>
              </w:tc>
              <w:tc>
                <w:tcPr>
                  <w:tcW w:w="2779" w:type="dxa"/>
                  <w:noWrap w:val="0"/>
                  <w:vAlign w:val="center"/>
                </w:tcPr>
                <w:p w14:paraId="6D55475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b/>
                      <w:bCs/>
                      <w:color w:val="auto"/>
                      <w:spacing w:val="0"/>
                      <w:szCs w:val="21"/>
                      <w:u w:val="single"/>
                      <w:lang w:val="en-US" w:eastAsia="zh-CN"/>
                    </w:rPr>
                  </w:pPr>
                  <w:r>
                    <w:rPr>
                      <w:rFonts w:hint="eastAsia"/>
                      <w:b/>
                      <w:bCs/>
                      <w:color w:val="auto"/>
                      <w:spacing w:val="0"/>
                      <w:szCs w:val="21"/>
                      <w:u w:val="single"/>
                      <w:lang w:val="en-US" w:eastAsia="zh-CN"/>
                    </w:rPr>
                    <w:t>本项目不涉及。</w:t>
                  </w:r>
                </w:p>
              </w:tc>
              <w:tc>
                <w:tcPr>
                  <w:tcW w:w="594" w:type="dxa"/>
                  <w:noWrap w:val="0"/>
                  <w:vAlign w:val="center"/>
                </w:tcPr>
                <w:p w14:paraId="732A157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b/>
                      <w:bCs/>
                      <w:color w:val="auto"/>
                      <w:spacing w:val="0"/>
                      <w:szCs w:val="21"/>
                      <w:u w:val="single"/>
                      <w:lang w:val="en-US" w:eastAsia="zh-CN"/>
                    </w:rPr>
                  </w:pPr>
                  <w:r>
                    <w:rPr>
                      <w:rFonts w:hint="eastAsia"/>
                      <w:b/>
                      <w:bCs/>
                      <w:color w:val="auto"/>
                      <w:spacing w:val="0"/>
                      <w:szCs w:val="21"/>
                      <w:u w:val="single"/>
                      <w:lang w:val="en-US" w:eastAsia="zh-CN"/>
                    </w:rPr>
                    <w:t>/</w:t>
                  </w:r>
                </w:p>
              </w:tc>
            </w:tr>
            <w:tr w14:paraId="71D95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1" w:type="dxa"/>
                  <w:vMerge w:val="continue"/>
                  <w:noWrap w:val="0"/>
                  <w:vAlign w:val="center"/>
                </w:tcPr>
                <w:p w14:paraId="4CF8EFB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p>
              </w:tc>
              <w:tc>
                <w:tcPr>
                  <w:tcW w:w="426" w:type="dxa"/>
                  <w:noWrap w:val="0"/>
                  <w:vAlign w:val="center"/>
                </w:tcPr>
                <w:p w14:paraId="65091A5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eastAsia="宋体"/>
                      <w:b/>
                      <w:bCs/>
                      <w:color w:val="auto"/>
                      <w:spacing w:val="0"/>
                      <w:szCs w:val="21"/>
                      <w:u w:val="single"/>
                      <w:lang w:val="en-US" w:eastAsia="zh-CN"/>
                    </w:rPr>
                  </w:pPr>
                  <w:r>
                    <w:rPr>
                      <w:rFonts w:hint="eastAsia"/>
                      <w:b/>
                      <w:bCs/>
                      <w:color w:val="auto"/>
                      <w:spacing w:val="0"/>
                      <w:szCs w:val="21"/>
                      <w:u w:val="single"/>
                      <w:lang w:val="en-US" w:eastAsia="zh-CN"/>
                    </w:rPr>
                    <w:t>5</w:t>
                  </w:r>
                </w:p>
              </w:tc>
              <w:tc>
                <w:tcPr>
                  <w:tcW w:w="3277" w:type="dxa"/>
                  <w:noWrap w:val="0"/>
                  <w:vAlign w:val="center"/>
                </w:tcPr>
                <w:p w14:paraId="694DA37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b/>
                      <w:bCs/>
                      <w:color w:val="auto"/>
                      <w:spacing w:val="0"/>
                      <w:szCs w:val="21"/>
                      <w:u w:val="single"/>
                    </w:rPr>
                  </w:pPr>
                  <w:r>
                    <w:rPr>
                      <w:rFonts w:hint="eastAsia"/>
                      <w:b/>
                      <w:bCs/>
                      <w:color w:val="auto"/>
                      <w:spacing w:val="0"/>
                      <w:szCs w:val="21"/>
                      <w:u w:val="single"/>
                    </w:rPr>
                    <w:t>按照当地主导风向，从南至北依次布设家具制造、食品加工、机械加工，同时考虑到区内现有居民点的整合，布设综合服务带贯通三个产业片区。</w:t>
                  </w:r>
                </w:p>
              </w:tc>
              <w:tc>
                <w:tcPr>
                  <w:tcW w:w="2779" w:type="dxa"/>
                  <w:noWrap w:val="0"/>
                  <w:vAlign w:val="center"/>
                </w:tcPr>
                <w:p w14:paraId="7748178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b/>
                      <w:bCs/>
                      <w:color w:val="auto"/>
                      <w:spacing w:val="0"/>
                      <w:szCs w:val="21"/>
                      <w:u w:val="single"/>
                      <w:lang w:val="en-US" w:eastAsia="zh-CN"/>
                    </w:rPr>
                  </w:pPr>
                  <w:r>
                    <w:rPr>
                      <w:rFonts w:hint="eastAsia"/>
                      <w:b/>
                      <w:bCs/>
                      <w:color w:val="auto"/>
                      <w:spacing w:val="0"/>
                      <w:szCs w:val="21"/>
                      <w:u w:val="single"/>
                      <w:lang w:val="en-US" w:eastAsia="zh-CN"/>
                    </w:rPr>
                    <w:t>本项目不涉及。</w:t>
                  </w:r>
                </w:p>
              </w:tc>
              <w:tc>
                <w:tcPr>
                  <w:tcW w:w="594" w:type="dxa"/>
                  <w:noWrap w:val="0"/>
                  <w:vAlign w:val="center"/>
                </w:tcPr>
                <w:p w14:paraId="51309C2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b/>
                      <w:bCs/>
                      <w:color w:val="auto"/>
                      <w:spacing w:val="0"/>
                      <w:szCs w:val="21"/>
                      <w:u w:val="single"/>
                      <w:lang w:val="en-US" w:eastAsia="zh-CN"/>
                    </w:rPr>
                  </w:pPr>
                  <w:r>
                    <w:rPr>
                      <w:rFonts w:hint="eastAsia"/>
                      <w:b/>
                      <w:bCs/>
                      <w:color w:val="auto"/>
                      <w:spacing w:val="0"/>
                      <w:szCs w:val="21"/>
                      <w:u w:val="single"/>
                      <w:lang w:val="en-US" w:eastAsia="zh-CN"/>
                    </w:rPr>
                    <w:t>/</w:t>
                  </w:r>
                </w:p>
              </w:tc>
            </w:tr>
            <w:tr w14:paraId="64B6C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jc w:val="center"/>
              </w:trPr>
              <w:tc>
                <w:tcPr>
                  <w:tcW w:w="701" w:type="dxa"/>
                  <w:vMerge w:val="restart"/>
                  <w:noWrap w:val="0"/>
                  <w:vAlign w:val="center"/>
                </w:tcPr>
                <w:p w14:paraId="0900DF2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rFonts w:hint="eastAsia"/>
                      <w:b/>
                      <w:bCs/>
                      <w:color w:val="auto"/>
                      <w:spacing w:val="0"/>
                      <w:szCs w:val="21"/>
                      <w:u w:val="single"/>
                    </w:rPr>
                    <w:t>污染物排放管控</w:t>
                  </w:r>
                </w:p>
              </w:tc>
              <w:tc>
                <w:tcPr>
                  <w:tcW w:w="426" w:type="dxa"/>
                  <w:noWrap w:val="0"/>
                  <w:vAlign w:val="center"/>
                </w:tcPr>
                <w:p w14:paraId="58E3ADD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b/>
                      <w:bCs/>
                      <w:color w:val="auto"/>
                      <w:spacing w:val="0"/>
                      <w:szCs w:val="21"/>
                      <w:u w:val="single"/>
                    </w:rPr>
                    <w:t>1</w:t>
                  </w:r>
                </w:p>
              </w:tc>
              <w:tc>
                <w:tcPr>
                  <w:tcW w:w="3277" w:type="dxa"/>
                  <w:noWrap w:val="0"/>
                  <w:vAlign w:val="center"/>
                </w:tcPr>
                <w:p w14:paraId="54C4BF7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rFonts w:hint="eastAsia"/>
                      <w:b/>
                      <w:bCs/>
                      <w:color w:val="auto"/>
                      <w:spacing w:val="0"/>
                      <w:szCs w:val="21"/>
                      <w:u w:val="single"/>
                    </w:rPr>
                    <w:t>新建项目的大气和水污染物排放指标必须在提高区域内现有工业污染负荷削减量或城市污染负荷削减量中调剂；入驻集聚区项目单位产品污染物排放必须满足行业污染物排放标准。新改扩建设项目主要污染物排放应满足总量减排要求。</w:t>
                  </w:r>
                </w:p>
              </w:tc>
              <w:tc>
                <w:tcPr>
                  <w:tcW w:w="2779" w:type="dxa"/>
                  <w:noWrap w:val="0"/>
                  <w:vAlign w:val="center"/>
                </w:tcPr>
                <w:p w14:paraId="7E54ABE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eastAsia="宋体"/>
                      <w:b/>
                      <w:bCs/>
                      <w:color w:val="auto"/>
                      <w:spacing w:val="0"/>
                      <w:szCs w:val="21"/>
                      <w:u w:val="single"/>
                      <w:lang w:val="en-US" w:eastAsia="zh-CN"/>
                    </w:rPr>
                  </w:pPr>
                  <w:r>
                    <w:rPr>
                      <w:rFonts w:hint="eastAsia"/>
                      <w:b/>
                      <w:bCs/>
                      <w:color w:val="auto"/>
                      <w:spacing w:val="0"/>
                      <w:szCs w:val="21"/>
                      <w:u w:val="single"/>
                      <w:lang w:val="en-US" w:eastAsia="zh-CN"/>
                    </w:rPr>
                    <w:t>本项目各污染物经处理后均达标排放。</w:t>
                  </w:r>
                </w:p>
              </w:tc>
              <w:tc>
                <w:tcPr>
                  <w:tcW w:w="594" w:type="dxa"/>
                  <w:noWrap w:val="0"/>
                  <w:vAlign w:val="center"/>
                </w:tcPr>
                <w:p w14:paraId="7B8BEFD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b/>
                      <w:bCs/>
                      <w:color w:val="auto"/>
                      <w:spacing w:val="0"/>
                      <w:szCs w:val="21"/>
                      <w:u w:val="single"/>
                    </w:rPr>
                    <w:t>相符</w:t>
                  </w:r>
                </w:p>
              </w:tc>
            </w:tr>
            <w:tr w14:paraId="2E625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jc w:val="center"/>
              </w:trPr>
              <w:tc>
                <w:tcPr>
                  <w:tcW w:w="701" w:type="dxa"/>
                  <w:vMerge w:val="continue"/>
                  <w:noWrap w:val="0"/>
                  <w:vAlign w:val="center"/>
                </w:tcPr>
                <w:p w14:paraId="350A480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p>
              </w:tc>
              <w:tc>
                <w:tcPr>
                  <w:tcW w:w="426" w:type="dxa"/>
                  <w:noWrap w:val="0"/>
                  <w:vAlign w:val="center"/>
                </w:tcPr>
                <w:p w14:paraId="4CCFBFA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b/>
                      <w:bCs/>
                      <w:color w:val="auto"/>
                      <w:spacing w:val="0"/>
                      <w:szCs w:val="21"/>
                      <w:u w:val="single"/>
                    </w:rPr>
                    <w:t>2</w:t>
                  </w:r>
                </w:p>
              </w:tc>
              <w:tc>
                <w:tcPr>
                  <w:tcW w:w="3277" w:type="dxa"/>
                  <w:noWrap w:val="0"/>
                  <w:vAlign w:val="center"/>
                </w:tcPr>
                <w:p w14:paraId="1FF4B68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rFonts w:hint="eastAsia"/>
                      <w:b/>
                      <w:bCs/>
                      <w:color w:val="auto"/>
                      <w:spacing w:val="0"/>
                      <w:szCs w:val="21"/>
                      <w:u w:val="single"/>
                    </w:rPr>
                    <w:t>国家、省级绩效分级重点行业的新建、改建、扩建项目应达到B级及以上要求。</w:t>
                  </w:r>
                </w:p>
              </w:tc>
              <w:tc>
                <w:tcPr>
                  <w:tcW w:w="2779" w:type="dxa"/>
                  <w:noWrap w:val="0"/>
                  <w:vAlign w:val="center"/>
                </w:tcPr>
                <w:p w14:paraId="302AC1F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eastAsia="宋体"/>
                      <w:b/>
                      <w:bCs/>
                      <w:color w:val="auto"/>
                      <w:spacing w:val="0"/>
                      <w:szCs w:val="21"/>
                      <w:u w:val="single"/>
                      <w:lang w:val="en-US" w:eastAsia="zh-CN"/>
                    </w:rPr>
                  </w:pPr>
                  <w:r>
                    <w:rPr>
                      <w:rFonts w:hint="eastAsia"/>
                      <w:b/>
                      <w:bCs/>
                      <w:color w:val="auto"/>
                      <w:spacing w:val="0"/>
                      <w:szCs w:val="21"/>
                      <w:u w:val="single"/>
                      <w:lang w:val="en-US" w:eastAsia="zh-CN"/>
                    </w:rPr>
                    <w:t>本项目将严格按照《河南省重污染天气重点行业应急减排措施制定技术指南（2021年修订版)》家具制造行业A级企业进行建设。</w:t>
                  </w:r>
                </w:p>
              </w:tc>
              <w:tc>
                <w:tcPr>
                  <w:tcW w:w="594" w:type="dxa"/>
                  <w:noWrap w:val="0"/>
                  <w:vAlign w:val="center"/>
                </w:tcPr>
                <w:p w14:paraId="1391C92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b/>
                      <w:bCs/>
                      <w:color w:val="auto"/>
                      <w:spacing w:val="0"/>
                      <w:szCs w:val="21"/>
                      <w:u w:val="single"/>
                    </w:rPr>
                    <w:t>相符</w:t>
                  </w:r>
                </w:p>
              </w:tc>
            </w:tr>
            <w:tr w14:paraId="431F9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jc w:val="center"/>
              </w:trPr>
              <w:tc>
                <w:tcPr>
                  <w:tcW w:w="701" w:type="dxa"/>
                  <w:vMerge w:val="continue"/>
                  <w:noWrap w:val="0"/>
                  <w:vAlign w:val="center"/>
                </w:tcPr>
                <w:p w14:paraId="720E970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p>
              </w:tc>
              <w:tc>
                <w:tcPr>
                  <w:tcW w:w="426" w:type="dxa"/>
                  <w:noWrap w:val="0"/>
                  <w:vAlign w:val="center"/>
                </w:tcPr>
                <w:p w14:paraId="2373757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eastAsia="宋体"/>
                      <w:b/>
                      <w:bCs/>
                      <w:color w:val="auto"/>
                      <w:spacing w:val="0"/>
                      <w:szCs w:val="21"/>
                      <w:u w:val="single"/>
                      <w:lang w:val="en-US" w:eastAsia="zh-CN"/>
                    </w:rPr>
                  </w:pPr>
                  <w:r>
                    <w:rPr>
                      <w:rFonts w:hint="eastAsia"/>
                      <w:b/>
                      <w:bCs/>
                      <w:color w:val="auto"/>
                      <w:spacing w:val="0"/>
                      <w:szCs w:val="21"/>
                      <w:u w:val="single"/>
                      <w:lang w:val="en-US" w:eastAsia="zh-CN"/>
                    </w:rPr>
                    <w:t>3</w:t>
                  </w:r>
                </w:p>
              </w:tc>
              <w:tc>
                <w:tcPr>
                  <w:tcW w:w="3277" w:type="dxa"/>
                  <w:noWrap w:val="0"/>
                  <w:vAlign w:val="center"/>
                </w:tcPr>
                <w:p w14:paraId="6079118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b/>
                      <w:bCs/>
                      <w:color w:val="auto"/>
                      <w:spacing w:val="0"/>
                      <w:szCs w:val="21"/>
                      <w:u w:val="single"/>
                    </w:rPr>
                  </w:pPr>
                  <w:r>
                    <w:rPr>
                      <w:rFonts w:hint="eastAsia"/>
                      <w:b/>
                      <w:bCs/>
                      <w:color w:val="auto"/>
                      <w:spacing w:val="0"/>
                      <w:szCs w:val="21"/>
                      <w:u w:val="single"/>
                    </w:rPr>
                    <w:t>对于废水水量较大、水质浓度较高，对开发区污水处理厂易造成冲击，影响污水处理厂稳定运行达标排放的项目，禁止入驻。</w:t>
                  </w:r>
                </w:p>
              </w:tc>
              <w:tc>
                <w:tcPr>
                  <w:tcW w:w="2779" w:type="dxa"/>
                  <w:noWrap w:val="0"/>
                  <w:vAlign w:val="center"/>
                </w:tcPr>
                <w:p w14:paraId="5CB382A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pacing w:val="0"/>
                      <w:kern w:val="2"/>
                      <w:sz w:val="21"/>
                      <w:szCs w:val="21"/>
                      <w:u w:val="single"/>
                      <w:lang w:val="en-US" w:eastAsia="zh-CN" w:bidi="ar-SA"/>
                    </w:rPr>
                  </w:pPr>
                  <w:r>
                    <w:rPr>
                      <w:rFonts w:hint="eastAsia"/>
                      <w:b/>
                      <w:bCs/>
                      <w:color w:val="auto"/>
                      <w:spacing w:val="0"/>
                      <w:szCs w:val="21"/>
                      <w:u w:val="single"/>
                      <w:lang w:val="en-US" w:eastAsia="zh-CN"/>
                    </w:rPr>
                    <w:t>项目制备废水和生活污水一起经化粪池（自建，12m</w:t>
                  </w:r>
                  <w:r>
                    <w:rPr>
                      <w:rFonts w:hint="eastAsia"/>
                      <w:b/>
                      <w:bCs/>
                      <w:color w:val="auto"/>
                      <w:spacing w:val="0"/>
                      <w:szCs w:val="21"/>
                      <w:u w:val="single"/>
                      <w:vertAlign w:val="superscript"/>
                      <w:lang w:val="en-US" w:eastAsia="zh-CN"/>
                    </w:rPr>
                    <w:t>3</w:t>
                  </w:r>
                  <w:r>
                    <w:rPr>
                      <w:rFonts w:hint="eastAsia"/>
                      <w:b/>
                      <w:bCs/>
                      <w:color w:val="auto"/>
                      <w:spacing w:val="0"/>
                      <w:szCs w:val="21"/>
                      <w:u w:val="single"/>
                      <w:lang w:val="en-US" w:eastAsia="zh-CN"/>
                    </w:rPr>
                    <w:t>）处理后排入清丰中州水务有限公司第二污水处理厂进一步处理</w:t>
                  </w:r>
                </w:p>
              </w:tc>
              <w:tc>
                <w:tcPr>
                  <w:tcW w:w="594" w:type="dxa"/>
                  <w:noWrap w:val="0"/>
                  <w:vAlign w:val="center"/>
                </w:tcPr>
                <w:p w14:paraId="2612317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b/>
                      <w:bCs/>
                      <w:color w:val="auto"/>
                      <w:spacing w:val="0"/>
                      <w:szCs w:val="21"/>
                      <w:u w:val="single"/>
                    </w:rPr>
                    <w:t>相符</w:t>
                  </w:r>
                </w:p>
              </w:tc>
            </w:tr>
            <w:tr w14:paraId="5B0E5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jc w:val="center"/>
              </w:trPr>
              <w:tc>
                <w:tcPr>
                  <w:tcW w:w="701" w:type="dxa"/>
                  <w:vMerge w:val="continue"/>
                  <w:noWrap w:val="0"/>
                  <w:vAlign w:val="center"/>
                </w:tcPr>
                <w:p w14:paraId="55C0C15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p>
              </w:tc>
              <w:tc>
                <w:tcPr>
                  <w:tcW w:w="426" w:type="dxa"/>
                  <w:noWrap w:val="0"/>
                  <w:vAlign w:val="center"/>
                </w:tcPr>
                <w:p w14:paraId="6759CB3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eastAsia="宋体"/>
                      <w:b/>
                      <w:bCs/>
                      <w:color w:val="auto"/>
                      <w:spacing w:val="0"/>
                      <w:szCs w:val="21"/>
                      <w:u w:val="single"/>
                      <w:lang w:val="en-US" w:eastAsia="zh-CN"/>
                    </w:rPr>
                  </w:pPr>
                  <w:r>
                    <w:rPr>
                      <w:rFonts w:hint="eastAsia"/>
                      <w:b/>
                      <w:bCs/>
                      <w:color w:val="auto"/>
                      <w:spacing w:val="0"/>
                      <w:szCs w:val="21"/>
                      <w:u w:val="single"/>
                      <w:lang w:val="en-US" w:eastAsia="zh-CN"/>
                    </w:rPr>
                    <w:t>4</w:t>
                  </w:r>
                </w:p>
              </w:tc>
              <w:tc>
                <w:tcPr>
                  <w:tcW w:w="3277" w:type="dxa"/>
                  <w:noWrap w:val="0"/>
                  <w:vAlign w:val="center"/>
                </w:tcPr>
                <w:p w14:paraId="7463837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b/>
                      <w:bCs/>
                      <w:color w:val="auto"/>
                      <w:spacing w:val="0"/>
                      <w:szCs w:val="21"/>
                      <w:u w:val="single"/>
                    </w:rPr>
                  </w:pPr>
                  <w:r>
                    <w:rPr>
                      <w:rFonts w:hint="eastAsia"/>
                      <w:b/>
                      <w:bCs/>
                      <w:color w:val="auto"/>
                      <w:spacing w:val="0"/>
                      <w:szCs w:val="21"/>
                      <w:u w:val="single"/>
                    </w:rPr>
                    <w:t>新、改、扩建城镇污水处理厂按所在区域其尾水排放达到或优于《河南省黄河流域水污染物排放标准》（DB41/2087-2021）表1、《城镇污水处理厂污染物排放标准》（GB18918-2002）一级A标准要求。</w:t>
                  </w:r>
                </w:p>
              </w:tc>
              <w:tc>
                <w:tcPr>
                  <w:tcW w:w="2779" w:type="dxa"/>
                  <w:noWrap w:val="0"/>
                  <w:vAlign w:val="center"/>
                </w:tcPr>
                <w:p w14:paraId="1BD6EF4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eastAsia="宋体"/>
                      <w:b/>
                      <w:bCs/>
                      <w:color w:val="auto"/>
                      <w:spacing w:val="0"/>
                      <w:szCs w:val="21"/>
                      <w:u w:val="single"/>
                      <w:lang w:val="en-US" w:eastAsia="zh-CN"/>
                    </w:rPr>
                  </w:pPr>
                  <w:r>
                    <w:rPr>
                      <w:rFonts w:hint="eastAsia"/>
                      <w:b/>
                      <w:bCs/>
                      <w:color w:val="auto"/>
                      <w:spacing w:val="0"/>
                      <w:szCs w:val="21"/>
                      <w:u w:val="single"/>
                      <w:lang w:val="en-US" w:eastAsia="zh-CN"/>
                    </w:rPr>
                    <w:t>本项目不涉及。</w:t>
                  </w:r>
                </w:p>
              </w:tc>
              <w:tc>
                <w:tcPr>
                  <w:tcW w:w="594" w:type="dxa"/>
                  <w:noWrap w:val="0"/>
                  <w:vAlign w:val="center"/>
                </w:tcPr>
                <w:p w14:paraId="432CC41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rFonts w:hint="eastAsia"/>
                      <w:b/>
                      <w:bCs/>
                      <w:color w:val="auto"/>
                      <w:spacing w:val="0"/>
                      <w:szCs w:val="21"/>
                      <w:u w:val="single"/>
                      <w:lang w:val="en-US" w:eastAsia="zh-CN"/>
                    </w:rPr>
                    <w:t>/</w:t>
                  </w:r>
                </w:p>
              </w:tc>
            </w:tr>
            <w:tr w14:paraId="1C6E2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jc w:val="center"/>
              </w:trPr>
              <w:tc>
                <w:tcPr>
                  <w:tcW w:w="701" w:type="dxa"/>
                  <w:vMerge w:val="continue"/>
                  <w:noWrap w:val="0"/>
                  <w:vAlign w:val="center"/>
                </w:tcPr>
                <w:p w14:paraId="269197F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p>
              </w:tc>
              <w:tc>
                <w:tcPr>
                  <w:tcW w:w="426" w:type="dxa"/>
                  <w:noWrap w:val="0"/>
                  <w:vAlign w:val="center"/>
                </w:tcPr>
                <w:p w14:paraId="5D64D36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eastAsia="宋体"/>
                      <w:b/>
                      <w:bCs/>
                      <w:color w:val="auto"/>
                      <w:spacing w:val="0"/>
                      <w:szCs w:val="21"/>
                      <w:u w:val="single"/>
                      <w:lang w:val="en-US" w:eastAsia="zh-CN"/>
                    </w:rPr>
                  </w:pPr>
                  <w:r>
                    <w:rPr>
                      <w:rFonts w:hint="eastAsia"/>
                      <w:b/>
                      <w:bCs/>
                      <w:color w:val="auto"/>
                      <w:spacing w:val="0"/>
                      <w:szCs w:val="21"/>
                      <w:u w:val="single"/>
                      <w:lang w:val="en-US" w:eastAsia="zh-CN"/>
                    </w:rPr>
                    <w:t>5</w:t>
                  </w:r>
                </w:p>
              </w:tc>
              <w:tc>
                <w:tcPr>
                  <w:tcW w:w="3277" w:type="dxa"/>
                  <w:noWrap w:val="0"/>
                  <w:vAlign w:val="center"/>
                </w:tcPr>
                <w:p w14:paraId="3733307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b/>
                      <w:bCs/>
                      <w:color w:val="auto"/>
                      <w:spacing w:val="0"/>
                      <w:szCs w:val="21"/>
                      <w:u w:val="single"/>
                    </w:rPr>
                  </w:pPr>
                  <w:r>
                    <w:rPr>
                      <w:rFonts w:hint="eastAsia"/>
                      <w:b/>
                      <w:bCs/>
                      <w:color w:val="auto"/>
                      <w:spacing w:val="0"/>
                      <w:szCs w:val="21"/>
                      <w:u w:val="single"/>
                    </w:rPr>
                    <w:t>新建、改建、扩建涉VOCs排放项目应加强废气收集，安装适宜高效治理设施。</w:t>
                  </w:r>
                </w:p>
              </w:tc>
              <w:tc>
                <w:tcPr>
                  <w:tcW w:w="2779" w:type="dxa"/>
                  <w:noWrap w:val="0"/>
                  <w:vAlign w:val="center"/>
                </w:tcPr>
                <w:p w14:paraId="409713A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rFonts w:hint="eastAsia"/>
                      <w:b/>
                      <w:bCs/>
                      <w:color w:val="auto"/>
                      <w:spacing w:val="0"/>
                      <w:szCs w:val="21"/>
                      <w:u w:val="single"/>
                      <w:lang w:val="en-US" w:eastAsia="zh-CN"/>
                    </w:rPr>
                    <w:t>本项目有机废气收集后由“活性炭吸附、脱附+催化燃”装置处理。</w:t>
                  </w:r>
                </w:p>
              </w:tc>
              <w:tc>
                <w:tcPr>
                  <w:tcW w:w="594" w:type="dxa"/>
                  <w:noWrap w:val="0"/>
                  <w:vAlign w:val="center"/>
                </w:tcPr>
                <w:p w14:paraId="36C4AAE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b/>
                      <w:bCs/>
                      <w:color w:val="auto"/>
                      <w:spacing w:val="0"/>
                      <w:szCs w:val="21"/>
                      <w:u w:val="single"/>
                    </w:rPr>
                    <w:t>相符</w:t>
                  </w:r>
                </w:p>
              </w:tc>
            </w:tr>
            <w:tr w14:paraId="33ECF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jc w:val="center"/>
              </w:trPr>
              <w:tc>
                <w:tcPr>
                  <w:tcW w:w="701" w:type="dxa"/>
                  <w:vMerge w:val="continue"/>
                  <w:noWrap w:val="0"/>
                  <w:vAlign w:val="center"/>
                </w:tcPr>
                <w:p w14:paraId="385EC6A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p>
              </w:tc>
              <w:tc>
                <w:tcPr>
                  <w:tcW w:w="426" w:type="dxa"/>
                  <w:noWrap w:val="0"/>
                  <w:vAlign w:val="center"/>
                </w:tcPr>
                <w:p w14:paraId="549554A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eastAsia="宋体"/>
                      <w:b/>
                      <w:bCs/>
                      <w:color w:val="auto"/>
                      <w:spacing w:val="0"/>
                      <w:szCs w:val="21"/>
                      <w:u w:val="single"/>
                      <w:lang w:val="en-US" w:eastAsia="zh-CN"/>
                    </w:rPr>
                  </w:pPr>
                  <w:r>
                    <w:rPr>
                      <w:rFonts w:hint="eastAsia"/>
                      <w:b/>
                      <w:bCs/>
                      <w:color w:val="auto"/>
                      <w:spacing w:val="0"/>
                      <w:szCs w:val="21"/>
                      <w:u w:val="single"/>
                      <w:lang w:val="en-US" w:eastAsia="zh-CN"/>
                    </w:rPr>
                    <w:t>6</w:t>
                  </w:r>
                </w:p>
              </w:tc>
              <w:tc>
                <w:tcPr>
                  <w:tcW w:w="3277" w:type="dxa"/>
                  <w:noWrap w:val="0"/>
                  <w:vAlign w:val="center"/>
                </w:tcPr>
                <w:p w14:paraId="719C252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b/>
                      <w:bCs/>
                      <w:color w:val="auto"/>
                      <w:spacing w:val="0"/>
                      <w:szCs w:val="21"/>
                      <w:u w:val="single"/>
                    </w:rPr>
                  </w:pPr>
                  <w:r>
                    <w:rPr>
                      <w:rFonts w:hint="eastAsia"/>
                      <w:b/>
                      <w:bCs/>
                      <w:color w:val="auto"/>
                      <w:spacing w:val="0"/>
                      <w:szCs w:val="21"/>
                      <w:u w:val="single"/>
                    </w:rPr>
                    <w:t>新建项目VOCs排放需实行区域内等量或倍量削减替代。开发区内涉及VOCs废气排放的企业废气治理措施采用低温等离子体技术、UV光催化氧化技术、活性炭吸附技术等两种或两种以上组合工艺，禁止使用单一吸附、催化氧化等处理技术。</w:t>
                  </w:r>
                </w:p>
              </w:tc>
              <w:tc>
                <w:tcPr>
                  <w:tcW w:w="2779" w:type="dxa"/>
                  <w:noWrap w:val="0"/>
                  <w:vAlign w:val="center"/>
                </w:tcPr>
                <w:p w14:paraId="314D0B7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rFonts w:hint="eastAsia"/>
                      <w:b/>
                      <w:bCs/>
                      <w:color w:val="auto"/>
                      <w:spacing w:val="0"/>
                      <w:szCs w:val="21"/>
                      <w:u w:val="single"/>
                      <w:lang w:val="en-US" w:eastAsia="zh-CN"/>
                    </w:rPr>
                    <w:t>本项目VOCs采取“活性炭吸附、脱附+催化燃烧”处理，实行倍量削减替代。</w:t>
                  </w:r>
                </w:p>
              </w:tc>
              <w:tc>
                <w:tcPr>
                  <w:tcW w:w="594" w:type="dxa"/>
                  <w:noWrap w:val="0"/>
                  <w:vAlign w:val="center"/>
                </w:tcPr>
                <w:p w14:paraId="629AA1A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b/>
                      <w:bCs/>
                      <w:color w:val="auto"/>
                      <w:spacing w:val="0"/>
                      <w:szCs w:val="21"/>
                      <w:u w:val="single"/>
                    </w:rPr>
                    <w:t>相符</w:t>
                  </w:r>
                </w:p>
              </w:tc>
            </w:tr>
            <w:tr w14:paraId="2E13C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jc w:val="center"/>
              </w:trPr>
              <w:tc>
                <w:tcPr>
                  <w:tcW w:w="701" w:type="dxa"/>
                  <w:vMerge w:val="continue"/>
                  <w:noWrap w:val="0"/>
                  <w:vAlign w:val="center"/>
                </w:tcPr>
                <w:p w14:paraId="651642D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p>
              </w:tc>
              <w:tc>
                <w:tcPr>
                  <w:tcW w:w="426" w:type="dxa"/>
                  <w:noWrap w:val="0"/>
                  <w:vAlign w:val="center"/>
                </w:tcPr>
                <w:p w14:paraId="499EA81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eastAsia="宋体"/>
                      <w:b/>
                      <w:bCs/>
                      <w:color w:val="auto"/>
                      <w:spacing w:val="0"/>
                      <w:szCs w:val="21"/>
                      <w:u w:val="single"/>
                      <w:lang w:val="en-US" w:eastAsia="zh-CN"/>
                    </w:rPr>
                  </w:pPr>
                  <w:r>
                    <w:rPr>
                      <w:rFonts w:hint="eastAsia"/>
                      <w:b/>
                      <w:bCs/>
                      <w:color w:val="auto"/>
                      <w:spacing w:val="0"/>
                      <w:szCs w:val="21"/>
                      <w:u w:val="single"/>
                      <w:lang w:val="en-US" w:eastAsia="zh-CN"/>
                    </w:rPr>
                    <w:t>7</w:t>
                  </w:r>
                </w:p>
              </w:tc>
              <w:tc>
                <w:tcPr>
                  <w:tcW w:w="3277" w:type="dxa"/>
                  <w:noWrap w:val="0"/>
                  <w:vAlign w:val="center"/>
                </w:tcPr>
                <w:p w14:paraId="2604038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b/>
                      <w:bCs/>
                      <w:color w:val="auto"/>
                      <w:spacing w:val="0"/>
                      <w:szCs w:val="21"/>
                      <w:u w:val="single"/>
                    </w:rPr>
                  </w:pPr>
                  <w:r>
                    <w:rPr>
                      <w:rFonts w:hint="eastAsia"/>
                      <w:b/>
                      <w:bCs/>
                      <w:color w:val="auto"/>
                      <w:spacing w:val="0"/>
                      <w:szCs w:val="21"/>
                      <w:u w:val="single"/>
                    </w:rPr>
                    <w:t>新、改、扩建重点行业涉重点重金属（铅、汞、镉、铬、砷）项目，需实行重金属污染物排放“减量替代原则”，减量替代比例不低于1</w:t>
                  </w:r>
                  <w:r>
                    <w:rPr>
                      <w:rFonts w:hint="eastAsia"/>
                      <w:b/>
                      <w:bCs/>
                      <w:color w:val="auto"/>
                      <w:spacing w:val="0"/>
                      <w:szCs w:val="21"/>
                      <w:u w:val="single"/>
                      <w:lang w:val="en-US" w:eastAsia="zh-CN"/>
                    </w:rPr>
                    <w:t>:</w:t>
                  </w:r>
                  <w:r>
                    <w:rPr>
                      <w:rFonts w:hint="eastAsia"/>
                      <w:b/>
                      <w:bCs/>
                      <w:color w:val="auto"/>
                      <w:spacing w:val="0"/>
                      <w:szCs w:val="21"/>
                      <w:u w:val="single"/>
                    </w:rPr>
                    <w:t>1:1</w:t>
                  </w:r>
                </w:p>
              </w:tc>
              <w:tc>
                <w:tcPr>
                  <w:tcW w:w="2779" w:type="dxa"/>
                  <w:noWrap w:val="0"/>
                  <w:vAlign w:val="center"/>
                </w:tcPr>
                <w:p w14:paraId="3E25184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rFonts w:hint="eastAsia"/>
                      <w:b/>
                      <w:bCs/>
                      <w:color w:val="auto"/>
                      <w:spacing w:val="0"/>
                      <w:szCs w:val="21"/>
                      <w:u w:val="single"/>
                      <w:lang w:val="en-US" w:eastAsia="zh-CN"/>
                    </w:rPr>
                    <w:t>本项目不涉及。</w:t>
                  </w:r>
                </w:p>
              </w:tc>
              <w:tc>
                <w:tcPr>
                  <w:tcW w:w="594" w:type="dxa"/>
                  <w:noWrap w:val="0"/>
                  <w:vAlign w:val="center"/>
                </w:tcPr>
                <w:p w14:paraId="5D03603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rFonts w:hint="eastAsia"/>
                      <w:b/>
                      <w:bCs/>
                      <w:color w:val="auto"/>
                      <w:spacing w:val="0"/>
                      <w:szCs w:val="21"/>
                      <w:u w:val="single"/>
                      <w:lang w:val="en-US" w:eastAsia="zh-CN"/>
                    </w:rPr>
                    <w:t>/</w:t>
                  </w:r>
                </w:p>
              </w:tc>
            </w:tr>
            <w:tr w14:paraId="59ADE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jc w:val="center"/>
              </w:trPr>
              <w:tc>
                <w:tcPr>
                  <w:tcW w:w="701" w:type="dxa"/>
                  <w:vMerge w:val="continue"/>
                  <w:noWrap w:val="0"/>
                  <w:vAlign w:val="center"/>
                </w:tcPr>
                <w:p w14:paraId="25E4310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p>
              </w:tc>
              <w:tc>
                <w:tcPr>
                  <w:tcW w:w="426" w:type="dxa"/>
                  <w:noWrap w:val="0"/>
                  <w:vAlign w:val="center"/>
                </w:tcPr>
                <w:p w14:paraId="0BF3357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eastAsia="宋体"/>
                      <w:b/>
                      <w:bCs/>
                      <w:color w:val="auto"/>
                      <w:spacing w:val="0"/>
                      <w:szCs w:val="21"/>
                      <w:u w:val="single"/>
                      <w:lang w:val="en-US" w:eastAsia="zh-CN"/>
                    </w:rPr>
                  </w:pPr>
                  <w:r>
                    <w:rPr>
                      <w:rFonts w:hint="eastAsia"/>
                      <w:b/>
                      <w:bCs/>
                      <w:color w:val="auto"/>
                      <w:spacing w:val="0"/>
                      <w:szCs w:val="21"/>
                      <w:u w:val="single"/>
                      <w:lang w:val="en-US" w:eastAsia="zh-CN"/>
                    </w:rPr>
                    <w:t>8</w:t>
                  </w:r>
                </w:p>
              </w:tc>
              <w:tc>
                <w:tcPr>
                  <w:tcW w:w="3277" w:type="dxa"/>
                  <w:noWrap w:val="0"/>
                  <w:vAlign w:val="center"/>
                </w:tcPr>
                <w:p w14:paraId="4E9F7D9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b/>
                      <w:bCs/>
                      <w:color w:val="auto"/>
                      <w:spacing w:val="0"/>
                      <w:szCs w:val="21"/>
                      <w:u w:val="single"/>
                    </w:rPr>
                  </w:pPr>
                  <w:r>
                    <w:rPr>
                      <w:rFonts w:hint="eastAsia"/>
                      <w:b/>
                      <w:bCs/>
                      <w:color w:val="auto"/>
                      <w:spacing w:val="0"/>
                      <w:szCs w:val="21"/>
                      <w:u w:val="single"/>
                    </w:rPr>
                    <w:t>强化煤炭消费总量管控，原则上不再新增非电行业耗煤项目，确因产业和民生需要新上的热电联产项目燃煤需减量替代，明确煤炭消减来源</w:t>
                  </w:r>
                </w:p>
              </w:tc>
              <w:tc>
                <w:tcPr>
                  <w:tcW w:w="2779" w:type="dxa"/>
                  <w:noWrap w:val="0"/>
                  <w:vAlign w:val="center"/>
                </w:tcPr>
                <w:p w14:paraId="1839D32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rFonts w:hint="eastAsia"/>
                      <w:b/>
                      <w:bCs/>
                      <w:color w:val="auto"/>
                      <w:spacing w:val="0"/>
                      <w:szCs w:val="21"/>
                      <w:u w:val="single"/>
                      <w:lang w:val="en-US" w:eastAsia="zh-CN"/>
                    </w:rPr>
                    <w:t>本项目不涉及。</w:t>
                  </w:r>
                </w:p>
              </w:tc>
              <w:tc>
                <w:tcPr>
                  <w:tcW w:w="594" w:type="dxa"/>
                  <w:noWrap w:val="0"/>
                  <w:vAlign w:val="center"/>
                </w:tcPr>
                <w:p w14:paraId="6E564D7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rFonts w:hint="eastAsia"/>
                      <w:b/>
                      <w:bCs/>
                      <w:color w:val="auto"/>
                      <w:spacing w:val="0"/>
                      <w:szCs w:val="21"/>
                      <w:u w:val="single"/>
                      <w:lang w:val="en-US" w:eastAsia="zh-CN"/>
                    </w:rPr>
                    <w:t>/</w:t>
                  </w:r>
                </w:p>
              </w:tc>
            </w:tr>
            <w:tr w14:paraId="25AA2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jc w:val="center"/>
              </w:trPr>
              <w:tc>
                <w:tcPr>
                  <w:tcW w:w="701" w:type="dxa"/>
                  <w:vMerge w:val="continue"/>
                  <w:noWrap w:val="0"/>
                  <w:vAlign w:val="center"/>
                </w:tcPr>
                <w:p w14:paraId="077DA32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p>
              </w:tc>
              <w:tc>
                <w:tcPr>
                  <w:tcW w:w="426" w:type="dxa"/>
                  <w:noWrap w:val="0"/>
                  <w:vAlign w:val="center"/>
                </w:tcPr>
                <w:p w14:paraId="0238659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eastAsia="宋体"/>
                      <w:b/>
                      <w:bCs/>
                      <w:color w:val="auto"/>
                      <w:spacing w:val="0"/>
                      <w:szCs w:val="21"/>
                      <w:u w:val="single"/>
                      <w:lang w:val="en-US" w:eastAsia="zh-CN"/>
                    </w:rPr>
                  </w:pPr>
                  <w:r>
                    <w:rPr>
                      <w:rFonts w:hint="eastAsia"/>
                      <w:b/>
                      <w:bCs/>
                      <w:color w:val="auto"/>
                      <w:spacing w:val="0"/>
                      <w:szCs w:val="21"/>
                      <w:u w:val="single"/>
                      <w:lang w:val="en-US" w:eastAsia="zh-CN"/>
                    </w:rPr>
                    <w:t>9</w:t>
                  </w:r>
                </w:p>
              </w:tc>
              <w:tc>
                <w:tcPr>
                  <w:tcW w:w="3277" w:type="dxa"/>
                  <w:noWrap w:val="0"/>
                  <w:vAlign w:val="center"/>
                </w:tcPr>
                <w:p w14:paraId="08B890E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b/>
                      <w:bCs/>
                      <w:color w:val="auto"/>
                      <w:spacing w:val="0"/>
                      <w:szCs w:val="21"/>
                      <w:u w:val="single"/>
                    </w:rPr>
                  </w:pPr>
                  <w:r>
                    <w:rPr>
                      <w:rFonts w:hint="eastAsia"/>
                      <w:b/>
                      <w:bCs/>
                      <w:color w:val="auto"/>
                      <w:spacing w:val="0"/>
                      <w:szCs w:val="21"/>
                      <w:u w:val="single"/>
                    </w:rPr>
                    <w:t>改善能源结构，推广使用天然气、电力等清洁能源；条件成熟时对入区企业实施集中供热；严格控制入区工业项目的类别。</w:t>
                  </w:r>
                </w:p>
              </w:tc>
              <w:tc>
                <w:tcPr>
                  <w:tcW w:w="2779" w:type="dxa"/>
                  <w:noWrap w:val="0"/>
                  <w:vAlign w:val="center"/>
                </w:tcPr>
                <w:p w14:paraId="063C2D5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eastAsia="宋体"/>
                      <w:b/>
                      <w:bCs/>
                      <w:color w:val="auto"/>
                      <w:spacing w:val="0"/>
                      <w:szCs w:val="21"/>
                      <w:u w:val="single"/>
                      <w:lang w:eastAsia="zh-CN"/>
                    </w:rPr>
                  </w:pPr>
                  <w:r>
                    <w:rPr>
                      <w:rFonts w:hint="eastAsia"/>
                      <w:b/>
                      <w:bCs/>
                      <w:color w:val="auto"/>
                      <w:spacing w:val="0"/>
                      <w:szCs w:val="21"/>
                      <w:u w:val="single"/>
                    </w:rPr>
                    <w:t>本项目</w:t>
                  </w:r>
                  <w:r>
                    <w:rPr>
                      <w:rFonts w:hint="eastAsia"/>
                      <w:b/>
                      <w:bCs/>
                      <w:color w:val="auto"/>
                      <w:spacing w:val="0"/>
                      <w:szCs w:val="21"/>
                      <w:u w:val="single"/>
                      <w:lang w:val="en-US" w:eastAsia="zh-CN"/>
                    </w:rPr>
                    <w:t>不涉及锅炉，水性漆产品在冬季使用干燥机进行烘干</w:t>
                  </w:r>
                  <w:r>
                    <w:rPr>
                      <w:rFonts w:hint="eastAsia"/>
                      <w:b/>
                      <w:bCs/>
                      <w:color w:val="auto"/>
                      <w:spacing w:val="0"/>
                      <w:szCs w:val="21"/>
                      <w:u w:val="single"/>
                    </w:rPr>
                    <w:t>。</w:t>
                  </w:r>
                </w:p>
              </w:tc>
              <w:tc>
                <w:tcPr>
                  <w:tcW w:w="594" w:type="dxa"/>
                  <w:noWrap w:val="0"/>
                  <w:vAlign w:val="center"/>
                </w:tcPr>
                <w:p w14:paraId="3BA88FE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b/>
                      <w:bCs/>
                      <w:color w:val="auto"/>
                      <w:spacing w:val="0"/>
                      <w:szCs w:val="21"/>
                      <w:u w:val="single"/>
                    </w:rPr>
                    <w:t>相符</w:t>
                  </w:r>
                </w:p>
              </w:tc>
            </w:tr>
            <w:tr w14:paraId="728F2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1" w:type="dxa"/>
                  <w:vMerge w:val="continue"/>
                  <w:noWrap w:val="0"/>
                  <w:vAlign w:val="center"/>
                </w:tcPr>
                <w:p w14:paraId="019258F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p>
              </w:tc>
              <w:tc>
                <w:tcPr>
                  <w:tcW w:w="426" w:type="dxa"/>
                  <w:noWrap w:val="0"/>
                  <w:vAlign w:val="center"/>
                </w:tcPr>
                <w:p w14:paraId="3FA21E0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eastAsia="宋体"/>
                      <w:b/>
                      <w:bCs/>
                      <w:color w:val="auto"/>
                      <w:spacing w:val="0"/>
                      <w:szCs w:val="21"/>
                      <w:u w:val="single"/>
                      <w:lang w:val="en-US" w:eastAsia="zh-CN"/>
                    </w:rPr>
                  </w:pPr>
                  <w:r>
                    <w:rPr>
                      <w:rFonts w:hint="eastAsia"/>
                      <w:b/>
                      <w:bCs/>
                      <w:color w:val="auto"/>
                      <w:spacing w:val="0"/>
                      <w:szCs w:val="21"/>
                      <w:u w:val="single"/>
                      <w:lang w:val="en-US" w:eastAsia="zh-CN"/>
                    </w:rPr>
                    <w:t>10</w:t>
                  </w:r>
                </w:p>
              </w:tc>
              <w:tc>
                <w:tcPr>
                  <w:tcW w:w="3277" w:type="dxa"/>
                  <w:noWrap w:val="0"/>
                  <w:vAlign w:val="center"/>
                </w:tcPr>
                <w:p w14:paraId="49325A1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b/>
                      <w:bCs/>
                      <w:color w:val="auto"/>
                      <w:spacing w:val="0"/>
                      <w:szCs w:val="21"/>
                      <w:u w:val="single"/>
                    </w:rPr>
                  </w:pPr>
                  <w:r>
                    <w:rPr>
                      <w:rFonts w:hint="eastAsia"/>
                      <w:b/>
                      <w:bCs/>
                      <w:color w:val="auto"/>
                      <w:spacing w:val="0"/>
                      <w:szCs w:val="21"/>
                      <w:u w:val="single"/>
                    </w:rPr>
                    <w:t>加强对工业喷涂项目挥发性有机物的治理工作，严格按照行业标准、治理方案，加强源头控制、过程控制和末端治理，提升清洁化生产水平。</w:t>
                  </w:r>
                </w:p>
              </w:tc>
              <w:tc>
                <w:tcPr>
                  <w:tcW w:w="2779" w:type="dxa"/>
                  <w:noWrap w:val="0"/>
                  <w:vAlign w:val="center"/>
                </w:tcPr>
                <w:p w14:paraId="1BC4136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rFonts w:hint="eastAsia"/>
                      <w:b/>
                      <w:bCs/>
                      <w:color w:val="auto"/>
                      <w:spacing w:val="0"/>
                      <w:szCs w:val="21"/>
                      <w:u w:val="single"/>
                      <w:lang w:val="en-US" w:eastAsia="zh-CN"/>
                    </w:rPr>
                    <w:t>本项目设密闭喷漆房，负压收集，有机废气采取“活性炭吸附、脱附+催化燃烧”处理。</w:t>
                  </w:r>
                </w:p>
              </w:tc>
              <w:tc>
                <w:tcPr>
                  <w:tcW w:w="594" w:type="dxa"/>
                  <w:noWrap w:val="0"/>
                  <w:vAlign w:val="center"/>
                </w:tcPr>
                <w:p w14:paraId="66973E9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b/>
                      <w:bCs/>
                      <w:color w:val="auto"/>
                      <w:spacing w:val="0"/>
                      <w:szCs w:val="21"/>
                      <w:u w:val="single"/>
                    </w:rPr>
                    <w:t>相符</w:t>
                  </w:r>
                </w:p>
              </w:tc>
            </w:tr>
            <w:tr w14:paraId="00FE2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jc w:val="center"/>
              </w:trPr>
              <w:tc>
                <w:tcPr>
                  <w:tcW w:w="701" w:type="dxa"/>
                  <w:vMerge w:val="continue"/>
                  <w:noWrap w:val="0"/>
                  <w:vAlign w:val="center"/>
                </w:tcPr>
                <w:p w14:paraId="5C37BE9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p>
              </w:tc>
              <w:tc>
                <w:tcPr>
                  <w:tcW w:w="426" w:type="dxa"/>
                  <w:noWrap w:val="0"/>
                  <w:vAlign w:val="center"/>
                </w:tcPr>
                <w:p w14:paraId="4200284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eastAsia="宋体"/>
                      <w:b/>
                      <w:bCs/>
                      <w:color w:val="auto"/>
                      <w:spacing w:val="0"/>
                      <w:szCs w:val="21"/>
                      <w:u w:val="single"/>
                      <w:lang w:val="en-US" w:eastAsia="zh-CN"/>
                    </w:rPr>
                  </w:pPr>
                  <w:r>
                    <w:rPr>
                      <w:rFonts w:hint="eastAsia"/>
                      <w:b/>
                      <w:bCs/>
                      <w:color w:val="auto"/>
                      <w:spacing w:val="0"/>
                      <w:szCs w:val="21"/>
                      <w:u w:val="single"/>
                      <w:lang w:val="en-US" w:eastAsia="zh-CN"/>
                    </w:rPr>
                    <w:t>11</w:t>
                  </w:r>
                </w:p>
              </w:tc>
              <w:tc>
                <w:tcPr>
                  <w:tcW w:w="3277" w:type="dxa"/>
                  <w:noWrap w:val="0"/>
                  <w:vAlign w:val="center"/>
                </w:tcPr>
                <w:p w14:paraId="77D17FD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b/>
                      <w:bCs/>
                      <w:color w:val="auto"/>
                      <w:spacing w:val="0"/>
                      <w:szCs w:val="21"/>
                      <w:u w:val="single"/>
                    </w:rPr>
                  </w:pPr>
                  <w:r>
                    <w:rPr>
                      <w:rFonts w:hint="eastAsia"/>
                      <w:b/>
                      <w:bCs/>
                      <w:color w:val="auto"/>
                      <w:spacing w:val="0"/>
                      <w:szCs w:val="21"/>
                      <w:u w:val="single"/>
                    </w:rPr>
                    <w:t>完善雨水、污水收集系统和排放系统，污水和生产物料输送管线需保证密封；不得建设地下或半地下式储罐设施。禁止含重金属废水进入城市生活污水处理厂。</w:t>
                  </w:r>
                </w:p>
              </w:tc>
              <w:tc>
                <w:tcPr>
                  <w:tcW w:w="2779" w:type="dxa"/>
                  <w:noWrap w:val="0"/>
                  <w:vAlign w:val="center"/>
                </w:tcPr>
                <w:p w14:paraId="2CE1DAC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eastAsia="宋体"/>
                      <w:b/>
                      <w:bCs/>
                      <w:color w:val="auto"/>
                      <w:spacing w:val="0"/>
                      <w:szCs w:val="21"/>
                      <w:u w:val="single"/>
                      <w:lang w:val="en-US" w:eastAsia="zh-CN"/>
                    </w:rPr>
                  </w:pPr>
                  <w:r>
                    <w:rPr>
                      <w:rFonts w:hint="eastAsia"/>
                      <w:b/>
                      <w:bCs/>
                      <w:color w:val="auto"/>
                      <w:spacing w:val="0"/>
                      <w:szCs w:val="21"/>
                      <w:u w:val="single"/>
                    </w:rPr>
                    <w:t>先进制造业开发区</w:t>
                  </w:r>
                  <w:r>
                    <w:rPr>
                      <w:rFonts w:hint="eastAsia"/>
                      <w:b/>
                      <w:bCs/>
                      <w:color w:val="auto"/>
                      <w:spacing w:val="0"/>
                      <w:szCs w:val="21"/>
                      <w:u w:val="single"/>
                      <w:lang w:val="en-US" w:eastAsia="zh-CN"/>
                    </w:rPr>
                    <w:t>实行雨污分流，项目制备废水和生活污水一起经化粪池（自建，12m</w:t>
                  </w:r>
                  <w:r>
                    <w:rPr>
                      <w:rFonts w:hint="eastAsia"/>
                      <w:b/>
                      <w:bCs/>
                      <w:color w:val="auto"/>
                      <w:spacing w:val="0"/>
                      <w:szCs w:val="21"/>
                      <w:u w:val="single"/>
                      <w:vertAlign w:val="superscript"/>
                      <w:lang w:val="en-US" w:eastAsia="zh-CN"/>
                    </w:rPr>
                    <w:t>3</w:t>
                  </w:r>
                  <w:r>
                    <w:rPr>
                      <w:rFonts w:hint="eastAsia"/>
                      <w:b/>
                      <w:bCs/>
                      <w:color w:val="auto"/>
                      <w:spacing w:val="0"/>
                      <w:szCs w:val="21"/>
                      <w:u w:val="single"/>
                      <w:lang w:val="en-US" w:eastAsia="zh-CN"/>
                    </w:rPr>
                    <w:t>）处理后排入清丰中州水务有限公司第二污水处理厂进一步处理。</w:t>
                  </w:r>
                </w:p>
              </w:tc>
              <w:tc>
                <w:tcPr>
                  <w:tcW w:w="594" w:type="dxa"/>
                  <w:noWrap w:val="0"/>
                  <w:vAlign w:val="center"/>
                </w:tcPr>
                <w:p w14:paraId="05E3F56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b/>
                      <w:bCs/>
                      <w:color w:val="auto"/>
                      <w:spacing w:val="0"/>
                      <w:szCs w:val="21"/>
                      <w:u w:val="single"/>
                    </w:rPr>
                    <w:t>相符</w:t>
                  </w:r>
                </w:p>
              </w:tc>
            </w:tr>
            <w:tr w14:paraId="2C83A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701" w:type="dxa"/>
                  <w:vMerge w:val="continue"/>
                  <w:noWrap w:val="0"/>
                  <w:vAlign w:val="center"/>
                </w:tcPr>
                <w:p w14:paraId="5772146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p>
              </w:tc>
              <w:tc>
                <w:tcPr>
                  <w:tcW w:w="426" w:type="dxa"/>
                  <w:noWrap w:val="0"/>
                  <w:vAlign w:val="center"/>
                </w:tcPr>
                <w:p w14:paraId="32A4958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eastAsia="宋体"/>
                      <w:b/>
                      <w:bCs/>
                      <w:color w:val="auto"/>
                      <w:spacing w:val="0"/>
                      <w:szCs w:val="21"/>
                      <w:u w:val="single"/>
                      <w:lang w:val="en-US" w:eastAsia="zh-CN"/>
                    </w:rPr>
                  </w:pPr>
                  <w:r>
                    <w:rPr>
                      <w:rFonts w:hint="eastAsia"/>
                      <w:b/>
                      <w:bCs/>
                      <w:color w:val="auto"/>
                      <w:spacing w:val="0"/>
                      <w:szCs w:val="21"/>
                      <w:u w:val="single"/>
                      <w:lang w:val="en-US" w:eastAsia="zh-CN"/>
                    </w:rPr>
                    <w:t>12</w:t>
                  </w:r>
                </w:p>
              </w:tc>
              <w:tc>
                <w:tcPr>
                  <w:tcW w:w="3277" w:type="dxa"/>
                  <w:noWrap w:val="0"/>
                  <w:vAlign w:val="center"/>
                </w:tcPr>
                <w:p w14:paraId="767B605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b/>
                      <w:bCs/>
                      <w:color w:val="auto"/>
                      <w:spacing w:val="0"/>
                      <w:szCs w:val="21"/>
                      <w:u w:val="single"/>
                    </w:rPr>
                  </w:pPr>
                  <w:r>
                    <w:rPr>
                      <w:rFonts w:hint="eastAsia"/>
                      <w:b/>
                      <w:bCs/>
                      <w:color w:val="auto"/>
                      <w:spacing w:val="0"/>
                      <w:szCs w:val="21"/>
                      <w:u w:val="single"/>
                    </w:rPr>
                    <w:t>禁止填埋场渗滤液直排或超标排放。</w:t>
                  </w:r>
                </w:p>
              </w:tc>
              <w:tc>
                <w:tcPr>
                  <w:tcW w:w="2779" w:type="dxa"/>
                  <w:noWrap w:val="0"/>
                  <w:vAlign w:val="center"/>
                </w:tcPr>
                <w:p w14:paraId="5277DC9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rFonts w:hint="eastAsia"/>
                      <w:b/>
                      <w:bCs/>
                      <w:color w:val="auto"/>
                      <w:spacing w:val="0"/>
                      <w:szCs w:val="21"/>
                      <w:u w:val="single"/>
                      <w:lang w:val="en-US" w:eastAsia="zh-CN"/>
                    </w:rPr>
                    <w:t>本项目不涉及。</w:t>
                  </w:r>
                </w:p>
              </w:tc>
              <w:tc>
                <w:tcPr>
                  <w:tcW w:w="594" w:type="dxa"/>
                  <w:noWrap w:val="0"/>
                  <w:vAlign w:val="center"/>
                </w:tcPr>
                <w:p w14:paraId="0EB84F1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rFonts w:hint="eastAsia"/>
                      <w:b/>
                      <w:bCs/>
                      <w:color w:val="auto"/>
                      <w:spacing w:val="0"/>
                      <w:szCs w:val="21"/>
                      <w:u w:val="single"/>
                      <w:lang w:val="en-US" w:eastAsia="zh-CN"/>
                    </w:rPr>
                    <w:t>/</w:t>
                  </w:r>
                </w:p>
              </w:tc>
            </w:tr>
            <w:tr w14:paraId="1593A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701" w:type="dxa"/>
                  <w:vMerge w:val="restart"/>
                  <w:noWrap w:val="0"/>
                  <w:vAlign w:val="center"/>
                </w:tcPr>
                <w:p w14:paraId="3B5E5C8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rFonts w:hint="eastAsia"/>
                      <w:b/>
                      <w:bCs/>
                      <w:color w:val="auto"/>
                      <w:spacing w:val="0"/>
                      <w:szCs w:val="21"/>
                      <w:u w:val="single"/>
                    </w:rPr>
                    <w:t>环境风险防控</w:t>
                  </w:r>
                </w:p>
              </w:tc>
              <w:tc>
                <w:tcPr>
                  <w:tcW w:w="426" w:type="dxa"/>
                  <w:noWrap w:val="0"/>
                  <w:vAlign w:val="center"/>
                </w:tcPr>
                <w:p w14:paraId="2C44EDF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eastAsia="宋体"/>
                      <w:b/>
                      <w:bCs/>
                      <w:color w:val="auto"/>
                      <w:spacing w:val="0"/>
                      <w:szCs w:val="21"/>
                      <w:u w:val="single"/>
                      <w:lang w:val="en-US" w:eastAsia="zh-CN"/>
                    </w:rPr>
                  </w:pPr>
                  <w:r>
                    <w:rPr>
                      <w:rFonts w:hint="eastAsia"/>
                      <w:b/>
                      <w:bCs/>
                      <w:color w:val="auto"/>
                      <w:spacing w:val="0"/>
                      <w:szCs w:val="21"/>
                      <w:u w:val="single"/>
                      <w:lang w:val="en-US" w:eastAsia="zh-CN"/>
                    </w:rPr>
                    <w:t>1</w:t>
                  </w:r>
                </w:p>
              </w:tc>
              <w:tc>
                <w:tcPr>
                  <w:tcW w:w="3277" w:type="dxa"/>
                  <w:noWrap w:val="0"/>
                  <w:vAlign w:val="center"/>
                </w:tcPr>
                <w:p w14:paraId="0B25D51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b/>
                      <w:bCs/>
                      <w:color w:val="auto"/>
                      <w:spacing w:val="0"/>
                      <w:szCs w:val="21"/>
                      <w:u w:val="single"/>
                    </w:rPr>
                  </w:pPr>
                  <w:r>
                    <w:rPr>
                      <w:rFonts w:hint="eastAsia"/>
                      <w:b/>
                      <w:bCs/>
                      <w:color w:val="auto"/>
                      <w:spacing w:val="0"/>
                      <w:szCs w:val="21"/>
                      <w:u w:val="single"/>
                    </w:rPr>
                    <w:t>大气防护距离范围和大气毒性终点浓度-1范围超越园区边界且涉及居民区、学校、医院等环境敏感点的项目，禁止新建。</w:t>
                  </w:r>
                </w:p>
              </w:tc>
              <w:tc>
                <w:tcPr>
                  <w:tcW w:w="2779" w:type="dxa"/>
                  <w:noWrap w:val="0"/>
                  <w:vAlign w:val="center"/>
                </w:tcPr>
                <w:p w14:paraId="5EC14EA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rFonts w:hint="eastAsia"/>
                      <w:b/>
                      <w:bCs/>
                      <w:color w:val="auto"/>
                      <w:spacing w:val="0"/>
                      <w:szCs w:val="21"/>
                      <w:u w:val="single"/>
                      <w:lang w:val="en-US" w:eastAsia="zh-CN"/>
                    </w:rPr>
                    <w:t>本项目不涉及。</w:t>
                  </w:r>
                </w:p>
              </w:tc>
              <w:tc>
                <w:tcPr>
                  <w:tcW w:w="594" w:type="dxa"/>
                  <w:noWrap w:val="0"/>
                  <w:vAlign w:val="center"/>
                </w:tcPr>
                <w:p w14:paraId="46F100C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rFonts w:hint="eastAsia"/>
                      <w:b/>
                      <w:bCs/>
                      <w:color w:val="auto"/>
                      <w:spacing w:val="0"/>
                      <w:szCs w:val="21"/>
                      <w:u w:val="single"/>
                      <w:lang w:val="en-US" w:eastAsia="zh-CN"/>
                    </w:rPr>
                    <w:t>/</w:t>
                  </w:r>
                </w:p>
              </w:tc>
            </w:tr>
            <w:tr w14:paraId="7AA2A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701" w:type="dxa"/>
                  <w:vMerge w:val="continue"/>
                  <w:noWrap w:val="0"/>
                  <w:vAlign w:val="center"/>
                </w:tcPr>
                <w:p w14:paraId="4C1AF9C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p>
              </w:tc>
              <w:tc>
                <w:tcPr>
                  <w:tcW w:w="426" w:type="dxa"/>
                  <w:noWrap w:val="0"/>
                  <w:vAlign w:val="center"/>
                </w:tcPr>
                <w:p w14:paraId="674CA64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eastAsia="宋体"/>
                      <w:b/>
                      <w:bCs/>
                      <w:color w:val="auto"/>
                      <w:spacing w:val="0"/>
                      <w:szCs w:val="21"/>
                      <w:u w:val="single"/>
                      <w:lang w:val="en-US" w:eastAsia="zh-CN"/>
                    </w:rPr>
                  </w:pPr>
                  <w:r>
                    <w:rPr>
                      <w:rFonts w:hint="eastAsia"/>
                      <w:b/>
                      <w:bCs/>
                      <w:color w:val="auto"/>
                      <w:spacing w:val="0"/>
                      <w:szCs w:val="21"/>
                      <w:u w:val="single"/>
                      <w:lang w:val="en-US" w:eastAsia="zh-CN"/>
                    </w:rPr>
                    <w:t>2</w:t>
                  </w:r>
                </w:p>
              </w:tc>
              <w:tc>
                <w:tcPr>
                  <w:tcW w:w="3277" w:type="dxa"/>
                  <w:noWrap w:val="0"/>
                  <w:vAlign w:val="center"/>
                </w:tcPr>
                <w:p w14:paraId="1746B23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b/>
                      <w:bCs/>
                      <w:color w:val="auto"/>
                      <w:spacing w:val="0"/>
                      <w:szCs w:val="21"/>
                      <w:u w:val="single"/>
                    </w:rPr>
                  </w:pPr>
                  <w:r>
                    <w:rPr>
                      <w:rFonts w:hint="eastAsia"/>
                      <w:b/>
                      <w:bCs/>
                      <w:color w:val="auto"/>
                      <w:spacing w:val="0"/>
                      <w:szCs w:val="21"/>
                      <w:u w:val="single"/>
                    </w:rPr>
                    <w:t>项目环境风险防范措施未严格按照环境影响评价文件要求落实的，应停产整改。</w:t>
                  </w:r>
                </w:p>
              </w:tc>
              <w:tc>
                <w:tcPr>
                  <w:tcW w:w="2779" w:type="dxa"/>
                  <w:noWrap w:val="0"/>
                  <w:vAlign w:val="center"/>
                </w:tcPr>
                <w:p w14:paraId="5DE64D2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eastAsia="宋体"/>
                      <w:b/>
                      <w:bCs/>
                      <w:color w:val="auto"/>
                      <w:spacing w:val="0"/>
                      <w:szCs w:val="21"/>
                      <w:u w:val="single"/>
                      <w:lang w:val="en-US" w:eastAsia="zh-CN"/>
                    </w:rPr>
                  </w:pPr>
                  <w:r>
                    <w:rPr>
                      <w:rFonts w:hint="eastAsia"/>
                      <w:b/>
                      <w:bCs/>
                      <w:color w:val="auto"/>
                      <w:spacing w:val="0"/>
                      <w:szCs w:val="21"/>
                      <w:u w:val="single"/>
                      <w:lang w:val="en-US" w:eastAsia="zh-CN"/>
                    </w:rPr>
                    <w:t>本项目将严格按照环评文件要求进行建设。</w:t>
                  </w:r>
                </w:p>
              </w:tc>
              <w:tc>
                <w:tcPr>
                  <w:tcW w:w="594" w:type="dxa"/>
                  <w:noWrap w:val="0"/>
                  <w:vAlign w:val="center"/>
                </w:tcPr>
                <w:p w14:paraId="17BC8E3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b/>
                      <w:bCs/>
                      <w:color w:val="auto"/>
                      <w:spacing w:val="0"/>
                      <w:szCs w:val="21"/>
                      <w:u w:val="single"/>
                    </w:rPr>
                    <w:t>相符</w:t>
                  </w:r>
                </w:p>
              </w:tc>
            </w:tr>
            <w:tr w14:paraId="57BA5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701" w:type="dxa"/>
                  <w:vMerge w:val="continue"/>
                  <w:noWrap w:val="0"/>
                  <w:vAlign w:val="center"/>
                </w:tcPr>
                <w:p w14:paraId="12F8C1B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p>
              </w:tc>
              <w:tc>
                <w:tcPr>
                  <w:tcW w:w="426" w:type="dxa"/>
                  <w:noWrap w:val="0"/>
                  <w:vAlign w:val="center"/>
                </w:tcPr>
                <w:p w14:paraId="57B3B74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eastAsia="宋体"/>
                      <w:b/>
                      <w:bCs/>
                      <w:color w:val="auto"/>
                      <w:spacing w:val="0"/>
                      <w:szCs w:val="21"/>
                      <w:u w:val="single"/>
                      <w:lang w:val="en-US" w:eastAsia="zh-CN"/>
                    </w:rPr>
                  </w:pPr>
                  <w:r>
                    <w:rPr>
                      <w:rFonts w:hint="eastAsia"/>
                      <w:b/>
                      <w:bCs/>
                      <w:color w:val="auto"/>
                      <w:spacing w:val="0"/>
                      <w:szCs w:val="21"/>
                      <w:u w:val="single"/>
                      <w:lang w:val="en-US" w:eastAsia="zh-CN"/>
                    </w:rPr>
                    <w:t>3</w:t>
                  </w:r>
                </w:p>
              </w:tc>
              <w:tc>
                <w:tcPr>
                  <w:tcW w:w="3277" w:type="dxa"/>
                  <w:noWrap w:val="0"/>
                  <w:vAlign w:val="center"/>
                </w:tcPr>
                <w:p w14:paraId="61A0EFA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b/>
                      <w:bCs/>
                      <w:color w:val="auto"/>
                      <w:spacing w:val="0"/>
                      <w:szCs w:val="21"/>
                      <w:u w:val="single"/>
                    </w:rPr>
                  </w:pPr>
                  <w:r>
                    <w:rPr>
                      <w:rFonts w:hint="eastAsia"/>
                      <w:b/>
                      <w:bCs/>
                      <w:color w:val="auto"/>
                      <w:spacing w:val="0"/>
                      <w:szCs w:val="21"/>
                      <w:u w:val="single"/>
                    </w:rPr>
                    <w:t>涉及危险化学品、危险废物及可能发生突发环境事件的污染物排放企业，应按照突发环境事件应急预案备案管理办法的要求，制定完善的环境应急预案，并报环境管理部门备案管理。未落实有关要求的，应停产整改。</w:t>
                  </w:r>
                </w:p>
              </w:tc>
              <w:tc>
                <w:tcPr>
                  <w:tcW w:w="2779" w:type="dxa"/>
                  <w:noWrap w:val="0"/>
                  <w:vAlign w:val="center"/>
                </w:tcPr>
                <w:p w14:paraId="7E33599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eastAsia="宋体"/>
                      <w:b/>
                      <w:bCs/>
                      <w:color w:val="auto"/>
                      <w:spacing w:val="0"/>
                      <w:szCs w:val="21"/>
                      <w:u w:val="single"/>
                      <w:lang w:val="en-US" w:eastAsia="zh-CN"/>
                    </w:rPr>
                  </w:pPr>
                  <w:r>
                    <w:rPr>
                      <w:rFonts w:hint="eastAsia"/>
                      <w:b/>
                      <w:bCs/>
                      <w:color w:val="auto"/>
                      <w:spacing w:val="0"/>
                      <w:szCs w:val="21"/>
                      <w:u w:val="single"/>
                      <w:lang w:val="en-US" w:eastAsia="zh-CN"/>
                    </w:rPr>
                    <w:t>本项目建设完成后将按照相关要求制定环境应急预案，并报环境管理部门备案管理。</w:t>
                  </w:r>
                </w:p>
              </w:tc>
              <w:tc>
                <w:tcPr>
                  <w:tcW w:w="594" w:type="dxa"/>
                  <w:noWrap w:val="0"/>
                  <w:vAlign w:val="center"/>
                </w:tcPr>
                <w:p w14:paraId="1D32AC6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b/>
                      <w:bCs/>
                      <w:color w:val="auto"/>
                      <w:spacing w:val="0"/>
                      <w:szCs w:val="21"/>
                      <w:u w:val="single"/>
                    </w:rPr>
                    <w:t>相符</w:t>
                  </w:r>
                </w:p>
              </w:tc>
            </w:tr>
            <w:tr w14:paraId="0FE82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701" w:type="dxa"/>
                  <w:vMerge w:val="continue"/>
                  <w:noWrap w:val="0"/>
                  <w:vAlign w:val="center"/>
                </w:tcPr>
                <w:p w14:paraId="5EECBD8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p>
              </w:tc>
              <w:tc>
                <w:tcPr>
                  <w:tcW w:w="426" w:type="dxa"/>
                  <w:noWrap w:val="0"/>
                  <w:vAlign w:val="center"/>
                </w:tcPr>
                <w:p w14:paraId="5F2A4ED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eastAsia="宋体"/>
                      <w:b/>
                      <w:bCs/>
                      <w:color w:val="auto"/>
                      <w:spacing w:val="0"/>
                      <w:szCs w:val="21"/>
                      <w:u w:val="single"/>
                      <w:lang w:val="en-US" w:eastAsia="zh-CN"/>
                    </w:rPr>
                  </w:pPr>
                  <w:r>
                    <w:rPr>
                      <w:rFonts w:hint="eastAsia"/>
                      <w:b/>
                      <w:bCs/>
                      <w:color w:val="auto"/>
                      <w:spacing w:val="0"/>
                      <w:szCs w:val="21"/>
                      <w:u w:val="single"/>
                      <w:lang w:val="en-US" w:eastAsia="zh-CN"/>
                    </w:rPr>
                    <w:t>4</w:t>
                  </w:r>
                </w:p>
              </w:tc>
              <w:tc>
                <w:tcPr>
                  <w:tcW w:w="3277" w:type="dxa"/>
                  <w:noWrap w:val="0"/>
                  <w:vAlign w:val="center"/>
                </w:tcPr>
                <w:p w14:paraId="1363E2F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b/>
                      <w:bCs/>
                      <w:color w:val="auto"/>
                      <w:spacing w:val="0"/>
                      <w:szCs w:val="21"/>
                      <w:u w:val="single"/>
                    </w:rPr>
                  </w:pPr>
                  <w:r>
                    <w:rPr>
                      <w:rFonts w:hint="eastAsia"/>
                      <w:b/>
                      <w:bCs/>
                      <w:color w:val="auto"/>
                      <w:spacing w:val="0"/>
                      <w:szCs w:val="21"/>
                      <w:u w:val="single"/>
                    </w:rPr>
                    <w:t>加强环境应急保障体系建设，园内企业应制定环境应急预案，明确环境风险防范措施。</w:t>
                  </w:r>
                </w:p>
              </w:tc>
              <w:tc>
                <w:tcPr>
                  <w:tcW w:w="2779" w:type="dxa"/>
                  <w:noWrap w:val="0"/>
                  <w:vAlign w:val="center"/>
                </w:tcPr>
                <w:p w14:paraId="66845F4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rFonts w:hint="eastAsia"/>
                      <w:b/>
                      <w:bCs/>
                      <w:color w:val="auto"/>
                      <w:spacing w:val="0"/>
                      <w:szCs w:val="21"/>
                      <w:u w:val="single"/>
                      <w:lang w:val="en-US" w:eastAsia="zh-CN"/>
                    </w:rPr>
                    <w:t>本项目不涉及。</w:t>
                  </w:r>
                </w:p>
              </w:tc>
              <w:tc>
                <w:tcPr>
                  <w:tcW w:w="594" w:type="dxa"/>
                  <w:noWrap w:val="0"/>
                  <w:vAlign w:val="center"/>
                </w:tcPr>
                <w:p w14:paraId="78CD8F7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rFonts w:hint="eastAsia"/>
                      <w:b/>
                      <w:bCs/>
                      <w:color w:val="auto"/>
                      <w:spacing w:val="0"/>
                      <w:szCs w:val="21"/>
                      <w:u w:val="single"/>
                      <w:lang w:val="en-US" w:eastAsia="zh-CN"/>
                    </w:rPr>
                    <w:t>/</w:t>
                  </w:r>
                </w:p>
              </w:tc>
            </w:tr>
            <w:tr w14:paraId="2224E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701" w:type="dxa"/>
                  <w:vMerge w:val="continue"/>
                  <w:noWrap w:val="0"/>
                  <w:vAlign w:val="center"/>
                </w:tcPr>
                <w:p w14:paraId="38CEAAE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p>
              </w:tc>
              <w:tc>
                <w:tcPr>
                  <w:tcW w:w="426" w:type="dxa"/>
                  <w:noWrap w:val="0"/>
                  <w:vAlign w:val="center"/>
                </w:tcPr>
                <w:p w14:paraId="4D10218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eastAsia="宋体"/>
                      <w:b/>
                      <w:bCs/>
                      <w:color w:val="auto"/>
                      <w:spacing w:val="0"/>
                      <w:szCs w:val="21"/>
                      <w:u w:val="single"/>
                      <w:lang w:val="en-US" w:eastAsia="zh-CN"/>
                    </w:rPr>
                  </w:pPr>
                  <w:r>
                    <w:rPr>
                      <w:rFonts w:hint="eastAsia"/>
                      <w:b/>
                      <w:bCs/>
                      <w:color w:val="auto"/>
                      <w:spacing w:val="0"/>
                      <w:szCs w:val="21"/>
                      <w:u w:val="single"/>
                      <w:lang w:val="en-US" w:eastAsia="zh-CN"/>
                    </w:rPr>
                    <w:t>5</w:t>
                  </w:r>
                </w:p>
              </w:tc>
              <w:tc>
                <w:tcPr>
                  <w:tcW w:w="3277" w:type="dxa"/>
                  <w:noWrap w:val="0"/>
                  <w:vAlign w:val="center"/>
                </w:tcPr>
                <w:p w14:paraId="79A5132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b/>
                      <w:bCs/>
                      <w:color w:val="auto"/>
                      <w:spacing w:val="0"/>
                      <w:szCs w:val="21"/>
                      <w:u w:val="single"/>
                    </w:rPr>
                  </w:pPr>
                  <w:r>
                    <w:rPr>
                      <w:rFonts w:hint="eastAsia"/>
                      <w:b/>
                      <w:bCs/>
                      <w:color w:val="auto"/>
                      <w:spacing w:val="0"/>
                      <w:szCs w:val="21"/>
                      <w:u w:val="single"/>
                    </w:rPr>
                    <w:t>铅酸蓄电池、石油加工、化工和危险化学品生产、储存、使用等企业在拆除生产设施设备、污染治理设施时，要事先制定企业拆除活动污染防</w:t>
                  </w:r>
                </w:p>
              </w:tc>
              <w:tc>
                <w:tcPr>
                  <w:tcW w:w="2779" w:type="dxa"/>
                  <w:noWrap w:val="0"/>
                  <w:vAlign w:val="center"/>
                </w:tcPr>
                <w:p w14:paraId="710A557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eastAsia="宋体"/>
                      <w:b/>
                      <w:bCs/>
                      <w:color w:val="auto"/>
                      <w:spacing w:val="0"/>
                      <w:szCs w:val="21"/>
                      <w:u w:val="single"/>
                      <w:lang w:val="en-US" w:eastAsia="zh-CN"/>
                    </w:rPr>
                  </w:pPr>
                  <w:r>
                    <w:rPr>
                      <w:rFonts w:hint="eastAsia"/>
                      <w:b/>
                      <w:bCs/>
                      <w:color w:val="auto"/>
                      <w:spacing w:val="0"/>
                      <w:szCs w:val="21"/>
                      <w:u w:val="single"/>
                      <w:lang w:val="en-US" w:eastAsia="zh-CN"/>
                    </w:rPr>
                    <w:t>本项目不涉及。</w:t>
                  </w:r>
                </w:p>
              </w:tc>
              <w:tc>
                <w:tcPr>
                  <w:tcW w:w="594" w:type="dxa"/>
                  <w:noWrap w:val="0"/>
                  <w:vAlign w:val="center"/>
                </w:tcPr>
                <w:p w14:paraId="085AA23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rFonts w:hint="eastAsia"/>
                      <w:b/>
                      <w:bCs/>
                      <w:color w:val="auto"/>
                      <w:spacing w:val="0"/>
                      <w:szCs w:val="21"/>
                      <w:u w:val="single"/>
                      <w:lang w:val="en-US" w:eastAsia="zh-CN"/>
                    </w:rPr>
                    <w:t>/</w:t>
                  </w:r>
                </w:p>
              </w:tc>
            </w:tr>
            <w:tr w14:paraId="0C25B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701" w:type="dxa"/>
                  <w:vMerge w:val="continue"/>
                  <w:noWrap w:val="0"/>
                  <w:vAlign w:val="center"/>
                </w:tcPr>
                <w:p w14:paraId="5598D81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p>
              </w:tc>
              <w:tc>
                <w:tcPr>
                  <w:tcW w:w="426" w:type="dxa"/>
                  <w:noWrap w:val="0"/>
                  <w:vAlign w:val="center"/>
                </w:tcPr>
                <w:p w14:paraId="732062A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eastAsia="宋体"/>
                      <w:b/>
                      <w:bCs/>
                      <w:color w:val="auto"/>
                      <w:spacing w:val="0"/>
                      <w:szCs w:val="21"/>
                      <w:u w:val="single"/>
                      <w:lang w:val="en-US" w:eastAsia="zh-CN"/>
                    </w:rPr>
                  </w:pPr>
                  <w:r>
                    <w:rPr>
                      <w:rFonts w:hint="eastAsia"/>
                      <w:b/>
                      <w:bCs/>
                      <w:color w:val="auto"/>
                      <w:spacing w:val="0"/>
                      <w:szCs w:val="21"/>
                      <w:u w:val="single"/>
                      <w:lang w:val="en-US" w:eastAsia="zh-CN"/>
                    </w:rPr>
                    <w:t>6</w:t>
                  </w:r>
                </w:p>
              </w:tc>
              <w:tc>
                <w:tcPr>
                  <w:tcW w:w="3277" w:type="dxa"/>
                  <w:noWrap w:val="0"/>
                  <w:vAlign w:val="center"/>
                </w:tcPr>
                <w:p w14:paraId="24D17AE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b/>
                      <w:bCs/>
                      <w:color w:val="auto"/>
                      <w:spacing w:val="0"/>
                      <w:szCs w:val="21"/>
                      <w:u w:val="single"/>
                    </w:rPr>
                  </w:pPr>
                  <w:r>
                    <w:rPr>
                      <w:rFonts w:hint="eastAsia"/>
                      <w:b/>
                      <w:bCs/>
                      <w:color w:val="auto"/>
                      <w:spacing w:val="0"/>
                      <w:szCs w:val="21"/>
                      <w:u w:val="single"/>
                    </w:rPr>
                    <w:t>充分利用企业用地调查成果和注销、撤销排污许可的信息，考虑行业、生产年限等因素，确定</w:t>
                  </w:r>
                  <w:r>
                    <w:rPr>
                      <w:rFonts w:hint="eastAsia"/>
                      <w:b/>
                      <w:bCs/>
                      <w:color w:val="auto"/>
                      <w:spacing w:val="0"/>
                      <w:szCs w:val="21"/>
                      <w:u w:val="single"/>
                      <w:lang w:val="en-US" w:eastAsia="zh-CN"/>
                    </w:rPr>
                    <w:t>环</w:t>
                  </w:r>
                  <w:r>
                    <w:rPr>
                      <w:rFonts w:hint="eastAsia"/>
                      <w:b/>
                      <w:bCs/>
                      <w:color w:val="auto"/>
                      <w:spacing w:val="0"/>
                      <w:szCs w:val="21"/>
                      <w:u w:val="single"/>
                    </w:rPr>
                    <w:t>境准入清单优先监管地块，并按要求采取污染管控措施。</w:t>
                  </w:r>
                </w:p>
              </w:tc>
              <w:tc>
                <w:tcPr>
                  <w:tcW w:w="2779" w:type="dxa"/>
                  <w:noWrap w:val="0"/>
                  <w:vAlign w:val="center"/>
                </w:tcPr>
                <w:p w14:paraId="268F449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rFonts w:hint="eastAsia"/>
                      <w:b/>
                      <w:bCs/>
                      <w:color w:val="auto"/>
                      <w:spacing w:val="0"/>
                      <w:szCs w:val="21"/>
                      <w:u w:val="single"/>
                      <w:lang w:val="en-US" w:eastAsia="zh-CN"/>
                    </w:rPr>
                    <w:t>本项目不涉及。</w:t>
                  </w:r>
                </w:p>
              </w:tc>
              <w:tc>
                <w:tcPr>
                  <w:tcW w:w="594" w:type="dxa"/>
                  <w:noWrap w:val="0"/>
                  <w:vAlign w:val="center"/>
                </w:tcPr>
                <w:p w14:paraId="0BD4800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rFonts w:hint="eastAsia"/>
                      <w:b/>
                      <w:bCs/>
                      <w:color w:val="auto"/>
                      <w:spacing w:val="0"/>
                      <w:szCs w:val="21"/>
                      <w:u w:val="single"/>
                      <w:lang w:val="en-US" w:eastAsia="zh-CN"/>
                    </w:rPr>
                    <w:t>/</w:t>
                  </w:r>
                </w:p>
              </w:tc>
            </w:tr>
            <w:tr w14:paraId="71B56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701" w:type="dxa"/>
                  <w:vMerge w:val="restart"/>
                  <w:noWrap w:val="0"/>
                  <w:vAlign w:val="center"/>
                </w:tcPr>
                <w:p w14:paraId="66EFF6B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rFonts w:hint="eastAsia"/>
                      <w:b/>
                      <w:bCs/>
                      <w:color w:val="auto"/>
                      <w:spacing w:val="0"/>
                      <w:szCs w:val="21"/>
                      <w:u w:val="single"/>
                    </w:rPr>
                    <w:t>资源开发利用</w:t>
                  </w:r>
                </w:p>
              </w:tc>
              <w:tc>
                <w:tcPr>
                  <w:tcW w:w="426" w:type="dxa"/>
                  <w:noWrap w:val="0"/>
                  <w:vAlign w:val="center"/>
                </w:tcPr>
                <w:p w14:paraId="6BE1187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b/>
                      <w:bCs/>
                      <w:color w:val="auto"/>
                      <w:spacing w:val="0"/>
                      <w:szCs w:val="21"/>
                      <w:u w:val="single"/>
                    </w:rPr>
                    <w:t>1</w:t>
                  </w:r>
                </w:p>
              </w:tc>
              <w:tc>
                <w:tcPr>
                  <w:tcW w:w="3277" w:type="dxa"/>
                  <w:noWrap w:val="0"/>
                  <w:vAlign w:val="center"/>
                </w:tcPr>
                <w:p w14:paraId="2760567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rFonts w:hint="eastAsia"/>
                      <w:b/>
                      <w:bCs/>
                      <w:color w:val="auto"/>
                      <w:spacing w:val="0"/>
                      <w:szCs w:val="21"/>
                      <w:u w:val="single"/>
                    </w:rPr>
                    <w:t>新建企业的生产工艺、设备、污染治理技术、清洁生产水平均需达到同行业国内先进水平。</w:t>
                  </w:r>
                </w:p>
              </w:tc>
              <w:tc>
                <w:tcPr>
                  <w:tcW w:w="2779" w:type="dxa"/>
                  <w:noWrap w:val="0"/>
                  <w:vAlign w:val="center"/>
                </w:tcPr>
                <w:p w14:paraId="551F071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rFonts w:hint="eastAsia"/>
                      <w:b/>
                      <w:bCs/>
                      <w:color w:val="auto"/>
                      <w:spacing w:val="0"/>
                      <w:szCs w:val="21"/>
                      <w:u w:val="single"/>
                      <w:lang w:val="en-US" w:eastAsia="zh-CN"/>
                    </w:rPr>
                    <w:t>本项目均达到同行业国内先进水平。</w:t>
                  </w:r>
                </w:p>
              </w:tc>
              <w:tc>
                <w:tcPr>
                  <w:tcW w:w="594" w:type="dxa"/>
                  <w:noWrap w:val="0"/>
                  <w:vAlign w:val="center"/>
                </w:tcPr>
                <w:p w14:paraId="1D9AFAB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b/>
                      <w:bCs/>
                      <w:color w:val="auto"/>
                      <w:spacing w:val="0"/>
                      <w:szCs w:val="21"/>
                      <w:u w:val="single"/>
                    </w:rPr>
                    <w:t>相符</w:t>
                  </w:r>
                </w:p>
              </w:tc>
            </w:tr>
            <w:tr w14:paraId="4E9F7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701" w:type="dxa"/>
                  <w:vMerge w:val="continue"/>
                  <w:noWrap w:val="0"/>
                  <w:vAlign w:val="center"/>
                </w:tcPr>
                <w:p w14:paraId="42284A2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p>
              </w:tc>
              <w:tc>
                <w:tcPr>
                  <w:tcW w:w="426" w:type="dxa"/>
                  <w:noWrap w:val="0"/>
                  <w:vAlign w:val="center"/>
                </w:tcPr>
                <w:p w14:paraId="098F96E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b/>
                      <w:bCs/>
                      <w:color w:val="auto"/>
                      <w:spacing w:val="0"/>
                      <w:szCs w:val="21"/>
                      <w:u w:val="single"/>
                    </w:rPr>
                    <w:t>2</w:t>
                  </w:r>
                </w:p>
              </w:tc>
              <w:tc>
                <w:tcPr>
                  <w:tcW w:w="3277" w:type="dxa"/>
                  <w:noWrap w:val="0"/>
                  <w:vAlign w:val="center"/>
                </w:tcPr>
                <w:p w14:paraId="48D35E8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rFonts w:hint="eastAsia"/>
                      <w:b/>
                      <w:bCs/>
                      <w:color w:val="auto"/>
                      <w:spacing w:val="0"/>
                      <w:szCs w:val="21"/>
                      <w:u w:val="single"/>
                    </w:rPr>
                    <w:t>禁止工艺落后，生产水平过低导致资源能源消耗量大的项目入驻</w:t>
                  </w:r>
                </w:p>
              </w:tc>
              <w:tc>
                <w:tcPr>
                  <w:tcW w:w="2779" w:type="dxa"/>
                  <w:noWrap w:val="0"/>
                  <w:vAlign w:val="center"/>
                </w:tcPr>
                <w:p w14:paraId="4F28433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rFonts w:hint="eastAsia"/>
                      <w:b/>
                      <w:bCs/>
                      <w:color w:val="auto"/>
                      <w:spacing w:val="0"/>
                      <w:szCs w:val="21"/>
                      <w:u w:val="single"/>
                      <w:lang w:val="en-US" w:eastAsia="zh-CN"/>
                    </w:rPr>
                    <w:t>本项目采用先进生产工艺，不属于资源消耗量大的项目。</w:t>
                  </w:r>
                </w:p>
              </w:tc>
              <w:tc>
                <w:tcPr>
                  <w:tcW w:w="594" w:type="dxa"/>
                  <w:noWrap w:val="0"/>
                  <w:vAlign w:val="center"/>
                </w:tcPr>
                <w:p w14:paraId="5FF695F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b/>
                      <w:bCs/>
                      <w:color w:val="auto"/>
                      <w:spacing w:val="0"/>
                      <w:szCs w:val="21"/>
                      <w:u w:val="single"/>
                    </w:rPr>
                    <w:t>相符</w:t>
                  </w:r>
                </w:p>
              </w:tc>
            </w:tr>
            <w:tr w14:paraId="5A558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701" w:type="dxa"/>
                  <w:vMerge w:val="continue"/>
                  <w:noWrap w:val="0"/>
                  <w:vAlign w:val="center"/>
                </w:tcPr>
                <w:p w14:paraId="4EA2AA3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p>
              </w:tc>
              <w:tc>
                <w:tcPr>
                  <w:tcW w:w="426" w:type="dxa"/>
                  <w:noWrap w:val="0"/>
                  <w:vAlign w:val="center"/>
                </w:tcPr>
                <w:p w14:paraId="1148286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b/>
                      <w:bCs/>
                      <w:color w:val="auto"/>
                      <w:spacing w:val="0"/>
                      <w:szCs w:val="21"/>
                      <w:u w:val="single"/>
                    </w:rPr>
                    <w:t>3</w:t>
                  </w:r>
                </w:p>
              </w:tc>
              <w:tc>
                <w:tcPr>
                  <w:tcW w:w="3277" w:type="dxa"/>
                  <w:noWrap w:val="0"/>
                  <w:vAlign w:val="center"/>
                </w:tcPr>
                <w:p w14:paraId="22DC858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rFonts w:hint="eastAsia"/>
                      <w:b/>
                      <w:bCs/>
                      <w:color w:val="auto"/>
                      <w:spacing w:val="0"/>
                      <w:szCs w:val="21"/>
                      <w:u w:val="single"/>
                    </w:rPr>
                    <w:t>加强水资源开发利用效率，提高再生水利用率，再生水回用率达到30%。</w:t>
                  </w:r>
                </w:p>
              </w:tc>
              <w:tc>
                <w:tcPr>
                  <w:tcW w:w="2779" w:type="dxa"/>
                  <w:noWrap w:val="0"/>
                  <w:vAlign w:val="center"/>
                </w:tcPr>
                <w:p w14:paraId="2D7BA6D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eastAsia="宋体"/>
                      <w:b/>
                      <w:bCs/>
                      <w:color w:val="auto"/>
                      <w:spacing w:val="0"/>
                      <w:szCs w:val="21"/>
                      <w:u w:val="single"/>
                      <w:lang w:eastAsia="zh-CN"/>
                    </w:rPr>
                  </w:pPr>
                  <w:r>
                    <w:rPr>
                      <w:rFonts w:hint="eastAsia"/>
                      <w:b/>
                      <w:bCs/>
                      <w:color w:val="auto"/>
                      <w:spacing w:val="0"/>
                      <w:szCs w:val="21"/>
                      <w:u w:val="single"/>
                      <w:lang w:val="en-US" w:eastAsia="zh-CN"/>
                    </w:rPr>
                    <w:t>本项目不涉及。</w:t>
                  </w:r>
                </w:p>
              </w:tc>
              <w:tc>
                <w:tcPr>
                  <w:tcW w:w="594" w:type="dxa"/>
                  <w:noWrap w:val="0"/>
                  <w:vAlign w:val="center"/>
                </w:tcPr>
                <w:p w14:paraId="282FBE6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rFonts w:hint="eastAsia"/>
                      <w:b/>
                      <w:bCs/>
                      <w:color w:val="auto"/>
                      <w:spacing w:val="0"/>
                      <w:szCs w:val="21"/>
                      <w:u w:val="single"/>
                      <w:lang w:val="en-US" w:eastAsia="zh-CN"/>
                    </w:rPr>
                    <w:t>/</w:t>
                  </w:r>
                </w:p>
              </w:tc>
            </w:tr>
            <w:tr w14:paraId="4B115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701" w:type="dxa"/>
                  <w:vMerge w:val="continue"/>
                  <w:noWrap w:val="0"/>
                  <w:vAlign w:val="center"/>
                </w:tcPr>
                <w:p w14:paraId="4A64AE1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p>
              </w:tc>
              <w:tc>
                <w:tcPr>
                  <w:tcW w:w="426" w:type="dxa"/>
                  <w:noWrap w:val="0"/>
                  <w:vAlign w:val="center"/>
                </w:tcPr>
                <w:p w14:paraId="56C2821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eastAsia="宋体"/>
                      <w:b/>
                      <w:bCs/>
                      <w:color w:val="auto"/>
                      <w:spacing w:val="0"/>
                      <w:szCs w:val="21"/>
                      <w:u w:val="single"/>
                      <w:lang w:val="en-US" w:eastAsia="zh-CN"/>
                    </w:rPr>
                  </w:pPr>
                  <w:r>
                    <w:rPr>
                      <w:rFonts w:hint="eastAsia"/>
                      <w:b/>
                      <w:bCs/>
                      <w:color w:val="auto"/>
                      <w:spacing w:val="0"/>
                      <w:szCs w:val="21"/>
                      <w:u w:val="single"/>
                      <w:lang w:val="en-US" w:eastAsia="zh-CN"/>
                    </w:rPr>
                    <w:t>4</w:t>
                  </w:r>
                </w:p>
              </w:tc>
              <w:tc>
                <w:tcPr>
                  <w:tcW w:w="3277" w:type="dxa"/>
                  <w:noWrap w:val="0"/>
                  <w:vAlign w:val="center"/>
                </w:tcPr>
                <w:p w14:paraId="7DDD374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b/>
                      <w:bCs/>
                      <w:color w:val="auto"/>
                      <w:spacing w:val="0"/>
                      <w:szCs w:val="21"/>
                      <w:u w:val="single"/>
                    </w:rPr>
                  </w:pPr>
                  <w:r>
                    <w:rPr>
                      <w:rFonts w:hint="eastAsia"/>
                      <w:b/>
                      <w:bCs/>
                      <w:color w:val="auto"/>
                      <w:spacing w:val="0"/>
                      <w:szCs w:val="21"/>
                      <w:u w:val="single"/>
                    </w:rPr>
                    <w:t>严格地下水管理，加强取水许可和计划用水管理，严格实行产业准入制度，严格控制新建、扩建、改建高耗水项目。</w:t>
                  </w:r>
                </w:p>
              </w:tc>
              <w:tc>
                <w:tcPr>
                  <w:tcW w:w="2779" w:type="dxa"/>
                  <w:noWrap w:val="0"/>
                  <w:vAlign w:val="center"/>
                </w:tcPr>
                <w:p w14:paraId="333F2F9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eastAsia="宋体"/>
                      <w:b/>
                      <w:bCs/>
                      <w:color w:val="auto"/>
                      <w:spacing w:val="0"/>
                      <w:szCs w:val="21"/>
                      <w:u w:val="single"/>
                      <w:lang w:val="en-US" w:eastAsia="zh-CN"/>
                    </w:rPr>
                  </w:pPr>
                  <w:r>
                    <w:rPr>
                      <w:rFonts w:hint="eastAsia"/>
                      <w:b/>
                      <w:bCs/>
                      <w:color w:val="auto"/>
                      <w:spacing w:val="0"/>
                      <w:szCs w:val="21"/>
                      <w:u w:val="single"/>
                      <w:lang w:val="en-US" w:eastAsia="zh-CN"/>
                    </w:rPr>
                    <w:t>本项目由先进制造工业园区统一供水</w:t>
                  </w:r>
                </w:p>
              </w:tc>
              <w:tc>
                <w:tcPr>
                  <w:tcW w:w="594" w:type="dxa"/>
                  <w:noWrap w:val="0"/>
                  <w:vAlign w:val="center"/>
                </w:tcPr>
                <w:p w14:paraId="3D0FD17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b/>
                      <w:bCs/>
                      <w:color w:val="auto"/>
                      <w:spacing w:val="0"/>
                      <w:szCs w:val="21"/>
                      <w:u w:val="single"/>
                    </w:rPr>
                    <w:t>相符</w:t>
                  </w:r>
                </w:p>
              </w:tc>
            </w:tr>
            <w:tr w14:paraId="67A81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701" w:type="dxa"/>
                  <w:vMerge w:val="continue"/>
                  <w:noWrap w:val="0"/>
                  <w:vAlign w:val="center"/>
                </w:tcPr>
                <w:p w14:paraId="43CBBB5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p>
              </w:tc>
              <w:tc>
                <w:tcPr>
                  <w:tcW w:w="426" w:type="dxa"/>
                  <w:noWrap w:val="0"/>
                  <w:vAlign w:val="center"/>
                </w:tcPr>
                <w:p w14:paraId="56B91BE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eastAsia="宋体"/>
                      <w:b/>
                      <w:bCs/>
                      <w:color w:val="auto"/>
                      <w:spacing w:val="0"/>
                      <w:szCs w:val="21"/>
                      <w:u w:val="single"/>
                      <w:lang w:val="en-US" w:eastAsia="zh-CN"/>
                    </w:rPr>
                  </w:pPr>
                  <w:r>
                    <w:rPr>
                      <w:rFonts w:hint="eastAsia"/>
                      <w:b/>
                      <w:bCs/>
                      <w:color w:val="auto"/>
                      <w:spacing w:val="0"/>
                      <w:szCs w:val="21"/>
                      <w:u w:val="single"/>
                      <w:lang w:val="en-US" w:eastAsia="zh-CN"/>
                    </w:rPr>
                    <w:t>5</w:t>
                  </w:r>
                </w:p>
              </w:tc>
              <w:tc>
                <w:tcPr>
                  <w:tcW w:w="3277" w:type="dxa"/>
                  <w:noWrap w:val="0"/>
                  <w:vAlign w:val="center"/>
                </w:tcPr>
                <w:p w14:paraId="2C46F95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b/>
                      <w:bCs/>
                      <w:color w:val="auto"/>
                      <w:spacing w:val="0"/>
                      <w:szCs w:val="21"/>
                      <w:u w:val="single"/>
                    </w:rPr>
                  </w:pPr>
                  <w:r>
                    <w:rPr>
                      <w:rFonts w:hint="eastAsia"/>
                      <w:b/>
                      <w:bCs/>
                      <w:color w:val="auto"/>
                      <w:spacing w:val="0"/>
                      <w:szCs w:val="21"/>
                      <w:u w:val="single"/>
                    </w:rPr>
                    <w:t>地下水超采地区，控制高耗水新建、改建、扩建项目，推进高耗水企业向水资源条件允许的工业园区集中。</w:t>
                  </w:r>
                </w:p>
              </w:tc>
              <w:tc>
                <w:tcPr>
                  <w:tcW w:w="2779" w:type="dxa"/>
                  <w:noWrap w:val="0"/>
                  <w:vAlign w:val="center"/>
                </w:tcPr>
                <w:p w14:paraId="582013D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eastAsia="宋体"/>
                      <w:b/>
                      <w:bCs/>
                      <w:color w:val="auto"/>
                      <w:spacing w:val="0"/>
                      <w:szCs w:val="21"/>
                      <w:u w:val="single"/>
                      <w:lang w:val="en-US" w:eastAsia="zh-CN"/>
                    </w:rPr>
                  </w:pPr>
                  <w:r>
                    <w:rPr>
                      <w:rFonts w:hint="eastAsia"/>
                      <w:b/>
                      <w:bCs/>
                      <w:color w:val="auto"/>
                      <w:spacing w:val="0"/>
                      <w:szCs w:val="21"/>
                      <w:u w:val="single"/>
                      <w:lang w:val="en-US" w:eastAsia="zh-CN"/>
                    </w:rPr>
                    <w:t>本项目不涉及地下水采用。</w:t>
                  </w:r>
                </w:p>
              </w:tc>
              <w:tc>
                <w:tcPr>
                  <w:tcW w:w="594" w:type="dxa"/>
                  <w:noWrap w:val="0"/>
                  <w:vAlign w:val="center"/>
                </w:tcPr>
                <w:p w14:paraId="68C43AA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pacing w:val="0"/>
                      <w:szCs w:val="21"/>
                      <w:u w:val="single"/>
                    </w:rPr>
                  </w:pPr>
                  <w:r>
                    <w:rPr>
                      <w:b/>
                      <w:bCs/>
                      <w:color w:val="auto"/>
                      <w:spacing w:val="0"/>
                      <w:szCs w:val="21"/>
                      <w:u w:val="single"/>
                    </w:rPr>
                    <w:t>相符</w:t>
                  </w:r>
                </w:p>
              </w:tc>
            </w:tr>
          </w:tbl>
          <w:p w14:paraId="1FE65DDA">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color w:val="auto"/>
                <w:kern w:val="0"/>
                <w:szCs w:val="21"/>
              </w:rPr>
            </w:pPr>
            <w:r>
              <w:rPr>
                <w:rFonts w:hint="default" w:ascii="Times New Roman" w:hAnsi="Times New Roman" w:eastAsia="宋体" w:cs="Times New Roman"/>
                <w:b/>
                <w:bCs/>
                <w:color w:val="auto"/>
                <w:sz w:val="24"/>
                <w:szCs w:val="24"/>
                <w:u w:val="single"/>
                <w:lang w:val="en-US" w:eastAsia="zh-CN"/>
              </w:rPr>
              <w:t>由上表知，本项目符合《</w:t>
            </w:r>
            <w:r>
              <w:rPr>
                <w:rFonts w:hint="default" w:ascii="Times New Roman" w:hAnsi="Times New Roman" w:eastAsia="宋体" w:cs="Times New Roman"/>
                <w:b/>
                <w:bCs/>
                <w:color w:val="auto"/>
                <w:sz w:val="24"/>
                <w:szCs w:val="24"/>
                <w:highlight w:val="none"/>
                <w:u w:val="single"/>
                <w:lang w:val="en-US" w:eastAsia="zh-CN"/>
              </w:rPr>
              <w:t>清丰县先进制造业开发区发展规划（2022-2035年）环境影响评价报告书</w:t>
            </w:r>
            <w:r>
              <w:rPr>
                <w:rFonts w:hint="default" w:ascii="Times New Roman" w:hAnsi="Times New Roman" w:eastAsia="宋体" w:cs="Times New Roman"/>
                <w:b/>
                <w:bCs/>
                <w:color w:val="auto"/>
                <w:sz w:val="24"/>
                <w:szCs w:val="24"/>
                <w:u w:val="single"/>
                <w:lang w:val="en-US" w:eastAsia="zh-CN"/>
              </w:rPr>
              <w:t>》环境准入条件，不在其环境负面清单内。</w:t>
            </w:r>
          </w:p>
        </w:tc>
      </w:tr>
      <w:tr w14:paraId="01EB0E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7" w:type="dxa"/>
            <w:vAlign w:val="center"/>
          </w:tcPr>
          <w:p w14:paraId="0E34A53E">
            <w:pPr>
              <w:autoSpaceDE w:val="0"/>
              <w:autoSpaceDN w:val="0"/>
              <w:adjustRightInd w:val="0"/>
              <w:snapToGrid w:val="0"/>
              <w:jc w:val="center"/>
              <w:rPr>
                <w:color w:val="auto"/>
                <w:kern w:val="0"/>
                <w:szCs w:val="21"/>
              </w:rPr>
            </w:pPr>
            <w:r>
              <w:rPr>
                <w:b/>
                <w:bCs/>
                <w:color w:val="auto"/>
                <w:kern w:val="0"/>
                <w:sz w:val="24"/>
              </w:rPr>
              <w:t>其他符合性分析</w:t>
            </w:r>
          </w:p>
        </w:tc>
        <w:tc>
          <w:tcPr>
            <w:tcW w:w="8434" w:type="dxa"/>
            <w:gridSpan w:val="4"/>
            <w:vAlign w:val="center"/>
          </w:tcPr>
          <w:p w14:paraId="4EB41D74">
            <w:pPr>
              <w:snapToGrid w:val="0"/>
              <w:spacing w:line="360" w:lineRule="auto"/>
              <w:rPr>
                <w:b/>
                <w:bCs/>
                <w:color w:val="auto"/>
                <w:sz w:val="24"/>
              </w:rPr>
            </w:pPr>
            <w:r>
              <w:rPr>
                <w:b/>
                <w:bCs/>
                <w:color w:val="auto"/>
                <w:sz w:val="24"/>
              </w:rPr>
              <w:t>1、产业政策相符性</w:t>
            </w:r>
          </w:p>
          <w:p w14:paraId="2A134D04">
            <w:pPr>
              <w:snapToGrid w:val="0"/>
              <w:spacing w:line="360" w:lineRule="auto"/>
              <w:ind w:firstLine="480" w:firstLineChars="200"/>
              <w:rPr>
                <w:rFonts w:hint="eastAsia"/>
                <w:color w:val="auto"/>
                <w:sz w:val="24"/>
              </w:rPr>
            </w:pPr>
            <w:r>
              <w:rPr>
                <w:rFonts w:hint="eastAsia"/>
                <w:color w:val="auto"/>
                <w:sz w:val="24"/>
              </w:rPr>
              <w:t>经对照《市场准入负面清单（2022年版）》，项目不在禁止准入类和许可准入类之列，按照《市场准入负面清单（2022年版）》中“一、对市场准入负面清单以外的行业、领域、业务等，各类市场主体皆可依法平等进入”的规定，本项目可进入市场。</w:t>
            </w:r>
          </w:p>
          <w:p w14:paraId="51CAC02F">
            <w:pPr>
              <w:snapToGrid w:val="0"/>
              <w:spacing w:line="360" w:lineRule="auto"/>
              <w:ind w:firstLine="480" w:firstLineChars="200"/>
              <w:rPr>
                <w:rFonts w:hint="eastAsia"/>
                <w:color w:val="auto"/>
                <w:sz w:val="24"/>
              </w:rPr>
            </w:pPr>
            <w:r>
              <w:rPr>
                <w:rFonts w:hint="eastAsia"/>
                <w:color w:val="auto"/>
                <w:sz w:val="24"/>
              </w:rPr>
              <w:t>经查阅《产业结构调整指导目录（2024年本）》，本项目不属于其中的“鼓励类”、“限制类”和“淘汰类”项目，属允许类项目。</w:t>
            </w:r>
            <w:r>
              <w:rPr>
                <w:color w:val="auto"/>
                <w:sz w:val="24"/>
              </w:rPr>
              <w:t>本项目</w:t>
            </w:r>
            <w:r>
              <w:rPr>
                <w:rFonts w:hint="eastAsia"/>
                <w:color w:val="auto"/>
                <w:sz w:val="24"/>
              </w:rPr>
              <w:t>已在</w:t>
            </w:r>
            <w:r>
              <w:rPr>
                <w:color w:val="auto"/>
                <w:kern w:val="0"/>
                <w:sz w:val="24"/>
                <w:lang w:val="zh-CN"/>
              </w:rPr>
              <w:t>清丰县先进制造业开发区管理委员会</w:t>
            </w:r>
            <w:r>
              <w:rPr>
                <w:rFonts w:hint="eastAsia"/>
                <w:color w:val="auto"/>
                <w:sz w:val="24"/>
              </w:rPr>
              <w:t>备案，项目代码：2411-410922-04-01-471652，项目建设符合国家产业政策。</w:t>
            </w:r>
          </w:p>
          <w:p w14:paraId="720AC437">
            <w:pPr>
              <w:pStyle w:val="46"/>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default" w:ascii="Times New Roman" w:hAnsi="Arial Unicode MS" w:eastAsia="宋体" w:cs="Times New Roman"/>
                <w:b/>
                <w:color w:val="auto"/>
                <w:kern w:val="2"/>
                <w:sz w:val="24"/>
                <w:szCs w:val="24"/>
                <w:lang w:val="en-US" w:eastAsia="zh-CN" w:bidi="ar-SA"/>
              </w:rPr>
            </w:pPr>
            <w:r>
              <w:rPr>
                <w:rFonts w:hint="default" w:ascii="Times New Roman" w:hAnsi="Arial Unicode MS" w:eastAsia="宋体" w:cs="Times New Roman"/>
                <w:b/>
                <w:color w:val="auto"/>
                <w:kern w:val="2"/>
                <w:sz w:val="24"/>
                <w:szCs w:val="24"/>
                <w:lang w:val="en-US" w:eastAsia="zh-CN" w:bidi="ar-SA"/>
              </w:rPr>
              <w:t>本项目拟建情况与备案相符性分析</w:t>
            </w:r>
          </w:p>
          <w:tbl>
            <w:tblPr>
              <w:tblStyle w:val="25"/>
              <w:tblW w:w="82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7"/>
              <w:gridCol w:w="694"/>
              <w:gridCol w:w="3083"/>
              <w:gridCol w:w="3085"/>
              <w:gridCol w:w="786"/>
            </w:tblGrid>
            <w:tr w14:paraId="04055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7" w:type="dxa"/>
                  <w:tcMar>
                    <w:top w:w="57" w:type="dxa"/>
                    <w:left w:w="57" w:type="dxa"/>
                    <w:bottom w:w="57" w:type="dxa"/>
                    <w:right w:w="57" w:type="dxa"/>
                  </w:tcMar>
                  <w:vAlign w:val="center"/>
                </w:tcPr>
                <w:p w14:paraId="5E306CAF">
                  <w:pPr>
                    <w:snapToGrid w:val="0"/>
                    <w:jc w:val="center"/>
                    <w:rPr>
                      <w:rFonts w:ascii="Times New Roman" w:hAnsi="Times New Roman"/>
                      <w:b/>
                      <w:bCs/>
                      <w:color w:val="auto"/>
                      <w:szCs w:val="21"/>
                    </w:rPr>
                  </w:pPr>
                  <w:r>
                    <w:rPr>
                      <w:rFonts w:ascii="Times New Roman" w:hAnsi="Times New Roman"/>
                      <w:b/>
                      <w:bCs/>
                      <w:color w:val="auto"/>
                      <w:szCs w:val="21"/>
                    </w:rPr>
                    <w:t>序号</w:t>
                  </w:r>
                </w:p>
              </w:tc>
              <w:tc>
                <w:tcPr>
                  <w:tcW w:w="694" w:type="dxa"/>
                  <w:tcMar>
                    <w:top w:w="57" w:type="dxa"/>
                    <w:left w:w="57" w:type="dxa"/>
                    <w:bottom w:w="57" w:type="dxa"/>
                    <w:right w:w="57" w:type="dxa"/>
                  </w:tcMar>
                  <w:vAlign w:val="center"/>
                </w:tcPr>
                <w:p w14:paraId="7C8AE2CF">
                  <w:pPr>
                    <w:snapToGrid w:val="0"/>
                    <w:jc w:val="center"/>
                    <w:rPr>
                      <w:rFonts w:ascii="Times New Roman" w:hAnsi="Times New Roman"/>
                      <w:b/>
                      <w:bCs/>
                      <w:color w:val="auto"/>
                      <w:szCs w:val="21"/>
                    </w:rPr>
                  </w:pPr>
                  <w:r>
                    <w:rPr>
                      <w:rFonts w:ascii="Times New Roman" w:hAnsi="Times New Roman"/>
                      <w:b/>
                      <w:bCs/>
                      <w:color w:val="auto"/>
                      <w:szCs w:val="21"/>
                    </w:rPr>
                    <w:t>内容</w:t>
                  </w:r>
                </w:p>
              </w:tc>
              <w:tc>
                <w:tcPr>
                  <w:tcW w:w="3083" w:type="dxa"/>
                  <w:tcMar>
                    <w:top w:w="57" w:type="dxa"/>
                    <w:left w:w="57" w:type="dxa"/>
                    <w:bottom w:w="57" w:type="dxa"/>
                    <w:right w:w="57" w:type="dxa"/>
                  </w:tcMar>
                  <w:vAlign w:val="center"/>
                </w:tcPr>
                <w:p w14:paraId="6AD4339A">
                  <w:pPr>
                    <w:snapToGrid w:val="0"/>
                    <w:jc w:val="center"/>
                    <w:rPr>
                      <w:rFonts w:ascii="Times New Roman" w:hAnsi="Times New Roman"/>
                      <w:b/>
                      <w:bCs/>
                      <w:color w:val="auto"/>
                      <w:szCs w:val="21"/>
                    </w:rPr>
                  </w:pPr>
                  <w:r>
                    <w:rPr>
                      <w:rFonts w:ascii="Times New Roman" w:hAnsi="Times New Roman"/>
                      <w:b/>
                      <w:bCs/>
                      <w:color w:val="auto"/>
                      <w:szCs w:val="21"/>
                    </w:rPr>
                    <w:t>备案情况</w:t>
                  </w:r>
                </w:p>
              </w:tc>
              <w:tc>
                <w:tcPr>
                  <w:tcW w:w="3085" w:type="dxa"/>
                  <w:tcMar>
                    <w:top w:w="57" w:type="dxa"/>
                    <w:left w:w="57" w:type="dxa"/>
                    <w:bottom w:w="57" w:type="dxa"/>
                    <w:right w:w="57" w:type="dxa"/>
                  </w:tcMar>
                  <w:vAlign w:val="center"/>
                </w:tcPr>
                <w:p w14:paraId="67DE83EE">
                  <w:pPr>
                    <w:snapToGrid w:val="0"/>
                    <w:jc w:val="center"/>
                    <w:rPr>
                      <w:rFonts w:ascii="Times New Roman" w:hAnsi="Times New Roman"/>
                      <w:b/>
                      <w:bCs/>
                      <w:color w:val="auto"/>
                      <w:szCs w:val="21"/>
                    </w:rPr>
                  </w:pPr>
                  <w:r>
                    <w:rPr>
                      <w:rFonts w:ascii="Times New Roman" w:hAnsi="Times New Roman"/>
                      <w:b/>
                      <w:bCs/>
                      <w:color w:val="auto"/>
                      <w:szCs w:val="21"/>
                    </w:rPr>
                    <w:t>拟建设情况</w:t>
                  </w:r>
                </w:p>
              </w:tc>
              <w:tc>
                <w:tcPr>
                  <w:tcW w:w="786" w:type="dxa"/>
                  <w:tcMar>
                    <w:top w:w="57" w:type="dxa"/>
                    <w:left w:w="57" w:type="dxa"/>
                    <w:bottom w:w="57" w:type="dxa"/>
                    <w:right w:w="57" w:type="dxa"/>
                  </w:tcMar>
                  <w:vAlign w:val="center"/>
                </w:tcPr>
                <w:p w14:paraId="0A90A63B">
                  <w:pPr>
                    <w:snapToGrid w:val="0"/>
                    <w:jc w:val="center"/>
                    <w:rPr>
                      <w:rFonts w:ascii="Times New Roman" w:hAnsi="Times New Roman"/>
                      <w:b/>
                      <w:bCs/>
                      <w:color w:val="auto"/>
                      <w:szCs w:val="21"/>
                    </w:rPr>
                  </w:pPr>
                  <w:r>
                    <w:rPr>
                      <w:rFonts w:ascii="Times New Roman" w:hAnsi="Times New Roman"/>
                      <w:b/>
                      <w:bCs/>
                      <w:color w:val="auto"/>
                      <w:szCs w:val="21"/>
                    </w:rPr>
                    <w:t>相符性</w:t>
                  </w:r>
                </w:p>
              </w:tc>
            </w:tr>
            <w:tr w14:paraId="7CF5B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7" w:type="dxa"/>
                  <w:tcMar>
                    <w:top w:w="57" w:type="dxa"/>
                    <w:left w:w="57" w:type="dxa"/>
                    <w:bottom w:w="57" w:type="dxa"/>
                    <w:right w:w="57" w:type="dxa"/>
                  </w:tcMar>
                  <w:vAlign w:val="center"/>
                </w:tcPr>
                <w:p w14:paraId="5CEAAB11">
                  <w:pPr>
                    <w:snapToGrid w:val="0"/>
                    <w:jc w:val="center"/>
                    <w:rPr>
                      <w:rFonts w:ascii="Times New Roman" w:hAnsi="Times New Roman"/>
                      <w:color w:val="auto"/>
                      <w:szCs w:val="21"/>
                    </w:rPr>
                  </w:pPr>
                  <w:r>
                    <w:rPr>
                      <w:rFonts w:ascii="Times New Roman" w:hAnsi="Times New Roman"/>
                      <w:color w:val="auto"/>
                      <w:szCs w:val="21"/>
                    </w:rPr>
                    <w:t>1</w:t>
                  </w:r>
                </w:p>
              </w:tc>
              <w:tc>
                <w:tcPr>
                  <w:tcW w:w="694" w:type="dxa"/>
                  <w:tcMar>
                    <w:top w:w="57" w:type="dxa"/>
                    <w:left w:w="57" w:type="dxa"/>
                    <w:bottom w:w="57" w:type="dxa"/>
                    <w:right w:w="57" w:type="dxa"/>
                  </w:tcMar>
                  <w:vAlign w:val="center"/>
                </w:tcPr>
                <w:p w14:paraId="20E7592B">
                  <w:pPr>
                    <w:snapToGrid w:val="0"/>
                    <w:jc w:val="center"/>
                    <w:rPr>
                      <w:rFonts w:ascii="Times New Roman" w:hAnsi="Times New Roman"/>
                      <w:color w:val="auto"/>
                      <w:szCs w:val="21"/>
                    </w:rPr>
                  </w:pPr>
                  <w:r>
                    <w:rPr>
                      <w:rFonts w:ascii="Times New Roman" w:hAnsi="Times New Roman"/>
                      <w:color w:val="auto"/>
                      <w:szCs w:val="21"/>
                    </w:rPr>
                    <w:t>项目名称</w:t>
                  </w:r>
                </w:p>
              </w:tc>
              <w:tc>
                <w:tcPr>
                  <w:tcW w:w="3083" w:type="dxa"/>
                  <w:tcMar>
                    <w:top w:w="57" w:type="dxa"/>
                    <w:left w:w="57" w:type="dxa"/>
                    <w:bottom w:w="57" w:type="dxa"/>
                    <w:right w:w="57" w:type="dxa"/>
                  </w:tcMar>
                  <w:vAlign w:val="center"/>
                </w:tcPr>
                <w:p w14:paraId="647D070E">
                  <w:pPr>
                    <w:snapToGrid w:val="0"/>
                    <w:jc w:val="center"/>
                    <w:rPr>
                      <w:rFonts w:hint="eastAsia" w:ascii="Times New Roman" w:hAnsi="Times New Roman" w:eastAsia="宋体"/>
                      <w:color w:val="auto"/>
                      <w:szCs w:val="21"/>
                      <w:lang w:eastAsia="zh-CN"/>
                    </w:rPr>
                  </w:pPr>
                  <w:r>
                    <w:rPr>
                      <w:rFonts w:hint="eastAsia" w:ascii="Times New Roman" w:hAnsi="Times New Roman"/>
                      <w:color w:val="auto"/>
                      <w:szCs w:val="21"/>
                      <w:lang w:eastAsia="zh-CN"/>
                    </w:rPr>
                    <w:t>清丰法蒂豪庭家具有限公司年产1万件（套）家具项目</w:t>
                  </w:r>
                </w:p>
              </w:tc>
              <w:tc>
                <w:tcPr>
                  <w:tcW w:w="3085" w:type="dxa"/>
                  <w:tcMar>
                    <w:top w:w="57" w:type="dxa"/>
                    <w:left w:w="57" w:type="dxa"/>
                    <w:bottom w:w="57" w:type="dxa"/>
                    <w:right w:w="57" w:type="dxa"/>
                  </w:tcMar>
                  <w:vAlign w:val="center"/>
                </w:tcPr>
                <w:p w14:paraId="2560E79C">
                  <w:pPr>
                    <w:snapToGrid w:val="0"/>
                    <w:jc w:val="center"/>
                    <w:rPr>
                      <w:rFonts w:hint="eastAsia" w:ascii="Times New Roman" w:hAnsi="Times New Roman" w:eastAsia="宋体"/>
                      <w:color w:val="auto"/>
                      <w:szCs w:val="21"/>
                      <w:lang w:eastAsia="zh-CN"/>
                    </w:rPr>
                  </w:pPr>
                  <w:r>
                    <w:rPr>
                      <w:rFonts w:hint="eastAsia" w:ascii="Times New Roman" w:hAnsi="Times New Roman"/>
                      <w:color w:val="auto"/>
                      <w:szCs w:val="21"/>
                      <w:lang w:eastAsia="zh-CN"/>
                    </w:rPr>
                    <w:t>清丰法蒂豪庭家具有限公司年产1万件（套）家具项目</w:t>
                  </w:r>
                </w:p>
              </w:tc>
              <w:tc>
                <w:tcPr>
                  <w:tcW w:w="786" w:type="dxa"/>
                  <w:tcMar>
                    <w:top w:w="57" w:type="dxa"/>
                    <w:left w:w="57" w:type="dxa"/>
                    <w:bottom w:w="57" w:type="dxa"/>
                    <w:right w:w="57" w:type="dxa"/>
                  </w:tcMar>
                  <w:vAlign w:val="center"/>
                </w:tcPr>
                <w:p w14:paraId="32CCAD72">
                  <w:pPr>
                    <w:snapToGrid w:val="0"/>
                    <w:jc w:val="center"/>
                    <w:rPr>
                      <w:rFonts w:ascii="Times New Roman" w:hAnsi="Times New Roman"/>
                      <w:color w:val="auto"/>
                      <w:szCs w:val="21"/>
                    </w:rPr>
                  </w:pPr>
                  <w:r>
                    <w:rPr>
                      <w:rFonts w:ascii="Times New Roman" w:hAnsi="Times New Roman"/>
                      <w:color w:val="auto"/>
                      <w:szCs w:val="21"/>
                    </w:rPr>
                    <w:t>相符</w:t>
                  </w:r>
                </w:p>
              </w:tc>
            </w:tr>
            <w:tr w14:paraId="194D9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7" w:type="dxa"/>
                  <w:tcMar>
                    <w:top w:w="57" w:type="dxa"/>
                    <w:left w:w="57" w:type="dxa"/>
                    <w:bottom w:w="57" w:type="dxa"/>
                    <w:right w:w="57" w:type="dxa"/>
                  </w:tcMar>
                  <w:vAlign w:val="center"/>
                </w:tcPr>
                <w:p w14:paraId="454FA338">
                  <w:pPr>
                    <w:snapToGrid w:val="0"/>
                    <w:jc w:val="center"/>
                    <w:rPr>
                      <w:rFonts w:ascii="Times New Roman" w:hAnsi="Times New Roman"/>
                      <w:color w:val="auto"/>
                      <w:szCs w:val="21"/>
                    </w:rPr>
                  </w:pPr>
                  <w:r>
                    <w:rPr>
                      <w:rFonts w:ascii="Times New Roman" w:hAnsi="Times New Roman"/>
                      <w:color w:val="auto"/>
                      <w:szCs w:val="21"/>
                    </w:rPr>
                    <w:t>2</w:t>
                  </w:r>
                </w:p>
              </w:tc>
              <w:tc>
                <w:tcPr>
                  <w:tcW w:w="694" w:type="dxa"/>
                  <w:tcMar>
                    <w:top w:w="57" w:type="dxa"/>
                    <w:left w:w="57" w:type="dxa"/>
                    <w:bottom w:w="57" w:type="dxa"/>
                    <w:right w:w="57" w:type="dxa"/>
                  </w:tcMar>
                  <w:vAlign w:val="center"/>
                </w:tcPr>
                <w:p w14:paraId="5B896424">
                  <w:pPr>
                    <w:snapToGrid w:val="0"/>
                    <w:jc w:val="center"/>
                    <w:rPr>
                      <w:rFonts w:ascii="Times New Roman" w:hAnsi="Times New Roman"/>
                      <w:color w:val="auto"/>
                      <w:szCs w:val="21"/>
                    </w:rPr>
                  </w:pPr>
                  <w:r>
                    <w:rPr>
                      <w:rFonts w:ascii="Times New Roman" w:hAnsi="Times New Roman"/>
                      <w:color w:val="auto"/>
                      <w:szCs w:val="21"/>
                    </w:rPr>
                    <w:t>建设单位</w:t>
                  </w:r>
                </w:p>
              </w:tc>
              <w:tc>
                <w:tcPr>
                  <w:tcW w:w="3083" w:type="dxa"/>
                  <w:tcMar>
                    <w:top w:w="57" w:type="dxa"/>
                    <w:left w:w="57" w:type="dxa"/>
                    <w:bottom w:w="57" w:type="dxa"/>
                    <w:right w:w="57" w:type="dxa"/>
                  </w:tcMar>
                  <w:vAlign w:val="center"/>
                </w:tcPr>
                <w:p w14:paraId="397F4805">
                  <w:pPr>
                    <w:snapToGrid w:val="0"/>
                    <w:jc w:val="center"/>
                    <w:rPr>
                      <w:rFonts w:ascii="Times New Roman" w:hAnsi="Times New Roman"/>
                      <w:color w:val="auto"/>
                      <w:szCs w:val="21"/>
                    </w:rPr>
                  </w:pPr>
                  <w:r>
                    <w:rPr>
                      <w:rFonts w:hint="eastAsia" w:ascii="Times New Roman" w:hAnsi="Times New Roman"/>
                      <w:color w:val="auto"/>
                      <w:szCs w:val="21"/>
                      <w:lang w:eastAsia="zh-CN"/>
                    </w:rPr>
                    <w:t>清丰法蒂豪庭家具有限公司</w:t>
                  </w:r>
                </w:p>
              </w:tc>
              <w:tc>
                <w:tcPr>
                  <w:tcW w:w="3085" w:type="dxa"/>
                  <w:tcMar>
                    <w:top w:w="57" w:type="dxa"/>
                    <w:left w:w="57" w:type="dxa"/>
                    <w:bottom w:w="57" w:type="dxa"/>
                    <w:right w:w="57" w:type="dxa"/>
                  </w:tcMar>
                  <w:vAlign w:val="center"/>
                </w:tcPr>
                <w:p w14:paraId="53846DDD">
                  <w:pPr>
                    <w:snapToGrid w:val="0"/>
                    <w:jc w:val="center"/>
                    <w:rPr>
                      <w:rFonts w:ascii="Times New Roman" w:hAnsi="Times New Roman"/>
                      <w:color w:val="auto"/>
                      <w:szCs w:val="21"/>
                    </w:rPr>
                  </w:pPr>
                  <w:r>
                    <w:rPr>
                      <w:rFonts w:hint="eastAsia" w:ascii="Times New Roman" w:hAnsi="Times New Roman"/>
                      <w:color w:val="auto"/>
                      <w:szCs w:val="21"/>
                      <w:lang w:eastAsia="zh-CN"/>
                    </w:rPr>
                    <w:t>清丰法蒂豪庭家具有限公司</w:t>
                  </w:r>
                </w:p>
              </w:tc>
              <w:tc>
                <w:tcPr>
                  <w:tcW w:w="786" w:type="dxa"/>
                  <w:tcMar>
                    <w:top w:w="57" w:type="dxa"/>
                    <w:left w:w="57" w:type="dxa"/>
                    <w:bottom w:w="57" w:type="dxa"/>
                    <w:right w:w="57" w:type="dxa"/>
                  </w:tcMar>
                  <w:vAlign w:val="center"/>
                </w:tcPr>
                <w:p w14:paraId="76C8DE90">
                  <w:pPr>
                    <w:snapToGrid w:val="0"/>
                    <w:jc w:val="center"/>
                    <w:rPr>
                      <w:rFonts w:ascii="Times New Roman" w:hAnsi="Times New Roman"/>
                      <w:color w:val="auto"/>
                      <w:szCs w:val="21"/>
                    </w:rPr>
                  </w:pPr>
                  <w:r>
                    <w:rPr>
                      <w:rFonts w:ascii="Times New Roman" w:hAnsi="Times New Roman"/>
                      <w:color w:val="auto"/>
                      <w:szCs w:val="21"/>
                    </w:rPr>
                    <w:t>相符</w:t>
                  </w:r>
                </w:p>
              </w:tc>
            </w:tr>
            <w:tr w14:paraId="25A61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7" w:type="dxa"/>
                  <w:tcMar>
                    <w:top w:w="57" w:type="dxa"/>
                    <w:left w:w="57" w:type="dxa"/>
                    <w:bottom w:w="57" w:type="dxa"/>
                    <w:right w:w="57" w:type="dxa"/>
                  </w:tcMar>
                  <w:vAlign w:val="center"/>
                </w:tcPr>
                <w:p w14:paraId="53163A43">
                  <w:pPr>
                    <w:snapToGrid w:val="0"/>
                    <w:jc w:val="center"/>
                    <w:rPr>
                      <w:rFonts w:ascii="Times New Roman" w:hAnsi="Times New Roman"/>
                      <w:color w:val="auto"/>
                      <w:szCs w:val="21"/>
                    </w:rPr>
                  </w:pPr>
                  <w:r>
                    <w:rPr>
                      <w:rFonts w:ascii="Times New Roman" w:hAnsi="Times New Roman"/>
                      <w:color w:val="auto"/>
                      <w:szCs w:val="21"/>
                    </w:rPr>
                    <w:t>3</w:t>
                  </w:r>
                </w:p>
              </w:tc>
              <w:tc>
                <w:tcPr>
                  <w:tcW w:w="694" w:type="dxa"/>
                  <w:tcMar>
                    <w:top w:w="57" w:type="dxa"/>
                    <w:left w:w="57" w:type="dxa"/>
                    <w:bottom w:w="57" w:type="dxa"/>
                    <w:right w:w="57" w:type="dxa"/>
                  </w:tcMar>
                  <w:vAlign w:val="center"/>
                </w:tcPr>
                <w:p w14:paraId="0927AB2A">
                  <w:pPr>
                    <w:snapToGrid w:val="0"/>
                    <w:jc w:val="center"/>
                    <w:rPr>
                      <w:rFonts w:ascii="Times New Roman" w:hAnsi="Times New Roman"/>
                      <w:color w:val="auto"/>
                      <w:szCs w:val="21"/>
                    </w:rPr>
                  </w:pPr>
                  <w:r>
                    <w:rPr>
                      <w:rFonts w:ascii="Times New Roman" w:hAnsi="Times New Roman"/>
                      <w:color w:val="auto"/>
                      <w:szCs w:val="21"/>
                    </w:rPr>
                    <w:t>建设地点</w:t>
                  </w:r>
                </w:p>
              </w:tc>
              <w:tc>
                <w:tcPr>
                  <w:tcW w:w="3083" w:type="dxa"/>
                  <w:tcMar>
                    <w:top w:w="57" w:type="dxa"/>
                    <w:left w:w="57" w:type="dxa"/>
                    <w:bottom w:w="57" w:type="dxa"/>
                    <w:right w:w="57" w:type="dxa"/>
                  </w:tcMar>
                  <w:vAlign w:val="center"/>
                </w:tcPr>
                <w:p w14:paraId="467EBDFF">
                  <w:pPr>
                    <w:snapToGrid w:val="0"/>
                    <w:jc w:val="center"/>
                    <w:rPr>
                      <w:rFonts w:ascii="Times New Roman" w:hAnsi="Times New Roman"/>
                      <w:color w:val="auto"/>
                      <w:szCs w:val="21"/>
                    </w:rPr>
                  </w:pPr>
                  <w:r>
                    <w:rPr>
                      <w:rFonts w:hint="eastAsia" w:ascii="Times New Roman" w:hAnsi="Times New Roman"/>
                      <w:color w:val="auto"/>
                      <w:kern w:val="0"/>
                      <w:szCs w:val="21"/>
                      <w:lang w:bidi="ar"/>
                    </w:rPr>
                    <w:t>河南省濮阳市清丰县先进制造业开发区晓月路与兴业路交叉口东100米路北</w:t>
                  </w:r>
                </w:p>
              </w:tc>
              <w:tc>
                <w:tcPr>
                  <w:tcW w:w="3085" w:type="dxa"/>
                  <w:tcMar>
                    <w:top w:w="57" w:type="dxa"/>
                    <w:left w:w="57" w:type="dxa"/>
                    <w:bottom w:w="57" w:type="dxa"/>
                    <w:right w:w="57" w:type="dxa"/>
                  </w:tcMar>
                  <w:vAlign w:val="center"/>
                </w:tcPr>
                <w:p w14:paraId="002244CF">
                  <w:pPr>
                    <w:snapToGrid w:val="0"/>
                    <w:jc w:val="center"/>
                    <w:rPr>
                      <w:rFonts w:ascii="Times New Roman" w:hAnsi="Times New Roman"/>
                      <w:color w:val="auto"/>
                      <w:szCs w:val="21"/>
                    </w:rPr>
                  </w:pPr>
                  <w:r>
                    <w:rPr>
                      <w:rFonts w:hint="eastAsia" w:ascii="Times New Roman" w:hAnsi="Times New Roman"/>
                      <w:color w:val="auto"/>
                      <w:kern w:val="0"/>
                      <w:szCs w:val="21"/>
                      <w:lang w:bidi="ar"/>
                    </w:rPr>
                    <w:t>河南省濮阳市清丰县先进制造业开发区晓月路与兴业路交叉口东100米路北</w:t>
                  </w:r>
                </w:p>
              </w:tc>
              <w:tc>
                <w:tcPr>
                  <w:tcW w:w="786" w:type="dxa"/>
                  <w:tcMar>
                    <w:top w:w="57" w:type="dxa"/>
                    <w:left w:w="57" w:type="dxa"/>
                    <w:bottom w:w="57" w:type="dxa"/>
                    <w:right w:w="57" w:type="dxa"/>
                  </w:tcMar>
                  <w:vAlign w:val="center"/>
                </w:tcPr>
                <w:p w14:paraId="307FA603">
                  <w:pPr>
                    <w:snapToGrid w:val="0"/>
                    <w:jc w:val="center"/>
                    <w:rPr>
                      <w:rFonts w:ascii="Times New Roman" w:hAnsi="Times New Roman"/>
                      <w:color w:val="auto"/>
                      <w:szCs w:val="21"/>
                    </w:rPr>
                  </w:pPr>
                  <w:r>
                    <w:rPr>
                      <w:rFonts w:ascii="Times New Roman" w:hAnsi="Times New Roman"/>
                      <w:color w:val="auto"/>
                      <w:szCs w:val="21"/>
                    </w:rPr>
                    <w:t>相符</w:t>
                  </w:r>
                </w:p>
              </w:tc>
            </w:tr>
            <w:tr w14:paraId="40423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7" w:type="dxa"/>
                  <w:tcMar>
                    <w:top w:w="57" w:type="dxa"/>
                    <w:left w:w="57" w:type="dxa"/>
                    <w:bottom w:w="57" w:type="dxa"/>
                    <w:right w:w="57" w:type="dxa"/>
                  </w:tcMar>
                  <w:vAlign w:val="center"/>
                </w:tcPr>
                <w:p w14:paraId="36BBBDC2">
                  <w:pPr>
                    <w:snapToGrid w:val="0"/>
                    <w:jc w:val="center"/>
                    <w:rPr>
                      <w:rFonts w:hint="eastAsia" w:ascii="Times New Roman" w:hAnsi="Times New Roman"/>
                      <w:color w:val="auto"/>
                      <w:szCs w:val="21"/>
                    </w:rPr>
                  </w:pPr>
                  <w:r>
                    <w:rPr>
                      <w:rFonts w:hint="eastAsia" w:ascii="Times New Roman" w:hAnsi="Times New Roman"/>
                      <w:color w:val="auto"/>
                      <w:szCs w:val="21"/>
                    </w:rPr>
                    <w:t>4</w:t>
                  </w:r>
                </w:p>
              </w:tc>
              <w:tc>
                <w:tcPr>
                  <w:tcW w:w="694" w:type="dxa"/>
                  <w:tcMar>
                    <w:top w:w="57" w:type="dxa"/>
                    <w:left w:w="57" w:type="dxa"/>
                    <w:bottom w:w="57" w:type="dxa"/>
                    <w:right w:w="57" w:type="dxa"/>
                  </w:tcMar>
                  <w:vAlign w:val="center"/>
                </w:tcPr>
                <w:p w14:paraId="0AD1F430">
                  <w:pPr>
                    <w:snapToGrid w:val="0"/>
                    <w:jc w:val="center"/>
                    <w:rPr>
                      <w:rFonts w:ascii="Times New Roman" w:hAnsi="Times New Roman"/>
                      <w:color w:val="auto"/>
                      <w:szCs w:val="21"/>
                    </w:rPr>
                  </w:pPr>
                  <w:r>
                    <w:rPr>
                      <w:rFonts w:hint="eastAsia" w:ascii="Times New Roman" w:hAnsi="Times New Roman"/>
                      <w:color w:val="auto"/>
                      <w:szCs w:val="21"/>
                    </w:rPr>
                    <w:t>建设性质</w:t>
                  </w:r>
                </w:p>
              </w:tc>
              <w:tc>
                <w:tcPr>
                  <w:tcW w:w="3083" w:type="dxa"/>
                  <w:tcMar>
                    <w:top w:w="57" w:type="dxa"/>
                    <w:left w:w="57" w:type="dxa"/>
                    <w:bottom w:w="57" w:type="dxa"/>
                    <w:right w:w="57" w:type="dxa"/>
                  </w:tcMar>
                  <w:vAlign w:val="center"/>
                </w:tcPr>
                <w:p w14:paraId="1D9E9281">
                  <w:pPr>
                    <w:snapToGrid w:val="0"/>
                    <w:jc w:val="center"/>
                    <w:rPr>
                      <w:rFonts w:hint="eastAsia" w:ascii="Times New Roman" w:hAnsi="Times New Roman" w:eastAsia="宋体"/>
                      <w:color w:val="auto"/>
                      <w:kern w:val="0"/>
                      <w:szCs w:val="21"/>
                      <w:lang w:eastAsia="zh-CN" w:bidi="ar"/>
                    </w:rPr>
                  </w:pPr>
                  <w:r>
                    <w:rPr>
                      <w:rFonts w:hint="eastAsia" w:ascii="Times New Roman" w:hAnsi="Times New Roman"/>
                      <w:color w:val="auto"/>
                      <w:kern w:val="0"/>
                      <w:szCs w:val="21"/>
                      <w:lang w:val="en-US" w:eastAsia="zh-CN" w:bidi="ar"/>
                    </w:rPr>
                    <w:t>新建</w:t>
                  </w:r>
                </w:p>
              </w:tc>
              <w:tc>
                <w:tcPr>
                  <w:tcW w:w="3085" w:type="dxa"/>
                  <w:tcMar>
                    <w:top w:w="57" w:type="dxa"/>
                    <w:left w:w="57" w:type="dxa"/>
                    <w:bottom w:w="57" w:type="dxa"/>
                    <w:right w:w="57" w:type="dxa"/>
                  </w:tcMar>
                  <w:vAlign w:val="center"/>
                </w:tcPr>
                <w:p w14:paraId="4BD96A25">
                  <w:pPr>
                    <w:snapToGrid w:val="0"/>
                    <w:jc w:val="center"/>
                    <w:rPr>
                      <w:rFonts w:ascii="Times New Roman" w:hAnsi="Times New Roman"/>
                      <w:color w:val="auto"/>
                      <w:kern w:val="0"/>
                      <w:szCs w:val="21"/>
                      <w:lang w:bidi="ar"/>
                    </w:rPr>
                  </w:pPr>
                  <w:r>
                    <w:rPr>
                      <w:rFonts w:hint="eastAsia" w:ascii="Times New Roman" w:hAnsi="Times New Roman"/>
                      <w:color w:val="auto"/>
                      <w:kern w:val="0"/>
                      <w:szCs w:val="21"/>
                      <w:lang w:val="en-US" w:eastAsia="zh-CN" w:bidi="ar"/>
                    </w:rPr>
                    <w:t>新建</w:t>
                  </w:r>
                </w:p>
              </w:tc>
              <w:tc>
                <w:tcPr>
                  <w:tcW w:w="786" w:type="dxa"/>
                  <w:tcMar>
                    <w:top w:w="57" w:type="dxa"/>
                    <w:left w:w="57" w:type="dxa"/>
                    <w:bottom w:w="57" w:type="dxa"/>
                    <w:right w:w="57" w:type="dxa"/>
                  </w:tcMar>
                  <w:vAlign w:val="center"/>
                </w:tcPr>
                <w:p w14:paraId="1DA4E9ED">
                  <w:pPr>
                    <w:snapToGrid w:val="0"/>
                    <w:jc w:val="center"/>
                    <w:rPr>
                      <w:rFonts w:hint="eastAsia" w:ascii="Times New Roman" w:hAnsi="Times New Roman"/>
                      <w:color w:val="auto"/>
                      <w:szCs w:val="21"/>
                    </w:rPr>
                  </w:pPr>
                  <w:r>
                    <w:rPr>
                      <w:rFonts w:hint="eastAsia" w:ascii="Times New Roman" w:hAnsi="Times New Roman"/>
                      <w:color w:val="auto"/>
                      <w:szCs w:val="21"/>
                    </w:rPr>
                    <w:t>相符</w:t>
                  </w:r>
                </w:p>
              </w:tc>
            </w:tr>
            <w:tr w14:paraId="72DD6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7" w:type="dxa"/>
                  <w:tcMar>
                    <w:top w:w="57" w:type="dxa"/>
                    <w:left w:w="57" w:type="dxa"/>
                    <w:bottom w:w="57" w:type="dxa"/>
                    <w:right w:w="57" w:type="dxa"/>
                  </w:tcMar>
                  <w:vAlign w:val="center"/>
                </w:tcPr>
                <w:p w14:paraId="4C15F171">
                  <w:pPr>
                    <w:snapToGrid w:val="0"/>
                    <w:jc w:val="center"/>
                    <w:rPr>
                      <w:rFonts w:hint="eastAsia" w:ascii="Times New Roman" w:hAnsi="Times New Roman"/>
                      <w:color w:val="auto"/>
                      <w:szCs w:val="21"/>
                    </w:rPr>
                  </w:pPr>
                  <w:r>
                    <w:rPr>
                      <w:rFonts w:hint="eastAsia" w:ascii="Times New Roman" w:hAnsi="Times New Roman"/>
                      <w:color w:val="auto"/>
                      <w:szCs w:val="21"/>
                    </w:rPr>
                    <w:t>5</w:t>
                  </w:r>
                </w:p>
              </w:tc>
              <w:tc>
                <w:tcPr>
                  <w:tcW w:w="694" w:type="dxa"/>
                  <w:tcMar>
                    <w:top w:w="57" w:type="dxa"/>
                    <w:left w:w="57" w:type="dxa"/>
                    <w:bottom w:w="57" w:type="dxa"/>
                    <w:right w:w="57" w:type="dxa"/>
                  </w:tcMar>
                  <w:vAlign w:val="center"/>
                </w:tcPr>
                <w:p w14:paraId="3AF8BBC2">
                  <w:pPr>
                    <w:snapToGrid w:val="0"/>
                    <w:jc w:val="center"/>
                    <w:rPr>
                      <w:rFonts w:ascii="Times New Roman" w:hAnsi="Times New Roman"/>
                      <w:color w:val="auto"/>
                      <w:szCs w:val="21"/>
                    </w:rPr>
                  </w:pPr>
                  <w:r>
                    <w:rPr>
                      <w:rFonts w:ascii="Times New Roman" w:hAnsi="Times New Roman"/>
                      <w:color w:val="auto"/>
                      <w:szCs w:val="21"/>
                    </w:rPr>
                    <w:t>总投资</w:t>
                  </w:r>
                </w:p>
              </w:tc>
              <w:tc>
                <w:tcPr>
                  <w:tcW w:w="3083" w:type="dxa"/>
                  <w:tcMar>
                    <w:top w:w="57" w:type="dxa"/>
                    <w:left w:w="57" w:type="dxa"/>
                    <w:bottom w:w="57" w:type="dxa"/>
                    <w:right w:w="57" w:type="dxa"/>
                  </w:tcMar>
                  <w:vAlign w:val="center"/>
                </w:tcPr>
                <w:p w14:paraId="3AA7D67E">
                  <w:pPr>
                    <w:snapToGrid w:val="0"/>
                    <w:jc w:val="center"/>
                    <w:rPr>
                      <w:rFonts w:ascii="Times New Roman" w:hAnsi="Times New Roman"/>
                      <w:color w:val="auto"/>
                      <w:szCs w:val="21"/>
                    </w:rPr>
                  </w:pPr>
                  <w:r>
                    <w:rPr>
                      <w:rFonts w:hint="eastAsia" w:ascii="Times New Roman" w:hAnsi="Times New Roman"/>
                      <w:color w:val="auto"/>
                      <w:szCs w:val="21"/>
                      <w:lang w:val="en-US" w:eastAsia="zh-CN"/>
                    </w:rPr>
                    <w:t>5</w:t>
                  </w:r>
                  <w:r>
                    <w:rPr>
                      <w:rFonts w:hint="eastAsia" w:ascii="Times New Roman" w:hAnsi="Times New Roman"/>
                      <w:color w:val="auto"/>
                      <w:szCs w:val="21"/>
                    </w:rPr>
                    <w:t>00</w:t>
                  </w:r>
                  <w:r>
                    <w:rPr>
                      <w:rFonts w:ascii="Times New Roman" w:hAnsi="Times New Roman"/>
                      <w:color w:val="auto"/>
                      <w:szCs w:val="21"/>
                    </w:rPr>
                    <w:t>万</w:t>
                  </w:r>
                </w:p>
              </w:tc>
              <w:tc>
                <w:tcPr>
                  <w:tcW w:w="3085" w:type="dxa"/>
                  <w:tcMar>
                    <w:top w:w="57" w:type="dxa"/>
                    <w:left w:w="57" w:type="dxa"/>
                    <w:bottom w:w="57" w:type="dxa"/>
                    <w:right w:w="57" w:type="dxa"/>
                  </w:tcMar>
                  <w:vAlign w:val="center"/>
                </w:tcPr>
                <w:p w14:paraId="6A742F64">
                  <w:pPr>
                    <w:snapToGrid w:val="0"/>
                    <w:jc w:val="center"/>
                    <w:rPr>
                      <w:rFonts w:ascii="Times New Roman" w:hAnsi="Times New Roman"/>
                      <w:color w:val="auto"/>
                      <w:szCs w:val="21"/>
                    </w:rPr>
                  </w:pPr>
                  <w:r>
                    <w:rPr>
                      <w:rFonts w:hint="eastAsia" w:ascii="Times New Roman" w:hAnsi="Times New Roman"/>
                      <w:color w:val="auto"/>
                      <w:szCs w:val="21"/>
                      <w:lang w:val="en-US" w:eastAsia="zh-CN"/>
                    </w:rPr>
                    <w:t>5</w:t>
                  </w:r>
                  <w:r>
                    <w:rPr>
                      <w:rFonts w:hint="eastAsia" w:ascii="Times New Roman" w:hAnsi="Times New Roman"/>
                      <w:color w:val="auto"/>
                      <w:szCs w:val="21"/>
                    </w:rPr>
                    <w:t>00</w:t>
                  </w:r>
                  <w:r>
                    <w:rPr>
                      <w:rFonts w:ascii="Times New Roman" w:hAnsi="Times New Roman"/>
                      <w:color w:val="auto"/>
                      <w:szCs w:val="21"/>
                    </w:rPr>
                    <w:t>万</w:t>
                  </w:r>
                </w:p>
              </w:tc>
              <w:tc>
                <w:tcPr>
                  <w:tcW w:w="786" w:type="dxa"/>
                  <w:tcMar>
                    <w:top w:w="57" w:type="dxa"/>
                    <w:left w:w="57" w:type="dxa"/>
                    <w:bottom w:w="57" w:type="dxa"/>
                    <w:right w:w="57" w:type="dxa"/>
                  </w:tcMar>
                  <w:vAlign w:val="center"/>
                </w:tcPr>
                <w:p w14:paraId="62EF702A">
                  <w:pPr>
                    <w:snapToGrid w:val="0"/>
                    <w:jc w:val="center"/>
                    <w:rPr>
                      <w:rFonts w:ascii="Times New Roman" w:hAnsi="Times New Roman"/>
                      <w:color w:val="auto"/>
                      <w:szCs w:val="21"/>
                    </w:rPr>
                  </w:pPr>
                  <w:r>
                    <w:rPr>
                      <w:rFonts w:ascii="Times New Roman" w:hAnsi="Times New Roman"/>
                      <w:color w:val="auto"/>
                      <w:szCs w:val="21"/>
                    </w:rPr>
                    <w:t>相符</w:t>
                  </w:r>
                </w:p>
              </w:tc>
            </w:tr>
            <w:tr w14:paraId="6E32C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7" w:type="dxa"/>
                  <w:tcMar>
                    <w:top w:w="57" w:type="dxa"/>
                    <w:left w:w="57" w:type="dxa"/>
                    <w:bottom w:w="57" w:type="dxa"/>
                    <w:right w:w="57" w:type="dxa"/>
                  </w:tcMar>
                  <w:vAlign w:val="center"/>
                </w:tcPr>
                <w:p w14:paraId="14B9B729">
                  <w:pPr>
                    <w:snapToGrid w:val="0"/>
                    <w:jc w:val="center"/>
                    <w:rPr>
                      <w:rFonts w:hint="eastAsia" w:ascii="Times New Roman" w:hAnsi="Times New Roman"/>
                      <w:color w:val="auto"/>
                      <w:szCs w:val="21"/>
                    </w:rPr>
                  </w:pPr>
                  <w:r>
                    <w:rPr>
                      <w:rFonts w:hint="eastAsia" w:ascii="Times New Roman" w:hAnsi="Times New Roman"/>
                      <w:color w:val="auto"/>
                      <w:szCs w:val="21"/>
                    </w:rPr>
                    <w:t>6</w:t>
                  </w:r>
                </w:p>
              </w:tc>
              <w:tc>
                <w:tcPr>
                  <w:tcW w:w="694" w:type="dxa"/>
                  <w:tcMar>
                    <w:top w:w="57" w:type="dxa"/>
                    <w:left w:w="57" w:type="dxa"/>
                    <w:bottom w:w="57" w:type="dxa"/>
                    <w:right w:w="57" w:type="dxa"/>
                  </w:tcMar>
                  <w:vAlign w:val="center"/>
                </w:tcPr>
                <w:p w14:paraId="0F1BDF3A">
                  <w:pPr>
                    <w:snapToGrid w:val="0"/>
                    <w:jc w:val="center"/>
                    <w:rPr>
                      <w:rFonts w:ascii="Times New Roman" w:hAnsi="Times New Roman"/>
                      <w:color w:val="auto"/>
                      <w:szCs w:val="21"/>
                    </w:rPr>
                  </w:pPr>
                  <w:r>
                    <w:rPr>
                      <w:rFonts w:ascii="Times New Roman" w:hAnsi="Times New Roman"/>
                      <w:color w:val="auto"/>
                      <w:szCs w:val="21"/>
                    </w:rPr>
                    <w:t>工艺流程</w:t>
                  </w:r>
                </w:p>
              </w:tc>
              <w:tc>
                <w:tcPr>
                  <w:tcW w:w="3083" w:type="dxa"/>
                  <w:tcMar>
                    <w:top w:w="57" w:type="dxa"/>
                    <w:left w:w="57" w:type="dxa"/>
                    <w:bottom w:w="57" w:type="dxa"/>
                    <w:right w:w="57" w:type="dxa"/>
                  </w:tcMar>
                  <w:vAlign w:val="center"/>
                </w:tcPr>
                <w:p w14:paraId="52E2E756">
                  <w:pPr>
                    <w:snapToGrid w:val="0"/>
                    <w:jc w:val="center"/>
                    <w:rPr>
                      <w:rFonts w:ascii="Times New Roman" w:hAnsi="Times New Roman"/>
                      <w:color w:val="auto"/>
                      <w:szCs w:val="21"/>
                    </w:rPr>
                  </w:pPr>
                  <w:r>
                    <w:rPr>
                      <w:rFonts w:hint="eastAsia" w:ascii="Times New Roman" w:hAnsi="Times New Roman"/>
                      <w:color w:val="auto"/>
                      <w:szCs w:val="21"/>
                    </w:rPr>
                    <w:t>木材-开料-拼板-冷压-砂光-贴皮-精切-封边-木加工-组装-批灰-打磨-喷底漆-晾干-油磨-喷面漆-晾干-修色-晾干-成品</w:t>
                  </w:r>
                </w:p>
              </w:tc>
              <w:tc>
                <w:tcPr>
                  <w:tcW w:w="3085" w:type="dxa"/>
                  <w:tcMar>
                    <w:top w:w="57" w:type="dxa"/>
                    <w:left w:w="57" w:type="dxa"/>
                    <w:bottom w:w="57" w:type="dxa"/>
                    <w:right w:w="57" w:type="dxa"/>
                  </w:tcMar>
                  <w:vAlign w:val="center"/>
                </w:tcPr>
                <w:p w14:paraId="613746C3">
                  <w:pPr>
                    <w:snapToGrid w:val="0"/>
                    <w:jc w:val="center"/>
                    <w:rPr>
                      <w:rFonts w:ascii="Times New Roman" w:hAnsi="Times New Roman"/>
                      <w:color w:val="auto"/>
                      <w:szCs w:val="21"/>
                    </w:rPr>
                  </w:pPr>
                  <w:r>
                    <w:rPr>
                      <w:rFonts w:hint="eastAsia" w:ascii="Times New Roman" w:hAnsi="Times New Roman"/>
                      <w:color w:val="auto"/>
                      <w:szCs w:val="21"/>
                    </w:rPr>
                    <w:t>木材-开料-拼板-冷压-砂光-贴皮-精切-封边-木加工-组装-批灰-打磨-喷底漆-晾干-油磨-喷面漆-晾干-修色-晾干-成品</w:t>
                  </w:r>
                </w:p>
              </w:tc>
              <w:tc>
                <w:tcPr>
                  <w:tcW w:w="786" w:type="dxa"/>
                  <w:tcMar>
                    <w:top w:w="57" w:type="dxa"/>
                    <w:left w:w="57" w:type="dxa"/>
                    <w:bottom w:w="57" w:type="dxa"/>
                    <w:right w:w="57" w:type="dxa"/>
                  </w:tcMar>
                  <w:vAlign w:val="center"/>
                </w:tcPr>
                <w:p w14:paraId="4D01EA92">
                  <w:pPr>
                    <w:snapToGrid w:val="0"/>
                    <w:jc w:val="center"/>
                    <w:rPr>
                      <w:rFonts w:ascii="Times New Roman" w:hAnsi="Times New Roman"/>
                      <w:color w:val="auto"/>
                      <w:szCs w:val="21"/>
                      <w:u w:val="single"/>
                    </w:rPr>
                  </w:pPr>
                  <w:r>
                    <w:rPr>
                      <w:rFonts w:ascii="Times New Roman" w:hAnsi="Times New Roman"/>
                      <w:color w:val="auto"/>
                      <w:szCs w:val="21"/>
                    </w:rPr>
                    <w:t>相符</w:t>
                  </w:r>
                </w:p>
              </w:tc>
            </w:tr>
            <w:tr w14:paraId="60877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7" w:type="dxa"/>
                  <w:tcMar>
                    <w:top w:w="57" w:type="dxa"/>
                    <w:left w:w="57" w:type="dxa"/>
                    <w:bottom w:w="57" w:type="dxa"/>
                    <w:right w:w="57" w:type="dxa"/>
                  </w:tcMar>
                  <w:vAlign w:val="center"/>
                </w:tcPr>
                <w:p w14:paraId="11F3A9F3">
                  <w:pPr>
                    <w:snapToGrid w:val="0"/>
                    <w:jc w:val="center"/>
                    <w:rPr>
                      <w:rFonts w:hint="eastAsia" w:ascii="Times New Roman" w:hAnsi="Times New Roman"/>
                      <w:color w:val="auto"/>
                      <w:szCs w:val="21"/>
                    </w:rPr>
                  </w:pPr>
                  <w:r>
                    <w:rPr>
                      <w:rFonts w:hint="eastAsia" w:ascii="Times New Roman" w:hAnsi="Times New Roman"/>
                      <w:color w:val="auto"/>
                      <w:szCs w:val="21"/>
                    </w:rPr>
                    <w:t>7</w:t>
                  </w:r>
                </w:p>
              </w:tc>
              <w:tc>
                <w:tcPr>
                  <w:tcW w:w="694" w:type="dxa"/>
                  <w:tcMar>
                    <w:top w:w="57" w:type="dxa"/>
                    <w:left w:w="57" w:type="dxa"/>
                    <w:bottom w:w="57" w:type="dxa"/>
                    <w:right w:w="57" w:type="dxa"/>
                  </w:tcMar>
                  <w:vAlign w:val="center"/>
                </w:tcPr>
                <w:p w14:paraId="333E71FB">
                  <w:pPr>
                    <w:snapToGrid w:val="0"/>
                    <w:jc w:val="center"/>
                    <w:rPr>
                      <w:rFonts w:ascii="Times New Roman" w:hAnsi="Times New Roman"/>
                      <w:color w:val="auto"/>
                      <w:szCs w:val="21"/>
                    </w:rPr>
                  </w:pPr>
                  <w:r>
                    <w:rPr>
                      <w:rFonts w:ascii="Times New Roman" w:hAnsi="Times New Roman"/>
                      <w:color w:val="auto"/>
                      <w:szCs w:val="21"/>
                    </w:rPr>
                    <w:t>建设内容</w:t>
                  </w:r>
                </w:p>
              </w:tc>
              <w:tc>
                <w:tcPr>
                  <w:tcW w:w="3083" w:type="dxa"/>
                  <w:tcMar>
                    <w:top w:w="57" w:type="dxa"/>
                    <w:left w:w="57" w:type="dxa"/>
                    <w:bottom w:w="57" w:type="dxa"/>
                    <w:right w:w="57" w:type="dxa"/>
                  </w:tcMar>
                  <w:vAlign w:val="center"/>
                </w:tcPr>
                <w:p w14:paraId="504F403B">
                  <w:pPr>
                    <w:snapToGrid w:val="0"/>
                    <w:jc w:val="center"/>
                    <w:rPr>
                      <w:rFonts w:hint="default" w:ascii="Times New Roman" w:hAnsi="Times New Roman"/>
                      <w:color w:val="auto"/>
                      <w:szCs w:val="21"/>
                      <w:lang w:val="en-US"/>
                    </w:rPr>
                  </w:pPr>
                  <w:r>
                    <w:rPr>
                      <w:rFonts w:hint="eastAsia" w:ascii="Times New Roman" w:hAnsi="Times New Roman"/>
                      <w:color w:val="auto"/>
                      <w:szCs w:val="21"/>
                      <w:lang w:eastAsia="zh-CN"/>
                    </w:rPr>
                    <w:t>年产1万件（套）家具</w:t>
                  </w:r>
                  <w:r>
                    <w:rPr>
                      <w:rFonts w:hint="eastAsia" w:ascii="Times New Roman" w:hAnsi="Times New Roman"/>
                      <w:color w:val="auto"/>
                      <w:szCs w:val="21"/>
                      <w:lang w:val="en-US" w:eastAsia="zh-CN"/>
                    </w:rPr>
                    <w:t>生产线及辅助设施</w:t>
                  </w:r>
                </w:p>
              </w:tc>
              <w:tc>
                <w:tcPr>
                  <w:tcW w:w="3085" w:type="dxa"/>
                  <w:tcMar>
                    <w:top w:w="57" w:type="dxa"/>
                    <w:left w:w="57" w:type="dxa"/>
                    <w:bottom w:w="57" w:type="dxa"/>
                    <w:right w:w="57" w:type="dxa"/>
                  </w:tcMar>
                  <w:vAlign w:val="center"/>
                </w:tcPr>
                <w:p w14:paraId="76CF6979">
                  <w:pPr>
                    <w:snapToGrid w:val="0"/>
                    <w:jc w:val="center"/>
                    <w:rPr>
                      <w:rFonts w:ascii="Times New Roman" w:hAnsi="Times New Roman"/>
                      <w:color w:val="auto"/>
                      <w:szCs w:val="21"/>
                    </w:rPr>
                  </w:pPr>
                  <w:r>
                    <w:rPr>
                      <w:rFonts w:hint="eastAsia" w:ascii="Times New Roman" w:hAnsi="Times New Roman"/>
                      <w:color w:val="auto"/>
                      <w:szCs w:val="21"/>
                      <w:lang w:eastAsia="zh-CN"/>
                    </w:rPr>
                    <w:t>年产1万件（套）家具</w:t>
                  </w:r>
                  <w:r>
                    <w:rPr>
                      <w:rFonts w:hint="eastAsia" w:ascii="Times New Roman" w:hAnsi="Times New Roman"/>
                      <w:color w:val="auto"/>
                      <w:szCs w:val="21"/>
                      <w:lang w:val="en-US" w:eastAsia="zh-CN"/>
                    </w:rPr>
                    <w:t>生产线及辅助设施</w:t>
                  </w:r>
                </w:p>
              </w:tc>
              <w:tc>
                <w:tcPr>
                  <w:tcW w:w="786" w:type="dxa"/>
                  <w:tcMar>
                    <w:top w:w="57" w:type="dxa"/>
                    <w:left w:w="57" w:type="dxa"/>
                    <w:bottom w:w="57" w:type="dxa"/>
                    <w:right w:w="57" w:type="dxa"/>
                  </w:tcMar>
                  <w:vAlign w:val="center"/>
                </w:tcPr>
                <w:p w14:paraId="78BA4BF0">
                  <w:pPr>
                    <w:snapToGrid w:val="0"/>
                    <w:jc w:val="center"/>
                    <w:rPr>
                      <w:rFonts w:ascii="Times New Roman" w:hAnsi="Times New Roman"/>
                      <w:color w:val="auto"/>
                      <w:szCs w:val="21"/>
                    </w:rPr>
                  </w:pPr>
                  <w:r>
                    <w:rPr>
                      <w:rFonts w:ascii="Times New Roman" w:hAnsi="Times New Roman"/>
                      <w:color w:val="auto"/>
                      <w:szCs w:val="21"/>
                    </w:rPr>
                    <w:t>相符</w:t>
                  </w:r>
                </w:p>
              </w:tc>
            </w:tr>
            <w:tr w14:paraId="67929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7" w:type="dxa"/>
                  <w:tcMar>
                    <w:top w:w="57" w:type="dxa"/>
                    <w:left w:w="57" w:type="dxa"/>
                    <w:bottom w:w="57" w:type="dxa"/>
                    <w:right w:w="57" w:type="dxa"/>
                  </w:tcMar>
                  <w:vAlign w:val="center"/>
                </w:tcPr>
                <w:p w14:paraId="40898899">
                  <w:pPr>
                    <w:snapToGrid w:val="0"/>
                    <w:jc w:val="center"/>
                    <w:rPr>
                      <w:rFonts w:ascii="Times New Roman" w:hAnsi="Times New Roman"/>
                      <w:color w:val="auto"/>
                      <w:szCs w:val="21"/>
                    </w:rPr>
                  </w:pPr>
                  <w:r>
                    <w:rPr>
                      <w:rFonts w:ascii="Times New Roman" w:hAnsi="Times New Roman"/>
                      <w:color w:val="auto"/>
                      <w:szCs w:val="21"/>
                    </w:rPr>
                    <w:t>8</w:t>
                  </w:r>
                </w:p>
              </w:tc>
              <w:tc>
                <w:tcPr>
                  <w:tcW w:w="694" w:type="dxa"/>
                  <w:tcMar>
                    <w:top w:w="57" w:type="dxa"/>
                    <w:left w:w="57" w:type="dxa"/>
                    <w:bottom w:w="57" w:type="dxa"/>
                    <w:right w:w="57" w:type="dxa"/>
                  </w:tcMar>
                  <w:vAlign w:val="center"/>
                </w:tcPr>
                <w:p w14:paraId="702F63A2">
                  <w:pPr>
                    <w:snapToGrid w:val="0"/>
                    <w:jc w:val="center"/>
                    <w:rPr>
                      <w:rFonts w:ascii="Times New Roman" w:hAnsi="Times New Roman"/>
                      <w:color w:val="auto"/>
                      <w:szCs w:val="21"/>
                    </w:rPr>
                  </w:pPr>
                  <w:r>
                    <w:rPr>
                      <w:rFonts w:ascii="Times New Roman" w:hAnsi="Times New Roman"/>
                      <w:color w:val="auto"/>
                      <w:szCs w:val="21"/>
                    </w:rPr>
                    <w:t>主要设备</w:t>
                  </w:r>
                </w:p>
              </w:tc>
              <w:tc>
                <w:tcPr>
                  <w:tcW w:w="3083" w:type="dxa"/>
                  <w:tcMar>
                    <w:top w:w="57" w:type="dxa"/>
                    <w:left w:w="57" w:type="dxa"/>
                    <w:bottom w:w="57" w:type="dxa"/>
                    <w:right w:w="57" w:type="dxa"/>
                  </w:tcMar>
                  <w:vAlign w:val="center"/>
                </w:tcPr>
                <w:p w14:paraId="709119F1">
                  <w:pPr>
                    <w:snapToGrid w:val="0"/>
                    <w:jc w:val="center"/>
                    <w:rPr>
                      <w:rFonts w:ascii="Times New Roman" w:hAnsi="Times New Roman"/>
                      <w:color w:val="auto"/>
                      <w:szCs w:val="21"/>
                    </w:rPr>
                  </w:pPr>
                  <w:r>
                    <w:rPr>
                      <w:rFonts w:hint="eastAsia" w:ascii="Times New Roman" w:hAnsi="Times New Roman"/>
                      <w:color w:val="auto"/>
                      <w:szCs w:val="21"/>
                      <w:lang w:val="en-US" w:eastAsia="zh-CN"/>
                    </w:rPr>
                    <w:t>精密推台锯、刨砂机、宽带砂光机、木工铣床、热压机、冷压机、自动封边机、喷漆房</w:t>
                  </w:r>
                  <w:r>
                    <w:rPr>
                      <w:rFonts w:hint="eastAsia" w:ascii="Times New Roman" w:hAnsi="Times New Roman"/>
                      <w:color w:val="auto"/>
                      <w:szCs w:val="21"/>
                    </w:rPr>
                    <w:t>等</w:t>
                  </w:r>
                </w:p>
              </w:tc>
              <w:tc>
                <w:tcPr>
                  <w:tcW w:w="3085" w:type="dxa"/>
                  <w:tcMar>
                    <w:top w:w="57" w:type="dxa"/>
                    <w:left w:w="57" w:type="dxa"/>
                    <w:bottom w:w="57" w:type="dxa"/>
                    <w:right w:w="57" w:type="dxa"/>
                  </w:tcMar>
                  <w:vAlign w:val="center"/>
                </w:tcPr>
                <w:p w14:paraId="1B50D2F8">
                  <w:pPr>
                    <w:snapToGrid w:val="0"/>
                    <w:jc w:val="center"/>
                    <w:rPr>
                      <w:rFonts w:ascii="Times New Roman" w:hAnsi="Times New Roman"/>
                      <w:color w:val="auto"/>
                      <w:szCs w:val="21"/>
                    </w:rPr>
                  </w:pPr>
                  <w:r>
                    <w:rPr>
                      <w:rFonts w:hint="eastAsia" w:ascii="Times New Roman" w:hAnsi="Times New Roman"/>
                      <w:color w:val="auto"/>
                      <w:szCs w:val="21"/>
                    </w:rPr>
                    <w:t>锯床、铣床、数控中心、除尘器、行车等</w:t>
                  </w:r>
                </w:p>
              </w:tc>
              <w:tc>
                <w:tcPr>
                  <w:tcW w:w="786" w:type="dxa"/>
                  <w:tcMar>
                    <w:top w:w="57" w:type="dxa"/>
                    <w:left w:w="57" w:type="dxa"/>
                    <w:bottom w:w="57" w:type="dxa"/>
                    <w:right w:w="57" w:type="dxa"/>
                  </w:tcMar>
                  <w:vAlign w:val="center"/>
                </w:tcPr>
                <w:p w14:paraId="3818FF07">
                  <w:pPr>
                    <w:snapToGrid w:val="0"/>
                    <w:jc w:val="center"/>
                    <w:rPr>
                      <w:rFonts w:ascii="Times New Roman" w:hAnsi="Times New Roman"/>
                      <w:color w:val="auto"/>
                      <w:szCs w:val="21"/>
                    </w:rPr>
                  </w:pPr>
                  <w:r>
                    <w:rPr>
                      <w:rFonts w:hint="eastAsia" w:ascii="Times New Roman" w:hAnsi="Times New Roman"/>
                      <w:color w:val="auto"/>
                      <w:szCs w:val="21"/>
                    </w:rPr>
                    <w:t>基本</w:t>
                  </w:r>
                  <w:r>
                    <w:rPr>
                      <w:rFonts w:ascii="Times New Roman" w:hAnsi="Times New Roman"/>
                      <w:color w:val="auto"/>
                      <w:szCs w:val="21"/>
                    </w:rPr>
                    <w:t>相符</w:t>
                  </w:r>
                </w:p>
              </w:tc>
            </w:tr>
          </w:tbl>
          <w:p w14:paraId="12E56A02">
            <w:pPr>
              <w:snapToGrid w:val="0"/>
              <w:spacing w:line="360" w:lineRule="auto"/>
              <w:ind w:firstLine="480" w:firstLineChars="200"/>
              <w:rPr>
                <w:color w:val="auto"/>
              </w:rPr>
            </w:pPr>
            <w:r>
              <w:rPr>
                <w:rFonts w:hint="eastAsia"/>
                <w:color w:val="auto"/>
                <w:sz w:val="24"/>
                <w:szCs w:val="24"/>
                <w:lang w:val="en-US" w:eastAsia="zh-CN"/>
              </w:rPr>
              <w:t>根据《清丰县城乡总体规划（2016-2035）》中心城区土地使用规划图可知，本项目所在地用地性质为二类工业用地，符合用地规划。</w:t>
            </w:r>
            <w:r>
              <w:rPr>
                <w:color w:val="auto"/>
              </w:rPr>
              <w:t xml:space="preserve"> </w:t>
            </w:r>
          </w:p>
          <w:p w14:paraId="646C9BEA">
            <w:pPr>
              <w:snapToGrid w:val="0"/>
              <w:spacing w:line="360" w:lineRule="auto"/>
              <w:rPr>
                <w:rFonts w:hint="eastAsia"/>
                <w:b/>
                <w:bCs/>
                <w:color w:val="auto"/>
                <w:sz w:val="24"/>
              </w:rPr>
            </w:pPr>
            <w:r>
              <w:rPr>
                <w:rFonts w:hint="eastAsia"/>
                <w:b/>
                <w:bCs/>
                <w:color w:val="auto"/>
                <w:sz w:val="24"/>
              </w:rPr>
              <w:t>2、与饮用水源保护区关系</w:t>
            </w:r>
          </w:p>
          <w:p w14:paraId="45B6DA24">
            <w:pPr>
              <w:snapToGrid w:val="0"/>
              <w:spacing w:line="360" w:lineRule="auto"/>
              <w:rPr>
                <w:b/>
                <w:bCs/>
                <w:color w:val="auto"/>
                <w:sz w:val="24"/>
              </w:rPr>
            </w:pPr>
            <w:r>
              <w:rPr>
                <w:rFonts w:hint="eastAsia"/>
                <w:b/>
                <w:bCs/>
                <w:color w:val="auto"/>
                <w:sz w:val="24"/>
              </w:rPr>
              <w:t>2.1与河南省乡镇集中式饮用水水源保护区划关系</w:t>
            </w:r>
          </w:p>
          <w:p w14:paraId="353282C3">
            <w:pPr>
              <w:snapToGrid w:val="0"/>
              <w:spacing w:line="360" w:lineRule="auto"/>
              <w:ind w:firstLine="480" w:firstLineChars="200"/>
              <w:textAlignment w:val="baseline"/>
              <w:rPr>
                <w:color w:val="auto"/>
                <w:sz w:val="24"/>
              </w:rPr>
            </w:pPr>
            <w:r>
              <w:rPr>
                <w:rFonts w:hint="eastAsia"/>
                <w:color w:val="auto"/>
                <w:sz w:val="24"/>
              </w:rPr>
              <w:t>根据</w:t>
            </w:r>
            <w:r>
              <w:rPr>
                <w:color w:val="auto"/>
                <w:sz w:val="24"/>
              </w:rPr>
              <w:t>《河南省人民政府办公厅关于印发河南省县级集中式饮用水水源保护区划的通知》（豫政办〔2013〕107号），本</w:t>
            </w:r>
            <w:r>
              <w:rPr>
                <w:rFonts w:hint="eastAsia"/>
                <w:color w:val="auto"/>
                <w:sz w:val="24"/>
              </w:rPr>
              <w:t>项目</w:t>
            </w:r>
            <w:r>
              <w:rPr>
                <w:color w:val="auto"/>
                <w:sz w:val="24"/>
              </w:rPr>
              <w:t>位于清丰县产业集聚区，根据该规划分析与饮用水水源地相符性。</w:t>
            </w:r>
          </w:p>
          <w:p w14:paraId="576BBC62">
            <w:pPr>
              <w:snapToGrid w:val="0"/>
              <w:spacing w:line="360" w:lineRule="auto"/>
              <w:ind w:firstLine="480" w:firstLineChars="200"/>
              <w:textAlignment w:val="baseline"/>
              <w:rPr>
                <w:color w:val="auto"/>
                <w:sz w:val="24"/>
              </w:rPr>
            </w:pPr>
            <w:r>
              <w:rPr>
                <w:color w:val="auto"/>
                <w:sz w:val="24"/>
              </w:rPr>
              <w:t>清丰县集中供水取水地点位于清丰县城关镇八里庄一带，布置在骆家南至纸房一线。清丰县八里庄水源地共有12个取水点，分别为1#骆家村西南、2#卞家村北、3#卞家村东北、4#梅庄北、5#郝庄西北、6#孟楼北、7#张二庄西北、8#张二庄西、9#张二庄西南、10#也庄村西北、11#也庄村西、12#也庄村西南。每个点位设置一深一浅两眼井，取水点间间距均在500m左右，开采的目的层位分别为：深层水开采层位为深埋330m-500m的含水层组，浅层水含水层主要为60m-150m的含水层组。开采方式采用浅、深井分层开采方案，综合便于井排抽水方式，各井水汇合后采用管道运至清丰县产业集聚区水厂，产业集聚区水厂将地下水集中处理后供县城生活用水以及集聚区工业用水。</w:t>
            </w:r>
          </w:p>
          <w:p w14:paraId="28A92306">
            <w:pPr>
              <w:snapToGrid w:val="0"/>
              <w:spacing w:line="360" w:lineRule="auto"/>
              <w:ind w:firstLine="480" w:firstLineChars="200"/>
              <w:textAlignment w:val="baseline"/>
              <w:rPr>
                <w:color w:val="auto"/>
                <w:sz w:val="24"/>
              </w:rPr>
            </w:pPr>
            <w:r>
              <w:rPr>
                <w:color w:val="auto"/>
                <w:sz w:val="24"/>
              </w:rPr>
              <w:t>依据《清丰县集中式饮用水源保护区划分技术报告》，清丰县八里庄地下水井群</w:t>
            </w:r>
            <w:r>
              <w:rPr>
                <w:rFonts w:hint="eastAsia"/>
                <w:color w:val="auto"/>
                <w:sz w:val="24"/>
              </w:rPr>
              <w:t>（</w:t>
            </w:r>
            <w:r>
              <w:rPr>
                <w:color w:val="auto"/>
                <w:sz w:val="24"/>
              </w:rPr>
              <w:t>共24眼井</w:t>
            </w:r>
            <w:r>
              <w:rPr>
                <w:rFonts w:hint="eastAsia"/>
                <w:color w:val="auto"/>
                <w:sz w:val="24"/>
              </w:rPr>
              <w:t>）</w:t>
            </w:r>
            <w:r>
              <w:rPr>
                <w:color w:val="auto"/>
                <w:sz w:val="24"/>
              </w:rPr>
              <w:t>一级保护区范围</w:t>
            </w:r>
            <w:r>
              <w:rPr>
                <w:rFonts w:hint="eastAsia"/>
                <w:color w:val="auto"/>
                <w:sz w:val="24"/>
              </w:rPr>
              <w:t>：</w:t>
            </w:r>
            <w:r>
              <w:rPr>
                <w:color w:val="auto"/>
                <w:sz w:val="24"/>
              </w:rPr>
              <w:t>1～2号、3～4号、5～6号、7～8号、9～10号各组井群外包线内及外围30米、北至潴龙河所包含的区域；11～12号、13～14号、15～16号、17～18号、19～20号、21～22号、23～24号各组井群外包线内及外围30米的区域。准保护区范围</w:t>
            </w:r>
            <w:r>
              <w:rPr>
                <w:rFonts w:hint="eastAsia"/>
                <w:color w:val="auto"/>
                <w:sz w:val="24"/>
              </w:rPr>
              <w:t>：</w:t>
            </w:r>
            <w:r>
              <w:rPr>
                <w:color w:val="auto"/>
                <w:sz w:val="24"/>
              </w:rPr>
              <w:t>潴龙河017县道公路桥上游1560米至下游4166米河道内水域。</w:t>
            </w:r>
          </w:p>
          <w:p w14:paraId="02FB6509">
            <w:pPr>
              <w:snapToGrid w:val="0"/>
              <w:spacing w:line="360" w:lineRule="auto"/>
              <w:ind w:firstLine="480" w:firstLineChars="200"/>
              <w:textAlignment w:val="baseline"/>
              <w:rPr>
                <w:rFonts w:hint="eastAsia"/>
                <w:color w:val="auto"/>
                <w:sz w:val="24"/>
              </w:rPr>
            </w:pPr>
            <w:bookmarkStart w:id="4" w:name="_Toc5556"/>
            <w:bookmarkStart w:id="5" w:name="_Toc4479"/>
            <w:r>
              <w:rPr>
                <w:color w:val="auto"/>
                <w:sz w:val="24"/>
                <w:lang w:val="zh-CN"/>
              </w:rPr>
              <w:t>本项目</w:t>
            </w:r>
            <w:r>
              <w:rPr>
                <w:rFonts w:hint="eastAsia"/>
                <w:color w:val="auto"/>
                <w:sz w:val="24"/>
              </w:rPr>
              <w:t>与</w:t>
            </w:r>
            <w:r>
              <w:rPr>
                <w:color w:val="auto"/>
                <w:sz w:val="24"/>
                <w:lang w:val="zh-CN"/>
              </w:rPr>
              <w:t>清丰县八里庄饮用水源地</w:t>
            </w:r>
            <w:r>
              <w:rPr>
                <w:rFonts w:hint="eastAsia"/>
                <w:color w:val="auto"/>
                <w:sz w:val="24"/>
              </w:rPr>
              <w:t>最近距离约2.</w:t>
            </w:r>
            <w:r>
              <w:rPr>
                <w:rFonts w:hint="eastAsia"/>
                <w:color w:val="auto"/>
                <w:sz w:val="24"/>
                <w:lang w:val="en-US" w:eastAsia="zh-CN"/>
              </w:rPr>
              <w:t>5</w:t>
            </w:r>
            <w:r>
              <w:rPr>
                <w:rFonts w:hint="eastAsia"/>
                <w:color w:val="auto"/>
                <w:sz w:val="24"/>
              </w:rPr>
              <w:t>k</w:t>
            </w:r>
            <w:r>
              <w:rPr>
                <w:color w:val="auto"/>
                <w:sz w:val="24"/>
                <w:lang w:val="zh-CN"/>
              </w:rPr>
              <w:t>m</w:t>
            </w:r>
            <w:r>
              <w:rPr>
                <w:color w:val="auto"/>
                <w:sz w:val="24"/>
              </w:rPr>
              <w:t>，不在清丰县八里庄地下水井群保护区范围内，符合</w:t>
            </w:r>
            <w:r>
              <w:rPr>
                <w:color w:val="auto"/>
                <w:sz w:val="24"/>
                <w:lang w:val="zh-CN"/>
              </w:rPr>
              <w:t>清丰县</w:t>
            </w:r>
            <w:r>
              <w:rPr>
                <w:color w:val="auto"/>
                <w:sz w:val="24"/>
              </w:rPr>
              <w:t>县级饮用水水源地保护规划</w:t>
            </w:r>
            <w:r>
              <w:rPr>
                <w:rFonts w:hint="eastAsia"/>
                <w:color w:val="auto"/>
                <w:sz w:val="24"/>
              </w:rPr>
              <w:t>。</w:t>
            </w:r>
            <w:bookmarkEnd w:id="4"/>
            <w:bookmarkEnd w:id="5"/>
          </w:p>
          <w:p w14:paraId="4F7AC420">
            <w:pPr>
              <w:snapToGrid w:val="0"/>
              <w:spacing w:line="360" w:lineRule="auto"/>
              <w:rPr>
                <w:b/>
                <w:bCs/>
                <w:color w:val="auto"/>
                <w:sz w:val="24"/>
              </w:rPr>
            </w:pPr>
            <w:r>
              <w:rPr>
                <w:rFonts w:hint="eastAsia"/>
                <w:b/>
                <w:bCs/>
                <w:color w:val="auto"/>
                <w:sz w:val="24"/>
              </w:rPr>
              <w:t>2.2与清丰县部分集中式饮用水水源保护区关系</w:t>
            </w:r>
          </w:p>
          <w:p w14:paraId="3B6B5189">
            <w:pPr>
              <w:snapToGrid w:val="0"/>
              <w:spacing w:line="360" w:lineRule="auto"/>
              <w:ind w:firstLine="480" w:firstLineChars="200"/>
              <w:textAlignment w:val="baseline"/>
              <w:rPr>
                <w:rFonts w:hint="eastAsia"/>
                <w:color w:val="auto"/>
                <w:sz w:val="24"/>
              </w:rPr>
            </w:pPr>
            <w:bookmarkStart w:id="6" w:name="_Toc32751"/>
            <w:bookmarkStart w:id="7" w:name="_Toc4593"/>
            <w:r>
              <w:rPr>
                <w:rFonts w:hint="eastAsia"/>
                <w:color w:val="auto"/>
                <w:sz w:val="24"/>
              </w:rPr>
              <w:t>依据《清丰县人民政府办公室关于划分部分集中式饮用水水源保护区的通知》（清政办〔2019〕24号），对全县7个乡镇的8个水厂、21口井集中式饮用水水源保护区划定如下：</w:t>
            </w:r>
            <w:bookmarkEnd w:id="6"/>
            <w:bookmarkEnd w:id="7"/>
          </w:p>
          <w:p w14:paraId="1C18699C">
            <w:pPr>
              <w:snapToGrid w:val="0"/>
              <w:spacing w:line="360" w:lineRule="auto"/>
              <w:ind w:firstLine="480" w:firstLineChars="200"/>
              <w:textAlignment w:val="baseline"/>
              <w:rPr>
                <w:rFonts w:hint="eastAsia"/>
                <w:color w:val="auto"/>
                <w:sz w:val="24"/>
              </w:rPr>
            </w:pPr>
            <w:bookmarkStart w:id="8" w:name="_Toc3437"/>
            <w:bookmarkStart w:id="9" w:name="_Toc2005"/>
            <w:r>
              <w:rPr>
                <w:rFonts w:hint="eastAsia"/>
                <w:color w:val="auto"/>
                <w:sz w:val="24"/>
              </w:rPr>
              <w:t>（一）高堡乡</w:t>
            </w:r>
            <w:bookmarkEnd w:id="8"/>
            <w:bookmarkEnd w:id="9"/>
          </w:p>
          <w:p w14:paraId="1199F332">
            <w:pPr>
              <w:snapToGrid w:val="0"/>
              <w:spacing w:line="360" w:lineRule="auto"/>
              <w:ind w:firstLine="480" w:firstLineChars="200"/>
              <w:textAlignment w:val="baseline"/>
              <w:rPr>
                <w:rFonts w:hint="eastAsia"/>
                <w:color w:val="auto"/>
                <w:sz w:val="24"/>
              </w:rPr>
            </w:pPr>
            <w:bookmarkStart w:id="10" w:name="_Toc16137"/>
            <w:bookmarkStart w:id="11" w:name="_Toc18740"/>
            <w:r>
              <w:rPr>
                <w:rFonts w:hint="eastAsia"/>
                <w:color w:val="auto"/>
                <w:sz w:val="24"/>
              </w:rPr>
              <w:t>1．清丰县高堡乡王庄供水厂饮用水源保护区</w:t>
            </w:r>
            <w:bookmarkEnd w:id="10"/>
            <w:bookmarkEnd w:id="11"/>
          </w:p>
          <w:p w14:paraId="2F97D44B">
            <w:pPr>
              <w:snapToGrid w:val="0"/>
              <w:spacing w:line="360" w:lineRule="auto"/>
              <w:ind w:firstLine="480" w:firstLineChars="200"/>
              <w:textAlignment w:val="baseline"/>
              <w:rPr>
                <w:rFonts w:hint="eastAsia"/>
                <w:color w:val="auto"/>
                <w:sz w:val="24"/>
              </w:rPr>
            </w:pPr>
            <w:bookmarkStart w:id="12" w:name="_Toc16852"/>
            <w:bookmarkStart w:id="13" w:name="_Toc8182"/>
            <w:r>
              <w:rPr>
                <w:rFonts w:hint="eastAsia"/>
                <w:color w:val="auto"/>
                <w:sz w:val="24"/>
              </w:rPr>
              <w:t>一级保护区范围：以外围井的外接多边形为边界，向外径向30米距离的区域。</w:t>
            </w:r>
            <w:bookmarkEnd w:id="12"/>
            <w:bookmarkEnd w:id="13"/>
          </w:p>
          <w:p w14:paraId="7C09C8E0">
            <w:pPr>
              <w:snapToGrid w:val="0"/>
              <w:spacing w:line="360" w:lineRule="auto"/>
              <w:ind w:firstLine="480" w:firstLineChars="200"/>
              <w:textAlignment w:val="baseline"/>
              <w:rPr>
                <w:rFonts w:hint="eastAsia"/>
                <w:color w:val="auto"/>
                <w:sz w:val="24"/>
              </w:rPr>
            </w:pPr>
            <w:bookmarkStart w:id="14" w:name="_Toc2541"/>
            <w:bookmarkStart w:id="15" w:name="_Toc13853"/>
            <w:r>
              <w:rPr>
                <w:rFonts w:hint="eastAsia"/>
                <w:color w:val="auto"/>
                <w:sz w:val="24"/>
              </w:rPr>
              <w:t>2．清丰县高堡乡第三供水厂饮用水源保护区</w:t>
            </w:r>
            <w:bookmarkEnd w:id="14"/>
            <w:bookmarkEnd w:id="15"/>
          </w:p>
          <w:p w14:paraId="3F03132C">
            <w:pPr>
              <w:snapToGrid w:val="0"/>
              <w:spacing w:line="360" w:lineRule="auto"/>
              <w:ind w:firstLine="480" w:firstLineChars="200"/>
              <w:textAlignment w:val="baseline"/>
              <w:rPr>
                <w:rFonts w:hint="eastAsia"/>
                <w:color w:val="auto"/>
                <w:sz w:val="24"/>
              </w:rPr>
            </w:pPr>
            <w:bookmarkStart w:id="16" w:name="_Toc14927"/>
            <w:bookmarkStart w:id="17" w:name="_Toc8993"/>
            <w:r>
              <w:rPr>
                <w:rFonts w:hint="eastAsia"/>
                <w:color w:val="auto"/>
                <w:sz w:val="24"/>
              </w:rPr>
              <w:t>一级保护区范围：1号水井以开采井为中心，半径30米的区域；2号水井以开采井为中心，半径30米的区域；3号水井以开采井为中心，半径30米的区域。</w:t>
            </w:r>
            <w:bookmarkEnd w:id="16"/>
            <w:bookmarkEnd w:id="17"/>
          </w:p>
          <w:p w14:paraId="7EA60E55">
            <w:pPr>
              <w:snapToGrid w:val="0"/>
              <w:spacing w:line="360" w:lineRule="auto"/>
              <w:ind w:firstLine="480" w:firstLineChars="200"/>
              <w:textAlignment w:val="baseline"/>
              <w:rPr>
                <w:rFonts w:hint="eastAsia"/>
                <w:color w:val="auto"/>
                <w:sz w:val="24"/>
              </w:rPr>
            </w:pPr>
            <w:bookmarkStart w:id="18" w:name="_Toc11451"/>
            <w:bookmarkStart w:id="19" w:name="_Toc17781"/>
            <w:r>
              <w:rPr>
                <w:rFonts w:hint="eastAsia"/>
                <w:color w:val="auto"/>
                <w:sz w:val="24"/>
              </w:rPr>
              <w:t>（二）纸房乡</w:t>
            </w:r>
            <w:bookmarkEnd w:id="18"/>
            <w:bookmarkEnd w:id="19"/>
          </w:p>
          <w:p w14:paraId="7EF74BF3">
            <w:pPr>
              <w:snapToGrid w:val="0"/>
              <w:spacing w:line="360" w:lineRule="auto"/>
              <w:ind w:firstLine="480" w:firstLineChars="200"/>
              <w:textAlignment w:val="baseline"/>
              <w:rPr>
                <w:rFonts w:hint="eastAsia"/>
                <w:color w:val="auto"/>
                <w:sz w:val="24"/>
              </w:rPr>
            </w:pPr>
            <w:bookmarkStart w:id="20" w:name="_Toc22978"/>
            <w:bookmarkStart w:id="21" w:name="_Toc21313"/>
            <w:r>
              <w:rPr>
                <w:rFonts w:hint="eastAsia"/>
                <w:color w:val="auto"/>
                <w:sz w:val="24"/>
              </w:rPr>
              <w:t>清丰县纸房乡谢朱娄供水厂饮用水源保护区</w:t>
            </w:r>
            <w:bookmarkEnd w:id="20"/>
            <w:bookmarkEnd w:id="21"/>
          </w:p>
          <w:p w14:paraId="170DE4A5">
            <w:pPr>
              <w:snapToGrid w:val="0"/>
              <w:spacing w:line="360" w:lineRule="auto"/>
              <w:ind w:firstLine="480" w:firstLineChars="200"/>
              <w:textAlignment w:val="baseline"/>
              <w:rPr>
                <w:rFonts w:hint="eastAsia"/>
                <w:color w:val="auto"/>
                <w:sz w:val="24"/>
              </w:rPr>
            </w:pPr>
            <w:bookmarkStart w:id="22" w:name="_Toc17610"/>
            <w:bookmarkStart w:id="23" w:name="_Toc3297"/>
            <w:r>
              <w:rPr>
                <w:rFonts w:hint="eastAsia"/>
                <w:color w:val="auto"/>
                <w:sz w:val="24"/>
              </w:rPr>
              <w:t>一级保护区范围：以外围井的外接多边形为边界，向外径向30米距离的区域。</w:t>
            </w:r>
            <w:bookmarkEnd w:id="22"/>
            <w:bookmarkEnd w:id="23"/>
          </w:p>
          <w:p w14:paraId="4CB12E21">
            <w:pPr>
              <w:snapToGrid w:val="0"/>
              <w:spacing w:line="360" w:lineRule="auto"/>
              <w:ind w:firstLine="480" w:firstLineChars="200"/>
              <w:textAlignment w:val="baseline"/>
              <w:rPr>
                <w:rFonts w:hint="eastAsia"/>
                <w:color w:val="auto"/>
                <w:sz w:val="24"/>
              </w:rPr>
            </w:pPr>
            <w:bookmarkStart w:id="24" w:name="_Toc13014"/>
            <w:bookmarkStart w:id="25" w:name="_Toc28761"/>
            <w:r>
              <w:rPr>
                <w:rFonts w:hint="eastAsia"/>
                <w:color w:val="auto"/>
                <w:sz w:val="24"/>
              </w:rPr>
              <w:t>（三）瓦屋头镇</w:t>
            </w:r>
            <w:bookmarkEnd w:id="24"/>
            <w:bookmarkEnd w:id="25"/>
          </w:p>
          <w:p w14:paraId="76043C92">
            <w:pPr>
              <w:snapToGrid w:val="0"/>
              <w:spacing w:line="360" w:lineRule="auto"/>
              <w:ind w:firstLine="480" w:firstLineChars="200"/>
              <w:textAlignment w:val="baseline"/>
              <w:rPr>
                <w:rFonts w:hint="eastAsia"/>
                <w:color w:val="auto"/>
                <w:sz w:val="24"/>
              </w:rPr>
            </w:pPr>
            <w:bookmarkStart w:id="26" w:name="_Toc14956"/>
            <w:bookmarkStart w:id="27" w:name="_Toc31019"/>
            <w:r>
              <w:rPr>
                <w:rFonts w:hint="eastAsia"/>
                <w:color w:val="auto"/>
                <w:sz w:val="24"/>
              </w:rPr>
              <w:t>清丰县瓦屋头镇第二供水厂饮用水源保护区</w:t>
            </w:r>
            <w:bookmarkEnd w:id="26"/>
            <w:bookmarkEnd w:id="27"/>
          </w:p>
          <w:p w14:paraId="22FDFA8D">
            <w:pPr>
              <w:snapToGrid w:val="0"/>
              <w:spacing w:line="360" w:lineRule="auto"/>
              <w:ind w:firstLine="480" w:firstLineChars="200"/>
              <w:textAlignment w:val="baseline"/>
              <w:rPr>
                <w:rFonts w:hint="eastAsia"/>
                <w:color w:val="auto"/>
                <w:sz w:val="24"/>
              </w:rPr>
            </w:pPr>
            <w:bookmarkStart w:id="28" w:name="_Toc11140"/>
            <w:bookmarkStart w:id="29" w:name="_Toc32223"/>
            <w:r>
              <w:rPr>
                <w:rFonts w:hint="eastAsia"/>
                <w:color w:val="auto"/>
                <w:sz w:val="24"/>
              </w:rPr>
              <w:t>一级保护区范围：1号水井以开采井为中心，半径30米的区域；2号水井以开采井为中心，半径30米的区域，其中西侧以道路为界；3号水井以开采井为中心，半径30米的区域；4号水井以开采井为中心，半径30米的区域，其中南侧以瓦屋头镇第二中学北侧外墙为界。</w:t>
            </w:r>
            <w:bookmarkEnd w:id="28"/>
            <w:bookmarkEnd w:id="29"/>
          </w:p>
          <w:p w14:paraId="40EB6AFF">
            <w:pPr>
              <w:snapToGrid w:val="0"/>
              <w:spacing w:line="360" w:lineRule="auto"/>
              <w:ind w:firstLine="480" w:firstLineChars="200"/>
              <w:textAlignment w:val="baseline"/>
              <w:rPr>
                <w:rFonts w:hint="eastAsia"/>
                <w:color w:val="auto"/>
                <w:sz w:val="24"/>
              </w:rPr>
            </w:pPr>
            <w:bookmarkStart w:id="30" w:name="_Toc15010"/>
            <w:bookmarkStart w:id="31" w:name="_Toc30385"/>
            <w:r>
              <w:rPr>
                <w:rFonts w:hint="eastAsia"/>
                <w:color w:val="auto"/>
                <w:sz w:val="24"/>
              </w:rPr>
              <w:t>（四）马庄桥镇</w:t>
            </w:r>
            <w:bookmarkEnd w:id="30"/>
            <w:bookmarkEnd w:id="31"/>
          </w:p>
          <w:p w14:paraId="30BF87E6">
            <w:pPr>
              <w:snapToGrid w:val="0"/>
              <w:spacing w:line="360" w:lineRule="auto"/>
              <w:ind w:firstLine="480" w:firstLineChars="200"/>
              <w:textAlignment w:val="baseline"/>
              <w:rPr>
                <w:rFonts w:hint="eastAsia"/>
                <w:color w:val="auto"/>
                <w:sz w:val="24"/>
              </w:rPr>
            </w:pPr>
            <w:bookmarkStart w:id="32" w:name="_Toc2603"/>
            <w:bookmarkStart w:id="33" w:name="_Toc14398"/>
            <w:r>
              <w:rPr>
                <w:rFonts w:hint="eastAsia"/>
                <w:color w:val="auto"/>
                <w:sz w:val="24"/>
              </w:rPr>
              <w:t>清丰县马庄桥镇供水厂饮用水源保护区</w:t>
            </w:r>
            <w:bookmarkEnd w:id="32"/>
            <w:bookmarkEnd w:id="33"/>
          </w:p>
          <w:p w14:paraId="0AC30992">
            <w:pPr>
              <w:snapToGrid w:val="0"/>
              <w:spacing w:line="360" w:lineRule="auto"/>
              <w:ind w:firstLine="480" w:firstLineChars="200"/>
              <w:textAlignment w:val="baseline"/>
              <w:rPr>
                <w:rFonts w:hint="eastAsia"/>
                <w:color w:val="auto"/>
                <w:sz w:val="24"/>
              </w:rPr>
            </w:pPr>
            <w:bookmarkStart w:id="34" w:name="_Toc16288"/>
            <w:bookmarkStart w:id="35" w:name="_Toc9783"/>
            <w:r>
              <w:rPr>
                <w:rFonts w:hint="eastAsia"/>
                <w:color w:val="auto"/>
                <w:sz w:val="24"/>
              </w:rPr>
              <w:t>一级保护区范围：以外围井的外接多边形为边界，向外径向30米距离的区域。</w:t>
            </w:r>
            <w:bookmarkEnd w:id="34"/>
            <w:bookmarkEnd w:id="35"/>
          </w:p>
          <w:p w14:paraId="7422160A">
            <w:pPr>
              <w:snapToGrid w:val="0"/>
              <w:spacing w:line="360" w:lineRule="auto"/>
              <w:ind w:firstLine="480" w:firstLineChars="200"/>
              <w:textAlignment w:val="baseline"/>
              <w:rPr>
                <w:rFonts w:hint="eastAsia"/>
                <w:color w:val="auto"/>
                <w:sz w:val="24"/>
              </w:rPr>
            </w:pPr>
            <w:bookmarkStart w:id="36" w:name="_Toc12498"/>
            <w:bookmarkStart w:id="37" w:name="_Toc21125"/>
            <w:r>
              <w:rPr>
                <w:rFonts w:hint="eastAsia"/>
                <w:color w:val="auto"/>
                <w:sz w:val="24"/>
              </w:rPr>
              <w:t>（五）大流乡</w:t>
            </w:r>
            <w:bookmarkEnd w:id="36"/>
            <w:bookmarkEnd w:id="37"/>
          </w:p>
          <w:p w14:paraId="7C209E4E">
            <w:pPr>
              <w:snapToGrid w:val="0"/>
              <w:spacing w:line="360" w:lineRule="auto"/>
              <w:ind w:firstLine="480" w:firstLineChars="200"/>
              <w:textAlignment w:val="baseline"/>
              <w:rPr>
                <w:rFonts w:hint="eastAsia"/>
                <w:color w:val="auto"/>
                <w:sz w:val="24"/>
              </w:rPr>
            </w:pPr>
            <w:bookmarkStart w:id="38" w:name="_Toc14138"/>
            <w:bookmarkStart w:id="39" w:name="_Toc14490"/>
            <w:r>
              <w:rPr>
                <w:rFonts w:hint="eastAsia"/>
                <w:color w:val="auto"/>
                <w:sz w:val="24"/>
              </w:rPr>
              <w:t>清丰县大流乡供水厂饮用水源保护区</w:t>
            </w:r>
            <w:bookmarkEnd w:id="38"/>
            <w:bookmarkEnd w:id="39"/>
          </w:p>
          <w:p w14:paraId="12D8452A">
            <w:pPr>
              <w:snapToGrid w:val="0"/>
              <w:spacing w:line="360" w:lineRule="auto"/>
              <w:ind w:firstLine="480" w:firstLineChars="200"/>
              <w:textAlignment w:val="baseline"/>
              <w:rPr>
                <w:rFonts w:hint="eastAsia"/>
                <w:color w:val="auto"/>
                <w:sz w:val="24"/>
              </w:rPr>
            </w:pPr>
            <w:bookmarkStart w:id="40" w:name="_Toc31461"/>
            <w:bookmarkStart w:id="41" w:name="_Toc19295"/>
            <w:r>
              <w:rPr>
                <w:rFonts w:hint="eastAsia"/>
                <w:color w:val="auto"/>
                <w:sz w:val="24"/>
              </w:rPr>
              <w:t>一级保护区范围：1号井以单个开采井为中心，半径30米的区域；2号与3号井以外围井的外接多边形为边界，向外径向30米距离的区域。</w:t>
            </w:r>
            <w:bookmarkEnd w:id="40"/>
            <w:bookmarkEnd w:id="41"/>
          </w:p>
          <w:p w14:paraId="66118533">
            <w:pPr>
              <w:snapToGrid w:val="0"/>
              <w:spacing w:line="360" w:lineRule="auto"/>
              <w:ind w:firstLine="480" w:firstLineChars="200"/>
              <w:textAlignment w:val="baseline"/>
              <w:rPr>
                <w:rFonts w:hint="eastAsia"/>
                <w:color w:val="auto"/>
                <w:sz w:val="24"/>
              </w:rPr>
            </w:pPr>
            <w:bookmarkStart w:id="42" w:name="_Toc30153"/>
            <w:bookmarkStart w:id="43" w:name="_Toc14546"/>
            <w:r>
              <w:rPr>
                <w:rFonts w:hint="eastAsia"/>
                <w:color w:val="auto"/>
                <w:sz w:val="24"/>
              </w:rPr>
              <w:t>（六）双庙乡</w:t>
            </w:r>
            <w:bookmarkEnd w:id="42"/>
            <w:bookmarkEnd w:id="43"/>
          </w:p>
          <w:p w14:paraId="5C000864">
            <w:pPr>
              <w:snapToGrid w:val="0"/>
              <w:spacing w:line="360" w:lineRule="auto"/>
              <w:ind w:firstLine="480" w:firstLineChars="200"/>
              <w:textAlignment w:val="baseline"/>
              <w:rPr>
                <w:rFonts w:hint="eastAsia"/>
                <w:color w:val="auto"/>
                <w:sz w:val="24"/>
              </w:rPr>
            </w:pPr>
            <w:bookmarkStart w:id="44" w:name="_Toc5057"/>
            <w:bookmarkStart w:id="45" w:name="_Toc24769"/>
            <w:r>
              <w:rPr>
                <w:rFonts w:hint="eastAsia"/>
                <w:color w:val="auto"/>
                <w:sz w:val="24"/>
              </w:rPr>
              <w:t>清丰县双庙乡供水厂饮用水源保护区</w:t>
            </w:r>
            <w:bookmarkEnd w:id="44"/>
            <w:bookmarkEnd w:id="45"/>
          </w:p>
          <w:p w14:paraId="0CB71CB9">
            <w:pPr>
              <w:snapToGrid w:val="0"/>
              <w:spacing w:line="360" w:lineRule="auto"/>
              <w:ind w:firstLine="480" w:firstLineChars="200"/>
              <w:textAlignment w:val="baseline"/>
              <w:rPr>
                <w:rFonts w:hint="eastAsia"/>
                <w:color w:val="auto"/>
                <w:sz w:val="24"/>
              </w:rPr>
            </w:pPr>
            <w:bookmarkStart w:id="46" w:name="_Toc21024"/>
            <w:bookmarkStart w:id="47" w:name="_Toc3661"/>
            <w:r>
              <w:rPr>
                <w:rFonts w:hint="eastAsia"/>
                <w:color w:val="auto"/>
                <w:sz w:val="24"/>
              </w:rPr>
              <w:t>一级保护区范围：1号井以单个开采井为中心，半径30米的区域；2号井以单个开采井为中心，半径30米的区域。</w:t>
            </w:r>
            <w:bookmarkEnd w:id="46"/>
            <w:bookmarkEnd w:id="47"/>
          </w:p>
          <w:p w14:paraId="011B1726">
            <w:pPr>
              <w:snapToGrid w:val="0"/>
              <w:spacing w:line="360" w:lineRule="auto"/>
              <w:ind w:firstLine="480" w:firstLineChars="200"/>
              <w:textAlignment w:val="baseline"/>
              <w:rPr>
                <w:rFonts w:hint="eastAsia"/>
                <w:color w:val="auto"/>
                <w:sz w:val="24"/>
              </w:rPr>
            </w:pPr>
            <w:bookmarkStart w:id="48" w:name="_Toc29455"/>
            <w:bookmarkStart w:id="49" w:name="_Toc16801"/>
            <w:r>
              <w:rPr>
                <w:rFonts w:hint="eastAsia"/>
                <w:color w:val="auto"/>
                <w:sz w:val="24"/>
              </w:rPr>
              <w:t>（七）柳格镇</w:t>
            </w:r>
            <w:bookmarkEnd w:id="48"/>
            <w:bookmarkEnd w:id="49"/>
          </w:p>
          <w:p w14:paraId="55C6FD99">
            <w:pPr>
              <w:snapToGrid w:val="0"/>
              <w:spacing w:line="360" w:lineRule="auto"/>
              <w:ind w:firstLine="480" w:firstLineChars="200"/>
              <w:textAlignment w:val="baseline"/>
              <w:rPr>
                <w:rFonts w:hint="eastAsia"/>
                <w:color w:val="auto"/>
                <w:sz w:val="24"/>
              </w:rPr>
            </w:pPr>
            <w:bookmarkStart w:id="50" w:name="_Toc22772"/>
            <w:bookmarkStart w:id="51" w:name="_Toc9286"/>
            <w:r>
              <w:rPr>
                <w:rFonts w:hint="eastAsia"/>
                <w:color w:val="auto"/>
                <w:sz w:val="24"/>
              </w:rPr>
              <w:t>清丰县柳格镇供水厂饮用水源保护区</w:t>
            </w:r>
            <w:bookmarkEnd w:id="50"/>
            <w:bookmarkEnd w:id="51"/>
          </w:p>
          <w:p w14:paraId="58ADC892">
            <w:pPr>
              <w:snapToGrid w:val="0"/>
              <w:spacing w:line="360" w:lineRule="auto"/>
              <w:ind w:firstLine="480" w:firstLineChars="200"/>
              <w:textAlignment w:val="baseline"/>
              <w:rPr>
                <w:rFonts w:hint="eastAsia"/>
                <w:color w:val="auto"/>
                <w:sz w:val="24"/>
              </w:rPr>
            </w:pPr>
            <w:bookmarkStart w:id="52" w:name="_Toc28773"/>
            <w:bookmarkStart w:id="53" w:name="_Toc15130"/>
            <w:r>
              <w:rPr>
                <w:rFonts w:hint="eastAsia"/>
                <w:color w:val="auto"/>
                <w:sz w:val="24"/>
              </w:rPr>
              <w:t>一级保护区范围：1号井以单个开采井为中心，半径30米的区域。</w:t>
            </w:r>
            <w:bookmarkEnd w:id="52"/>
            <w:bookmarkEnd w:id="53"/>
          </w:p>
          <w:p w14:paraId="4FA62A6A">
            <w:pPr>
              <w:snapToGrid w:val="0"/>
              <w:spacing w:line="360" w:lineRule="auto"/>
              <w:ind w:firstLine="480" w:firstLineChars="200"/>
              <w:textAlignment w:val="baseline"/>
              <w:rPr>
                <w:rFonts w:hint="eastAsia"/>
                <w:color w:val="auto"/>
                <w:sz w:val="24"/>
              </w:rPr>
            </w:pPr>
            <w:bookmarkStart w:id="54" w:name="_Toc9474"/>
            <w:bookmarkStart w:id="55" w:name="_Toc23653"/>
            <w:r>
              <w:rPr>
                <w:rFonts w:hint="eastAsia"/>
                <w:color w:val="auto"/>
                <w:sz w:val="24"/>
              </w:rPr>
              <w:t>距离本项目最近的乡镇饮用水源地保护区为清丰县柳格镇供水厂饮用水源保护区，位于本项目厂址东南侧约2.5km，不在清丰县柳格镇供水厂饮用水源保护区范围内，符合清丰县饮用水水源地保护规划。</w:t>
            </w:r>
            <w:bookmarkEnd w:id="54"/>
            <w:bookmarkEnd w:id="55"/>
          </w:p>
          <w:p w14:paraId="2D9AAB51">
            <w:pPr>
              <w:spacing w:line="360" w:lineRule="auto"/>
              <w:rPr>
                <w:b/>
                <w:bCs/>
                <w:color w:val="auto"/>
                <w:sz w:val="24"/>
              </w:rPr>
            </w:pPr>
            <w:r>
              <w:rPr>
                <w:b/>
                <w:bCs/>
                <w:color w:val="auto"/>
                <w:sz w:val="24"/>
              </w:rPr>
              <w:t>3、</w:t>
            </w:r>
            <w:r>
              <w:rPr>
                <w:rFonts w:hint="eastAsia" w:ascii="宋体" w:hAnsi="宋体" w:cs="宋体"/>
                <w:b/>
                <w:bCs/>
                <w:color w:val="auto"/>
                <w:sz w:val="24"/>
              </w:rPr>
              <w:t>“三线一单”</w:t>
            </w:r>
            <w:r>
              <w:rPr>
                <w:b/>
                <w:bCs/>
                <w:color w:val="auto"/>
                <w:sz w:val="24"/>
              </w:rPr>
              <w:t>相符性分析</w:t>
            </w:r>
          </w:p>
          <w:p w14:paraId="1F455657">
            <w:pPr>
              <w:snapToGrid w:val="0"/>
              <w:spacing w:line="360" w:lineRule="auto"/>
              <w:ind w:firstLine="480" w:firstLineChars="200"/>
              <w:rPr>
                <w:rFonts w:hint="eastAsia"/>
                <w:color w:val="auto"/>
                <w:kern w:val="44"/>
                <w:sz w:val="24"/>
              </w:rPr>
            </w:pPr>
            <w:r>
              <w:rPr>
                <w:rFonts w:hint="eastAsia"/>
                <w:color w:val="auto"/>
                <w:kern w:val="44"/>
                <w:sz w:val="24"/>
              </w:rPr>
              <w:t>（1）生态保护红线</w:t>
            </w:r>
          </w:p>
          <w:p w14:paraId="2D59D514">
            <w:pPr>
              <w:snapToGrid w:val="0"/>
              <w:spacing w:line="360" w:lineRule="auto"/>
              <w:ind w:firstLine="480" w:firstLineChars="200"/>
              <w:rPr>
                <w:rFonts w:hint="eastAsia"/>
                <w:color w:val="auto"/>
                <w:kern w:val="44"/>
                <w:sz w:val="24"/>
              </w:rPr>
            </w:pPr>
            <w:r>
              <w:rPr>
                <w:rFonts w:hint="eastAsia"/>
                <w:color w:val="auto"/>
                <w:kern w:val="44"/>
                <w:sz w:val="24"/>
              </w:rPr>
              <w:t>根据《河南省生态环境分区管控总体要求（试行）》中河南省生态空间总体准入要求-生态保护红线总体要求如下：除国家重大战略项目外，仅允许对生态功能不造成破坏的有限人为活动，主要包括：零星的原住民在不扩大现有建设用地和耕地规模前提下，修缮生产生活设施，保留生活必需的少量种植、放牧、捕捞、养殖；因国家重大能源资源安全需要开展的战略性能源资源勘查，公益性自然资源调查和地质勘查；自然资源、生态环境监测和执法包括水文水资源监测及涉水违法事件的查处等，灾害防治和应急抢险活动；经依法批准进行的非破坏性科学研究观测、标本采集；经依法批准的考古调查发掘和文物保护活动；不破坏生态功能的适度参观旅游和相关的必要公共设施建设；必须且无法避让、符合县级以上国土空间规划的线性基础设施建设、防洪和供水设施建设与运行维护；重要生态修复工程。</w:t>
            </w:r>
          </w:p>
          <w:p w14:paraId="0DDEA37B">
            <w:pPr>
              <w:snapToGrid w:val="0"/>
              <w:spacing w:line="360" w:lineRule="auto"/>
              <w:ind w:firstLine="480" w:firstLineChars="200"/>
              <w:rPr>
                <w:rFonts w:hint="eastAsia"/>
                <w:color w:val="auto"/>
                <w:kern w:val="44"/>
                <w:sz w:val="24"/>
              </w:rPr>
            </w:pPr>
            <w:r>
              <w:rPr>
                <w:rFonts w:hint="eastAsia"/>
                <w:color w:val="auto"/>
                <w:kern w:val="44"/>
                <w:sz w:val="24"/>
              </w:rPr>
              <w:t>本项目位于濮阳市清丰县先进制造业开发区，用地性质为工业用地，项目选址不涉及自然保护区、风景名胜区、森林公园、饮用水源保护区等，不涉及生态保护红线。</w:t>
            </w:r>
          </w:p>
          <w:p w14:paraId="206E99E4">
            <w:pPr>
              <w:spacing w:line="360" w:lineRule="auto"/>
              <w:ind w:firstLine="480" w:firstLineChars="200"/>
              <w:rPr>
                <w:rFonts w:hint="eastAsia"/>
                <w:color w:val="auto"/>
                <w:kern w:val="44"/>
                <w:sz w:val="24"/>
              </w:rPr>
            </w:pPr>
            <w:r>
              <w:rPr>
                <w:rFonts w:hint="eastAsia"/>
                <w:color w:val="auto"/>
                <w:kern w:val="44"/>
                <w:sz w:val="24"/>
              </w:rPr>
              <w:t>（2）环境质量底线</w:t>
            </w:r>
          </w:p>
          <w:p w14:paraId="7DE9FCB1">
            <w:pPr>
              <w:spacing w:line="360" w:lineRule="auto"/>
              <w:ind w:firstLine="480" w:firstLineChars="200"/>
              <w:rPr>
                <w:rFonts w:hint="eastAsia"/>
                <w:color w:val="auto"/>
                <w:kern w:val="44"/>
                <w:sz w:val="24"/>
              </w:rPr>
            </w:pPr>
            <w:r>
              <w:rPr>
                <w:rFonts w:hint="eastAsia"/>
                <w:color w:val="auto"/>
                <w:kern w:val="44"/>
                <w:sz w:val="24"/>
              </w:rPr>
              <w:t>环境空气质量PM</w:t>
            </w:r>
            <w:r>
              <w:rPr>
                <w:rFonts w:hint="eastAsia"/>
                <w:color w:val="auto"/>
                <w:kern w:val="44"/>
                <w:sz w:val="24"/>
                <w:vertAlign w:val="subscript"/>
              </w:rPr>
              <w:t>2.5</w:t>
            </w:r>
            <w:r>
              <w:rPr>
                <w:rFonts w:hint="eastAsia"/>
                <w:color w:val="auto"/>
                <w:kern w:val="44"/>
                <w:sz w:val="24"/>
              </w:rPr>
              <w:t>、PM</w:t>
            </w:r>
            <w:r>
              <w:rPr>
                <w:rFonts w:hint="eastAsia"/>
                <w:color w:val="auto"/>
                <w:kern w:val="44"/>
                <w:sz w:val="24"/>
                <w:vertAlign w:val="subscript"/>
              </w:rPr>
              <w:t>10</w:t>
            </w:r>
            <w:r>
              <w:rPr>
                <w:rFonts w:hint="eastAsia"/>
                <w:color w:val="auto"/>
                <w:kern w:val="44"/>
                <w:sz w:val="24"/>
              </w:rPr>
              <w:t>、O</w:t>
            </w:r>
            <w:r>
              <w:rPr>
                <w:rFonts w:hint="eastAsia"/>
                <w:color w:val="auto"/>
                <w:kern w:val="44"/>
                <w:sz w:val="24"/>
                <w:vertAlign w:val="subscript"/>
              </w:rPr>
              <w:t>3</w:t>
            </w:r>
            <w:r>
              <w:rPr>
                <w:rFonts w:hint="eastAsia"/>
                <w:color w:val="auto"/>
                <w:kern w:val="44"/>
                <w:sz w:val="24"/>
              </w:rPr>
              <w:t>监测值超出《环境空气质量标准》（GB3095-2012）及修改单二级标准；声环境质量满足《声环境质量标准》（GB3096-2008）3类标准。</w:t>
            </w:r>
          </w:p>
          <w:p w14:paraId="0E314CA1">
            <w:pPr>
              <w:spacing w:line="360" w:lineRule="auto"/>
              <w:ind w:firstLine="482" w:firstLineChars="200"/>
              <w:rPr>
                <w:rFonts w:hint="default" w:eastAsia="宋体"/>
                <w:b/>
                <w:bCs/>
                <w:color w:val="auto"/>
                <w:kern w:val="44"/>
                <w:sz w:val="24"/>
                <w:u w:val="single"/>
                <w:lang w:val="en-US" w:eastAsia="zh-CN"/>
              </w:rPr>
            </w:pPr>
            <w:r>
              <w:rPr>
                <w:rFonts w:hint="eastAsia"/>
                <w:b/>
                <w:bCs/>
                <w:color w:val="auto"/>
                <w:kern w:val="44"/>
                <w:sz w:val="24"/>
                <w:u w:val="single"/>
              </w:rPr>
              <w:t>本项目区域主要地表水体为潴泷河，属于马颊河的支流。根据2022年濮阳市生态环境局公布的《濮阳市环境质量月报》，选取距离本项目最近的2022年马颊河西吉七断面和下游2023年颊河南乐水文站断面水质进行评价，由常规监测数据统计分析可知，马颊河西吉七断面2022年NH</w:t>
            </w:r>
            <w:r>
              <w:rPr>
                <w:rFonts w:hint="eastAsia"/>
                <w:b/>
                <w:bCs/>
                <w:color w:val="auto"/>
                <w:kern w:val="44"/>
                <w:sz w:val="24"/>
                <w:u w:val="single"/>
                <w:vertAlign w:val="subscript"/>
              </w:rPr>
              <w:t>3</w:t>
            </w:r>
            <w:r>
              <w:rPr>
                <w:rFonts w:hint="eastAsia"/>
                <w:b/>
                <w:bCs/>
                <w:color w:val="auto"/>
                <w:kern w:val="44"/>
                <w:sz w:val="24"/>
                <w:u w:val="single"/>
              </w:rPr>
              <w:t>-N第三、四季度均有不同程度超标，2023年马颊河南乐水文站十一月份高锰酸盐指数、NH</w:t>
            </w:r>
            <w:r>
              <w:rPr>
                <w:rFonts w:hint="eastAsia"/>
                <w:b/>
                <w:bCs/>
                <w:color w:val="auto"/>
                <w:kern w:val="44"/>
                <w:sz w:val="24"/>
                <w:u w:val="single"/>
                <w:vertAlign w:val="subscript"/>
              </w:rPr>
              <w:t>3</w:t>
            </w:r>
            <w:r>
              <w:rPr>
                <w:rFonts w:hint="eastAsia"/>
                <w:b/>
                <w:bCs/>
                <w:color w:val="auto"/>
                <w:kern w:val="44"/>
                <w:sz w:val="24"/>
                <w:u w:val="single"/>
              </w:rPr>
              <w:t>-N、总磷超标；不能满足其IV类水体功能目标（高锰酸盐：10mg/L，氨氮：1.5mg/L，总磷：0.3mg/L）要求。超标原因主要是因为部分生活垃圾丢弃于河流沿岸，随雨水进入河流所致。同时，沿途部分村庄生活废水未经处理直接进入地表水体也对水质产生一定的影响。</w:t>
            </w:r>
            <w:r>
              <w:rPr>
                <w:rFonts w:hint="eastAsia"/>
                <w:b/>
                <w:bCs/>
                <w:color w:val="auto"/>
                <w:kern w:val="44"/>
                <w:sz w:val="24"/>
                <w:u w:val="single"/>
                <w:lang w:val="en-US" w:eastAsia="zh-CN"/>
              </w:rPr>
              <w:t>项目区域内地表水环境质量一般。</w:t>
            </w:r>
          </w:p>
          <w:p w14:paraId="5366FB02">
            <w:pPr>
              <w:spacing w:line="360" w:lineRule="auto"/>
              <w:ind w:firstLine="482" w:firstLineChars="200"/>
              <w:rPr>
                <w:rFonts w:hint="eastAsia"/>
                <w:b/>
                <w:bCs/>
                <w:color w:val="auto"/>
                <w:kern w:val="44"/>
                <w:sz w:val="24"/>
                <w:u w:val="single"/>
              </w:rPr>
            </w:pPr>
            <w:r>
              <w:rPr>
                <w:rFonts w:hint="eastAsia"/>
                <w:b/>
                <w:bCs/>
                <w:color w:val="auto"/>
                <w:kern w:val="44"/>
                <w:sz w:val="24"/>
                <w:u w:val="single"/>
              </w:rPr>
              <w:t>本项目废气、废水、土壤在采取报告中提出的治理措施后，能够达到相应的排放标准，因此对周边环境质量影响较小。</w:t>
            </w:r>
          </w:p>
          <w:p w14:paraId="43A9F350">
            <w:pPr>
              <w:spacing w:line="360" w:lineRule="auto"/>
              <w:ind w:firstLine="482" w:firstLineChars="200"/>
              <w:rPr>
                <w:rFonts w:hint="eastAsia"/>
                <w:b/>
                <w:bCs/>
                <w:color w:val="auto"/>
                <w:kern w:val="44"/>
                <w:sz w:val="24"/>
                <w:u w:val="single"/>
              </w:rPr>
            </w:pPr>
            <w:r>
              <w:rPr>
                <w:rFonts w:hint="eastAsia"/>
                <w:b/>
                <w:bCs/>
                <w:color w:val="auto"/>
                <w:kern w:val="44"/>
                <w:sz w:val="24"/>
                <w:u w:val="single"/>
              </w:rPr>
              <w:t>综上，本项目的建设运行不会突破项目所在地的环境质量底线，因此项目符合环境质量底线标准。</w:t>
            </w:r>
          </w:p>
          <w:p w14:paraId="4445BE38">
            <w:pPr>
              <w:spacing w:line="360" w:lineRule="auto"/>
              <w:ind w:firstLine="480" w:firstLineChars="200"/>
              <w:rPr>
                <w:rFonts w:hint="eastAsia"/>
                <w:color w:val="auto"/>
                <w:kern w:val="44"/>
                <w:sz w:val="24"/>
              </w:rPr>
            </w:pPr>
            <w:r>
              <w:rPr>
                <w:rFonts w:hint="eastAsia"/>
                <w:color w:val="auto"/>
                <w:kern w:val="44"/>
                <w:sz w:val="24"/>
              </w:rPr>
              <w:t>（2）资源利用上线</w:t>
            </w:r>
          </w:p>
          <w:p w14:paraId="2C48B275">
            <w:pPr>
              <w:spacing w:line="360" w:lineRule="auto"/>
              <w:ind w:firstLine="480" w:firstLineChars="200"/>
              <w:rPr>
                <w:rFonts w:hint="eastAsia"/>
                <w:color w:val="auto"/>
                <w:kern w:val="44"/>
                <w:sz w:val="24"/>
              </w:rPr>
            </w:pPr>
            <w:r>
              <w:rPr>
                <w:rFonts w:hint="eastAsia"/>
                <w:color w:val="auto"/>
                <w:kern w:val="44"/>
                <w:sz w:val="24"/>
              </w:rPr>
              <w:t>本项目运营期消耗资源主要为水、电等，项目资源消耗量相对区域资源利用总量较少；本项目用水主要为生活用水</w:t>
            </w:r>
            <w:r>
              <w:rPr>
                <w:rFonts w:hint="eastAsia"/>
                <w:b/>
                <w:bCs/>
                <w:color w:val="auto"/>
                <w:kern w:val="44"/>
                <w:sz w:val="24"/>
                <w:u w:val="single"/>
                <w:lang w:val="en-US" w:eastAsia="zh-CN"/>
              </w:rPr>
              <w:t>和水性漆调漆用水</w:t>
            </w:r>
            <w:r>
              <w:rPr>
                <w:rFonts w:hint="eastAsia"/>
                <w:color w:val="auto"/>
                <w:kern w:val="44"/>
                <w:sz w:val="24"/>
              </w:rPr>
              <w:t>，水资源不会突破资源利用上线；项目不涉及煤、天然气的使用，用电由集聚区电网供给，不会突破供电量使用上线；项目土地性质为工业用地，土地利用不会突破区域土地资源上线。</w:t>
            </w:r>
          </w:p>
          <w:p w14:paraId="25F1CADF">
            <w:pPr>
              <w:spacing w:line="360" w:lineRule="auto"/>
              <w:ind w:firstLine="480" w:firstLineChars="200"/>
              <w:rPr>
                <w:color w:val="auto"/>
                <w:kern w:val="44"/>
                <w:sz w:val="24"/>
              </w:rPr>
            </w:pPr>
            <w:r>
              <w:rPr>
                <w:rFonts w:hint="eastAsia"/>
                <w:color w:val="auto"/>
                <w:kern w:val="44"/>
                <w:sz w:val="24"/>
              </w:rPr>
              <w:t>（4）生态环境准入清单</w:t>
            </w:r>
          </w:p>
          <w:p w14:paraId="20AD3EA0">
            <w:pPr>
              <w:spacing w:line="360" w:lineRule="auto"/>
              <w:ind w:firstLine="456" w:firstLineChars="200"/>
              <w:rPr>
                <w:color w:val="auto"/>
                <w:sz w:val="24"/>
              </w:rPr>
            </w:pPr>
            <w:r>
              <w:rPr>
                <w:rFonts w:hint="eastAsia"/>
                <w:color w:val="auto"/>
                <w:spacing w:val="-6"/>
                <w:kern w:val="21"/>
                <w:sz w:val="24"/>
              </w:rPr>
              <w:t>本项目位于</w:t>
            </w:r>
            <w:r>
              <w:rPr>
                <w:rFonts w:hint="eastAsia"/>
                <w:color w:val="auto"/>
                <w:kern w:val="44"/>
                <w:sz w:val="24"/>
              </w:rPr>
              <w:t>濮阳市清丰县先进制造业开发区</w:t>
            </w:r>
            <w:r>
              <w:rPr>
                <w:rFonts w:hint="eastAsia"/>
                <w:color w:val="auto"/>
                <w:spacing w:val="-6"/>
                <w:kern w:val="21"/>
                <w:sz w:val="24"/>
              </w:rPr>
              <w:t>，</w:t>
            </w:r>
            <w:r>
              <w:rPr>
                <w:color w:val="auto"/>
                <w:sz w:val="24"/>
              </w:rPr>
              <w:t>根据</w:t>
            </w:r>
            <w:r>
              <w:rPr>
                <w:rFonts w:hint="eastAsia"/>
                <w:color w:val="auto"/>
                <w:sz w:val="24"/>
              </w:rPr>
              <w:t>河南省三线一单综合信息应用平台研判分析结果</w:t>
            </w:r>
            <w:r>
              <w:rPr>
                <w:color w:val="auto"/>
                <w:sz w:val="24"/>
              </w:rPr>
              <w:t>，本项目与</w:t>
            </w:r>
            <w:r>
              <w:rPr>
                <w:rFonts w:hint="eastAsia"/>
                <w:color w:val="auto"/>
                <w:sz w:val="24"/>
              </w:rPr>
              <w:t>濮阳</w:t>
            </w:r>
            <w:r>
              <w:rPr>
                <w:rFonts w:hint="eastAsia" w:ascii="宋体" w:hAnsi="宋体" w:cs="宋体"/>
                <w:color w:val="auto"/>
                <w:sz w:val="24"/>
              </w:rPr>
              <w:t>市“三线一单”生态</w:t>
            </w:r>
            <w:r>
              <w:rPr>
                <w:color w:val="auto"/>
                <w:sz w:val="24"/>
              </w:rPr>
              <w:t>环境分区管控相符性分析</w:t>
            </w:r>
            <w:r>
              <w:rPr>
                <w:rFonts w:hint="eastAsia"/>
                <w:color w:val="auto"/>
                <w:sz w:val="24"/>
              </w:rPr>
              <w:t>如下：</w:t>
            </w:r>
          </w:p>
          <w:p w14:paraId="690EFA1E">
            <w:pPr>
              <w:spacing w:line="360" w:lineRule="auto"/>
              <w:ind w:firstLine="480" w:firstLineChars="200"/>
              <w:rPr>
                <w:color w:val="auto"/>
                <w:kern w:val="44"/>
                <w:sz w:val="24"/>
              </w:rPr>
            </w:pPr>
            <w:r>
              <w:rPr>
                <w:color w:val="auto"/>
                <w:kern w:val="44"/>
                <w:sz w:val="24"/>
              </w:rPr>
              <w:fldChar w:fldCharType="begin"/>
            </w:r>
            <w:r>
              <w:rPr>
                <w:color w:val="auto"/>
                <w:kern w:val="44"/>
                <w:sz w:val="24"/>
              </w:rPr>
              <w:instrText xml:space="preserve"> = 1 \* GB3 \* MERGEFORMAT </w:instrText>
            </w:r>
            <w:r>
              <w:rPr>
                <w:color w:val="auto"/>
                <w:kern w:val="44"/>
                <w:sz w:val="24"/>
              </w:rPr>
              <w:fldChar w:fldCharType="separate"/>
            </w:r>
            <w:r>
              <w:rPr>
                <w:color w:val="auto"/>
              </w:rPr>
              <w:t>①</w:t>
            </w:r>
            <w:r>
              <w:rPr>
                <w:color w:val="auto"/>
                <w:kern w:val="44"/>
                <w:sz w:val="24"/>
              </w:rPr>
              <w:fldChar w:fldCharType="end"/>
            </w:r>
            <w:r>
              <w:rPr>
                <w:color w:val="auto"/>
                <w:kern w:val="44"/>
                <w:sz w:val="24"/>
              </w:rPr>
              <w:t>空间冲突</w:t>
            </w:r>
          </w:p>
          <w:p w14:paraId="7346896D">
            <w:pPr>
              <w:spacing w:line="360" w:lineRule="auto"/>
              <w:ind w:firstLine="480" w:firstLineChars="200"/>
              <w:rPr>
                <w:color w:val="auto"/>
                <w:kern w:val="44"/>
                <w:sz w:val="24"/>
              </w:rPr>
            </w:pPr>
            <w:r>
              <w:rPr>
                <w:color w:val="auto"/>
                <w:kern w:val="44"/>
                <w:sz w:val="24"/>
              </w:rPr>
              <w:t>初步判定该项目无空间冲突。</w:t>
            </w:r>
          </w:p>
          <w:p w14:paraId="72616FAA">
            <w:pPr>
              <w:spacing w:line="360" w:lineRule="auto"/>
              <w:ind w:firstLine="480" w:firstLineChars="200"/>
              <w:rPr>
                <w:color w:val="auto"/>
                <w:kern w:val="44"/>
                <w:sz w:val="24"/>
              </w:rPr>
            </w:pPr>
            <w:r>
              <w:rPr>
                <w:color w:val="auto"/>
                <w:kern w:val="44"/>
                <w:sz w:val="24"/>
              </w:rPr>
              <w:fldChar w:fldCharType="begin"/>
            </w:r>
            <w:r>
              <w:rPr>
                <w:color w:val="auto"/>
                <w:kern w:val="44"/>
                <w:sz w:val="24"/>
              </w:rPr>
              <w:instrText xml:space="preserve"> = 2 \* GB3 \* MERGEFORMAT </w:instrText>
            </w:r>
            <w:r>
              <w:rPr>
                <w:color w:val="auto"/>
                <w:kern w:val="44"/>
                <w:sz w:val="24"/>
              </w:rPr>
              <w:fldChar w:fldCharType="separate"/>
            </w:r>
            <w:r>
              <w:rPr>
                <w:color w:val="auto"/>
              </w:rPr>
              <w:t>②</w:t>
            </w:r>
            <w:r>
              <w:rPr>
                <w:color w:val="auto"/>
                <w:kern w:val="44"/>
                <w:sz w:val="24"/>
              </w:rPr>
              <w:fldChar w:fldCharType="end"/>
            </w:r>
            <w:r>
              <w:rPr>
                <w:color w:val="auto"/>
                <w:kern w:val="44"/>
                <w:sz w:val="24"/>
              </w:rPr>
              <w:t>项目涉及的各类管控分区有关情况</w:t>
            </w:r>
          </w:p>
          <w:p w14:paraId="4CE4EF43">
            <w:pPr>
              <w:spacing w:line="360" w:lineRule="auto"/>
              <w:ind w:firstLine="480" w:firstLineChars="200"/>
              <w:rPr>
                <w:color w:val="auto"/>
                <w:kern w:val="44"/>
                <w:sz w:val="24"/>
              </w:rPr>
            </w:pPr>
            <w:r>
              <w:rPr>
                <w:color w:val="auto"/>
                <w:kern w:val="44"/>
                <w:sz w:val="24"/>
              </w:rPr>
              <w:t>根据管控单元压占分析，项目建设区域涉及7个生态环境管控单元，其中优先保护单元0个</w:t>
            </w:r>
            <w:r>
              <w:rPr>
                <w:rFonts w:hint="eastAsia"/>
                <w:color w:val="auto"/>
                <w:kern w:val="44"/>
                <w:sz w:val="24"/>
              </w:rPr>
              <w:t>，</w:t>
            </w:r>
            <w:r>
              <w:rPr>
                <w:color w:val="auto"/>
                <w:kern w:val="44"/>
                <w:sz w:val="24"/>
              </w:rPr>
              <w:t>重点管控单元6个</w:t>
            </w:r>
            <w:r>
              <w:rPr>
                <w:rFonts w:hint="eastAsia"/>
                <w:color w:val="auto"/>
                <w:kern w:val="44"/>
                <w:sz w:val="24"/>
              </w:rPr>
              <w:t>，</w:t>
            </w:r>
            <w:r>
              <w:rPr>
                <w:color w:val="auto"/>
                <w:kern w:val="44"/>
                <w:sz w:val="24"/>
              </w:rPr>
              <w:t>一般管控单元1个、水源地0个。</w:t>
            </w:r>
          </w:p>
          <w:p w14:paraId="3ED72768">
            <w:pPr>
              <w:spacing w:line="360" w:lineRule="auto"/>
              <w:ind w:firstLine="480" w:firstLineChars="200"/>
              <w:rPr>
                <w:color w:val="auto"/>
                <w:kern w:val="44"/>
                <w:sz w:val="24"/>
              </w:rPr>
            </w:pPr>
            <w:r>
              <w:rPr>
                <w:color w:val="auto"/>
                <w:kern w:val="44"/>
                <w:sz w:val="24"/>
              </w:rPr>
              <w:fldChar w:fldCharType="begin"/>
            </w:r>
            <w:r>
              <w:rPr>
                <w:color w:val="auto"/>
                <w:kern w:val="44"/>
                <w:sz w:val="24"/>
              </w:rPr>
              <w:instrText xml:space="preserve"> = 3 \* GB3 \* MERGEFORMAT </w:instrText>
            </w:r>
            <w:r>
              <w:rPr>
                <w:color w:val="auto"/>
                <w:kern w:val="44"/>
                <w:sz w:val="24"/>
              </w:rPr>
              <w:fldChar w:fldCharType="separate"/>
            </w:r>
            <w:r>
              <w:rPr>
                <w:color w:val="auto"/>
              </w:rPr>
              <w:t>③</w:t>
            </w:r>
            <w:r>
              <w:rPr>
                <w:color w:val="auto"/>
                <w:kern w:val="44"/>
                <w:sz w:val="24"/>
              </w:rPr>
              <w:fldChar w:fldCharType="end"/>
            </w:r>
            <w:r>
              <w:rPr>
                <w:color w:val="auto"/>
                <w:kern w:val="44"/>
                <w:sz w:val="24"/>
              </w:rPr>
              <w:t>环境管控单元分析</w:t>
            </w:r>
          </w:p>
          <w:p w14:paraId="7DE7C4EA">
            <w:pPr>
              <w:spacing w:line="360" w:lineRule="auto"/>
              <w:ind w:firstLine="480" w:firstLineChars="200"/>
              <w:rPr>
                <w:color w:val="auto"/>
                <w:kern w:val="44"/>
                <w:sz w:val="24"/>
              </w:rPr>
            </w:pPr>
            <w:r>
              <w:rPr>
                <w:color w:val="auto"/>
                <w:kern w:val="44"/>
                <w:sz w:val="24"/>
              </w:rPr>
              <w:t>经比对，项目涉及1个河南省环境管控单元，其中优先保护单元0个,重点管控单元1个</w:t>
            </w:r>
            <w:r>
              <w:rPr>
                <w:rFonts w:hint="eastAsia"/>
                <w:color w:val="auto"/>
                <w:kern w:val="44"/>
                <w:sz w:val="24"/>
              </w:rPr>
              <w:t>，</w:t>
            </w:r>
            <w:r>
              <w:rPr>
                <w:color w:val="auto"/>
                <w:kern w:val="44"/>
                <w:sz w:val="24"/>
              </w:rPr>
              <w:t>一般管控单元0个，详见下表。</w:t>
            </w:r>
          </w:p>
          <w:p w14:paraId="68203AC7">
            <w:pPr>
              <w:pStyle w:val="32"/>
              <w:keepNext w:val="0"/>
              <w:keepLines w:val="0"/>
              <w:pageBreakBefore w:val="0"/>
              <w:widowControl w:val="0"/>
              <w:kinsoku/>
              <w:wordWrap/>
              <w:overflowPunct/>
              <w:topLinePunct w:val="0"/>
              <w:bidi w:val="0"/>
              <w:spacing w:beforeLines="0" w:afterLines="0" w:line="360" w:lineRule="auto"/>
              <w:ind w:left="0" w:right="0" w:firstLine="0"/>
              <w:jc w:val="both"/>
              <w:textAlignment w:val="auto"/>
              <w:rPr>
                <w:rFonts w:hint="eastAsia" w:ascii="宋体" w:hAnsi="宋体" w:cs="宋体"/>
                <w:bCs/>
                <w:color w:val="auto"/>
                <w:kern w:val="0"/>
                <w:sz w:val="24"/>
                <w:szCs w:val="24"/>
              </w:rPr>
            </w:pPr>
          </w:p>
          <w:p w14:paraId="308C67D3">
            <w:pPr>
              <w:spacing w:line="360" w:lineRule="auto"/>
              <w:rPr>
                <w:color w:val="auto"/>
                <w:kern w:val="0"/>
                <w:szCs w:val="21"/>
              </w:rPr>
            </w:pPr>
          </w:p>
        </w:tc>
      </w:tr>
    </w:tbl>
    <w:p w14:paraId="32C2C058">
      <w:pPr>
        <w:autoSpaceDE w:val="0"/>
        <w:autoSpaceDN w:val="0"/>
        <w:adjustRightInd w:val="0"/>
        <w:snapToGrid w:val="0"/>
        <w:jc w:val="center"/>
        <w:rPr>
          <w:color w:val="auto"/>
          <w:kern w:val="0"/>
          <w:szCs w:val="21"/>
        </w:rPr>
        <w:sectPr>
          <w:footerReference r:id="rId5" w:type="default"/>
          <w:pgSz w:w="11906" w:h="16838"/>
          <w:pgMar w:top="1417" w:right="1417" w:bottom="1417" w:left="1417" w:header="851" w:footer="1077" w:gutter="0"/>
          <w:pgNumType w:fmt="decimal" w:start="1"/>
          <w:cols w:space="720" w:num="1"/>
          <w:docGrid w:linePitch="312" w:charSpace="0"/>
        </w:sectPr>
      </w:pPr>
    </w:p>
    <w:tbl>
      <w:tblPr>
        <w:tblStyle w:val="25"/>
        <w:tblW w:w="1421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20"/>
        <w:gridCol w:w="13691"/>
      </w:tblGrid>
      <w:tr w14:paraId="7E7043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01" w:hRule="atLeast"/>
          <w:jc w:val="center"/>
        </w:trPr>
        <w:tc>
          <w:tcPr>
            <w:tcW w:w="520" w:type="dxa"/>
            <w:vAlign w:val="center"/>
          </w:tcPr>
          <w:p w14:paraId="0C0E16B9">
            <w:pPr>
              <w:pStyle w:val="7"/>
              <w:rPr>
                <w:color w:val="auto"/>
              </w:rPr>
            </w:pPr>
          </w:p>
        </w:tc>
        <w:tc>
          <w:tcPr>
            <w:tcW w:w="13691" w:type="dxa"/>
            <w:vAlign w:val="center"/>
          </w:tcPr>
          <w:p w14:paraId="5BF138C4">
            <w:pPr>
              <w:pStyle w:val="46"/>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eastAsia" w:ascii="Times New Roman" w:hAnsi="Arial Unicode MS" w:eastAsia="宋体" w:cs="Times New Roman"/>
                <w:b/>
                <w:color w:val="auto"/>
                <w:kern w:val="2"/>
                <w:sz w:val="24"/>
                <w:szCs w:val="24"/>
                <w:lang w:val="en-US" w:eastAsia="zh-CN" w:bidi="ar-SA"/>
              </w:rPr>
            </w:pPr>
            <w:r>
              <w:rPr>
                <w:rFonts w:hint="eastAsia" w:ascii="Times New Roman" w:hAnsi="Arial Unicode MS" w:eastAsia="宋体" w:cs="Times New Roman"/>
                <w:b/>
                <w:color w:val="auto"/>
                <w:kern w:val="2"/>
                <w:sz w:val="24"/>
                <w:szCs w:val="24"/>
                <w:lang w:val="en-US" w:eastAsia="zh-CN" w:bidi="ar-SA"/>
              </w:rPr>
              <w:t>项目涉及河南省环境管控单元一览表</w:t>
            </w:r>
          </w:p>
          <w:tbl>
            <w:tblPr>
              <w:tblStyle w:val="25"/>
              <w:tblW w:w="13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
              <w:gridCol w:w="873"/>
              <w:gridCol w:w="790"/>
              <w:gridCol w:w="531"/>
              <w:gridCol w:w="530"/>
              <w:gridCol w:w="1090"/>
              <w:gridCol w:w="6286"/>
              <w:gridCol w:w="2425"/>
            </w:tblGrid>
            <w:tr w14:paraId="1A5CE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35" w:type="dxa"/>
                  <w:vAlign w:val="center"/>
                </w:tcPr>
                <w:p w14:paraId="6337E0E6">
                  <w:pPr>
                    <w:pStyle w:val="68"/>
                    <w:jc w:val="center"/>
                    <w:rPr>
                      <w:rFonts w:eastAsia="宋体"/>
                      <w:b/>
                      <w:bCs/>
                      <w:color w:val="auto"/>
                      <w:kern w:val="0"/>
                      <w:lang w:val="zh-CN" w:eastAsia="zh-CN" w:bidi="ar"/>
                    </w:rPr>
                  </w:pPr>
                  <w:r>
                    <w:rPr>
                      <w:b/>
                      <w:bCs/>
                      <w:color w:val="auto"/>
                      <w:spacing w:val="-5"/>
                    </w:rPr>
                    <w:t>环境管控单元</w:t>
                  </w:r>
                  <w:r>
                    <w:rPr>
                      <w:b/>
                      <w:bCs/>
                      <w:color w:val="auto"/>
                      <w:spacing w:val="-9"/>
                    </w:rPr>
                    <w:t>编码</w:t>
                  </w:r>
                </w:p>
              </w:tc>
              <w:tc>
                <w:tcPr>
                  <w:tcW w:w="873" w:type="dxa"/>
                  <w:vAlign w:val="center"/>
                </w:tcPr>
                <w:p w14:paraId="08983F00">
                  <w:pPr>
                    <w:pStyle w:val="68"/>
                    <w:jc w:val="center"/>
                    <w:rPr>
                      <w:rFonts w:eastAsia="宋体"/>
                      <w:b/>
                      <w:bCs/>
                      <w:color w:val="auto"/>
                      <w:kern w:val="0"/>
                      <w:lang w:val="zh-CN" w:eastAsia="zh-CN" w:bidi="ar"/>
                    </w:rPr>
                  </w:pPr>
                  <w:r>
                    <w:rPr>
                      <w:b/>
                      <w:bCs/>
                      <w:color w:val="auto"/>
                      <w:spacing w:val="-5"/>
                    </w:rPr>
                    <w:t>环境管控单元</w:t>
                  </w:r>
                  <w:r>
                    <w:rPr>
                      <w:b/>
                      <w:bCs/>
                      <w:color w:val="auto"/>
                      <w:spacing w:val="-9"/>
                    </w:rPr>
                    <w:t>名称</w:t>
                  </w:r>
                </w:p>
              </w:tc>
              <w:tc>
                <w:tcPr>
                  <w:tcW w:w="790" w:type="dxa"/>
                  <w:vAlign w:val="center"/>
                </w:tcPr>
                <w:p w14:paraId="09D5BF8E">
                  <w:pPr>
                    <w:pStyle w:val="68"/>
                    <w:jc w:val="center"/>
                    <w:rPr>
                      <w:rFonts w:eastAsia="宋体"/>
                      <w:b/>
                      <w:bCs/>
                      <w:color w:val="auto"/>
                      <w:kern w:val="0"/>
                      <w:lang w:val="zh-CN" w:eastAsia="zh-CN" w:bidi="ar"/>
                    </w:rPr>
                  </w:pPr>
                  <w:r>
                    <w:rPr>
                      <w:b/>
                      <w:bCs/>
                      <w:color w:val="auto"/>
                      <w:spacing w:val="-7"/>
                    </w:rPr>
                    <w:t>管控分</w:t>
                  </w:r>
                  <w:r>
                    <w:rPr>
                      <w:b/>
                      <w:bCs/>
                      <w:color w:val="auto"/>
                      <w:spacing w:val="-3"/>
                    </w:rPr>
                    <w:t>类</w:t>
                  </w:r>
                </w:p>
              </w:tc>
              <w:tc>
                <w:tcPr>
                  <w:tcW w:w="531" w:type="dxa"/>
                  <w:vAlign w:val="center"/>
                </w:tcPr>
                <w:p w14:paraId="3A1387A4">
                  <w:pPr>
                    <w:pStyle w:val="68"/>
                    <w:jc w:val="center"/>
                    <w:rPr>
                      <w:rFonts w:eastAsia="宋体"/>
                      <w:b/>
                      <w:bCs/>
                      <w:color w:val="auto"/>
                      <w:kern w:val="0"/>
                      <w:lang w:val="zh-CN" w:eastAsia="zh-CN" w:bidi="ar"/>
                    </w:rPr>
                  </w:pPr>
                  <w:r>
                    <w:rPr>
                      <w:b/>
                      <w:bCs/>
                      <w:color w:val="auto"/>
                      <w:spacing w:val="-3"/>
                    </w:rPr>
                    <w:t>市</w:t>
                  </w:r>
                </w:p>
              </w:tc>
              <w:tc>
                <w:tcPr>
                  <w:tcW w:w="530" w:type="dxa"/>
                  <w:vAlign w:val="center"/>
                </w:tcPr>
                <w:p w14:paraId="4CA0C3B1">
                  <w:pPr>
                    <w:pStyle w:val="68"/>
                    <w:jc w:val="center"/>
                    <w:rPr>
                      <w:rFonts w:eastAsia="宋体"/>
                      <w:b/>
                      <w:bCs/>
                      <w:color w:val="auto"/>
                      <w:kern w:val="0"/>
                      <w:lang w:val="zh-CN" w:eastAsia="zh-CN" w:bidi="ar"/>
                    </w:rPr>
                  </w:pPr>
                  <w:r>
                    <w:rPr>
                      <w:b/>
                      <w:bCs/>
                      <w:color w:val="auto"/>
                      <w:spacing w:val="-17"/>
                    </w:rPr>
                    <w:t>区县</w:t>
                  </w:r>
                </w:p>
              </w:tc>
              <w:tc>
                <w:tcPr>
                  <w:tcW w:w="7376" w:type="dxa"/>
                  <w:gridSpan w:val="2"/>
                  <w:vAlign w:val="center"/>
                </w:tcPr>
                <w:p w14:paraId="2DF3B4C7">
                  <w:pPr>
                    <w:widowControl/>
                    <w:jc w:val="center"/>
                    <w:textAlignment w:val="center"/>
                    <w:rPr>
                      <w:b/>
                      <w:bCs/>
                      <w:color w:val="auto"/>
                      <w:kern w:val="0"/>
                      <w:szCs w:val="21"/>
                      <w:lang w:val="zh-CN" w:bidi="ar"/>
                    </w:rPr>
                  </w:pPr>
                  <w:r>
                    <w:rPr>
                      <w:b/>
                      <w:bCs/>
                      <w:color w:val="auto"/>
                      <w:kern w:val="0"/>
                      <w:szCs w:val="21"/>
                      <w:lang w:val="zh-CN" w:bidi="ar"/>
                    </w:rPr>
                    <w:t>管控要求</w:t>
                  </w:r>
                </w:p>
              </w:tc>
              <w:tc>
                <w:tcPr>
                  <w:tcW w:w="2425" w:type="dxa"/>
                  <w:vAlign w:val="center"/>
                </w:tcPr>
                <w:p w14:paraId="361A14DD">
                  <w:pPr>
                    <w:pStyle w:val="7"/>
                    <w:tabs>
                      <w:tab w:val="left" w:pos="2010"/>
                    </w:tabs>
                    <w:jc w:val="center"/>
                    <w:rPr>
                      <w:b/>
                      <w:bCs/>
                      <w:color w:val="auto"/>
                      <w:szCs w:val="21"/>
                      <w:lang w:val="zh-CN"/>
                    </w:rPr>
                  </w:pPr>
                  <w:r>
                    <w:rPr>
                      <w:b/>
                      <w:bCs/>
                      <w:color w:val="auto"/>
                      <w:szCs w:val="21"/>
                      <w:lang w:val="zh-CN"/>
                    </w:rPr>
                    <w:t>本项目情况</w:t>
                  </w:r>
                </w:p>
              </w:tc>
            </w:tr>
            <w:tr w14:paraId="1C7B5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trPr>
              <w:tc>
                <w:tcPr>
                  <w:tcW w:w="935" w:type="dxa"/>
                  <w:vMerge w:val="restart"/>
                  <w:vAlign w:val="center"/>
                </w:tcPr>
                <w:p w14:paraId="2B84774E">
                  <w:pPr>
                    <w:pStyle w:val="68"/>
                    <w:jc w:val="center"/>
                    <w:rPr>
                      <w:color w:val="auto"/>
                      <w:spacing w:val="-5"/>
                      <w:lang w:eastAsia="zh-CN"/>
                    </w:rPr>
                  </w:pPr>
                  <w:r>
                    <w:rPr>
                      <w:color w:val="auto"/>
                      <w:spacing w:val="-5"/>
                    </w:rPr>
                    <w:t>ZH41092220001</w:t>
                  </w:r>
                </w:p>
              </w:tc>
              <w:tc>
                <w:tcPr>
                  <w:tcW w:w="873" w:type="dxa"/>
                  <w:vMerge w:val="restart"/>
                  <w:vAlign w:val="center"/>
                </w:tcPr>
                <w:p w14:paraId="27A99809">
                  <w:pPr>
                    <w:pStyle w:val="68"/>
                    <w:jc w:val="center"/>
                    <w:rPr>
                      <w:color w:val="auto"/>
                      <w:spacing w:val="-5"/>
                      <w:lang w:eastAsia="zh-CN"/>
                    </w:rPr>
                  </w:pPr>
                  <w:r>
                    <w:rPr>
                      <w:color w:val="auto"/>
                      <w:spacing w:val="-5"/>
                      <w:lang w:eastAsia="zh-CN"/>
                    </w:rPr>
                    <w:t>清丰县先进制造业开发区</w:t>
                  </w:r>
                </w:p>
              </w:tc>
              <w:tc>
                <w:tcPr>
                  <w:tcW w:w="790" w:type="dxa"/>
                  <w:vMerge w:val="restart"/>
                  <w:vAlign w:val="center"/>
                </w:tcPr>
                <w:p w14:paraId="6D672473">
                  <w:pPr>
                    <w:pStyle w:val="68"/>
                    <w:jc w:val="center"/>
                    <w:rPr>
                      <w:rFonts w:eastAsia="宋体"/>
                      <w:color w:val="auto"/>
                      <w:spacing w:val="-5"/>
                      <w:lang w:eastAsia="zh-CN"/>
                    </w:rPr>
                  </w:pPr>
                  <w:r>
                    <w:rPr>
                      <w:color w:val="auto"/>
                      <w:spacing w:val="-5"/>
                    </w:rPr>
                    <w:t>重点</w:t>
                  </w:r>
                  <w:r>
                    <w:rPr>
                      <w:rFonts w:hint="eastAsia" w:eastAsia="宋体"/>
                      <w:color w:val="auto"/>
                      <w:spacing w:val="-5"/>
                      <w:lang w:eastAsia="zh-CN"/>
                    </w:rPr>
                    <w:t>管控单元</w:t>
                  </w:r>
                </w:p>
              </w:tc>
              <w:tc>
                <w:tcPr>
                  <w:tcW w:w="531" w:type="dxa"/>
                  <w:vMerge w:val="restart"/>
                  <w:vAlign w:val="center"/>
                </w:tcPr>
                <w:p w14:paraId="713A681E">
                  <w:pPr>
                    <w:pStyle w:val="68"/>
                    <w:jc w:val="center"/>
                    <w:rPr>
                      <w:color w:val="auto"/>
                      <w:spacing w:val="-5"/>
                      <w:lang w:eastAsia="zh-CN"/>
                    </w:rPr>
                  </w:pPr>
                  <w:r>
                    <w:rPr>
                      <w:color w:val="auto"/>
                      <w:spacing w:val="-5"/>
                    </w:rPr>
                    <w:t>濮阳市</w:t>
                  </w:r>
                </w:p>
              </w:tc>
              <w:tc>
                <w:tcPr>
                  <w:tcW w:w="530" w:type="dxa"/>
                  <w:vMerge w:val="restart"/>
                  <w:vAlign w:val="center"/>
                </w:tcPr>
                <w:p w14:paraId="08902C03">
                  <w:pPr>
                    <w:pStyle w:val="68"/>
                    <w:jc w:val="center"/>
                    <w:rPr>
                      <w:color w:val="auto"/>
                      <w:spacing w:val="-5"/>
                      <w:lang w:eastAsia="zh-CN"/>
                    </w:rPr>
                  </w:pPr>
                  <w:r>
                    <w:rPr>
                      <w:color w:val="auto"/>
                      <w:spacing w:val="-5"/>
                    </w:rPr>
                    <w:t>清丰县</w:t>
                  </w:r>
                </w:p>
              </w:tc>
              <w:tc>
                <w:tcPr>
                  <w:tcW w:w="1090" w:type="dxa"/>
                  <w:vAlign w:val="center"/>
                </w:tcPr>
                <w:p w14:paraId="566F4AC2">
                  <w:pPr>
                    <w:pStyle w:val="68"/>
                    <w:jc w:val="center"/>
                    <w:rPr>
                      <w:rFonts w:eastAsia="宋体"/>
                      <w:color w:val="auto"/>
                      <w:spacing w:val="-5"/>
                      <w:lang w:eastAsia="zh-CN"/>
                    </w:rPr>
                  </w:pPr>
                  <w:r>
                    <w:rPr>
                      <w:rFonts w:eastAsia="宋体"/>
                      <w:color w:val="auto"/>
                      <w:spacing w:val="-5"/>
                      <w:lang w:eastAsia="zh-CN"/>
                    </w:rPr>
                    <w:t>空间布局约束</w:t>
                  </w:r>
                </w:p>
              </w:tc>
              <w:tc>
                <w:tcPr>
                  <w:tcW w:w="6286" w:type="dxa"/>
                  <w:vAlign w:val="center"/>
                </w:tcPr>
                <w:p w14:paraId="1ABBDBC4">
                  <w:pPr>
                    <w:pStyle w:val="68"/>
                    <w:numPr>
                      <w:ilvl w:val="0"/>
                      <w:numId w:val="4"/>
                    </w:numPr>
                    <w:snapToGrid w:val="0"/>
                    <w:rPr>
                      <w:rFonts w:eastAsia="宋体"/>
                      <w:color w:val="auto"/>
                      <w:spacing w:val="-5"/>
                      <w:lang w:val="zh-CN" w:eastAsia="zh-CN"/>
                    </w:rPr>
                  </w:pPr>
                  <w:r>
                    <w:rPr>
                      <w:rFonts w:eastAsia="宋体"/>
                      <w:color w:val="auto"/>
                      <w:spacing w:val="-5"/>
                      <w:lang w:val="zh-CN" w:eastAsia="zh-CN"/>
                    </w:rPr>
                    <w:t>入驻项目应符合园区规划或规划环评的要求，禁止发展用排水量较大或污染严重风险较大的化学原料、医药中间体等化工项目，按照用排水量控制屠宰项目。</w:t>
                  </w:r>
                </w:p>
                <w:p w14:paraId="60CC058C">
                  <w:pPr>
                    <w:pStyle w:val="68"/>
                    <w:numPr>
                      <w:ilvl w:val="0"/>
                      <w:numId w:val="4"/>
                    </w:numPr>
                    <w:snapToGrid w:val="0"/>
                    <w:rPr>
                      <w:rFonts w:eastAsia="宋体"/>
                      <w:color w:val="auto"/>
                      <w:spacing w:val="-5"/>
                      <w:lang w:val="zh-CN" w:eastAsia="zh-CN"/>
                    </w:rPr>
                  </w:pPr>
                  <w:r>
                    <w:rPr>
                      <w:rFonts w:eastAsia="宋体"/>
                      <w:color w:val="auto"/>
                      <w:spacing w:val="-5"/>
                      <w:lang w:val="zh-CN" w:eastAsia="zh-CN"/>
                    </w:rPr>
                    <w:t>按照当地主导风向，从南至北依次布设家具制造、食品加工、机械加工，同时考虑到区内现有居民民点的整合，布设综合服务带贯通三个产业片区。</w:t>
                  </w:r>
                </w:p>
                <w:p w14:paraId="1708ED36">
                  <w:pPr>
                    <w:pStyle w:val="68"/>
                    <w:numPr>
                      <w:ilvl w:val="0"/>
                      <w:numId w:val="4"/>
                    </w:numPr>
                    <w:snapToGrid w:val="0"/>
                    <w:rPr>
                      <w:rFonts w:eastAsia="宋体"/>
                      <w:color w:val="auto"/>
                      <w:spacing w:val="-5"/>
                      <w:lang w:val="zh-CN" w:eastAsia="zh-CN"/>
                    </w:rPr>
                  </w:pPr>
                  <w:r>
                    <w:rPr>
                      <w:rFonts w:eastAsia="宋体"/>
                      <w:color w:val="auto"/>
                      <w:spacing w:val="-5"/>
                      <w:lang w:val="zh-CN" w:eastAsia="zh-CN"/>
                    </w:rPr>
                    <w:t>马庄桥商贸物流园区发展家具贸易和商贸物流业，六塔工业园发展节能环保产业。</w:t>
                  </w:r>
                </w:p>
              </w:tc>
              <w:tc>
                <w:tcPr>
                  <w:tcW w:w="2425" w:type="dxa"/>
                  <w:vAlign w:val="center"/>
                </w:tcPr>
                <w:p w14:paraId="128C2E26">
                  <w:pPr>
                    <w:widowControl/>
                    <w:numPr>
                      <w:ilvl w:val="0"/>
                      <w:numId w:val="5"/>
                    </w:numPr>
                    <w:jc w:val="left"/>
                    <w:textAlignment w:val="center"/>
                    <w:rPr>
                      <w:rFonts w:hint="eastAsia"/>
                      <w:color w:val="auto"/>
                      <w:szCs w:val="21"/>
                    </w:rPr>
                  </w:pPr>
                  <w:r>
                    <w:rPr>
                      <w:rFonts w:hint="eastAsia"/>
                      <w:color w:val="auto"/>
                      <w:szCs w:val="21"/>
                    </w:rPr>
                    <w:t>本项目符合规划和规划环评要求；</w:t>
                  </w:r>
                </w:p>
                <w:p w14:paraId="50C2A06E">
                  <w:pPr>
                    <w:widowControl/>
                    <w:numPr>
                      <w:ilvl w:val="0"/>
                      <w:numId w:val="5"/>
                    </w:numPr>
                    <w:jc w:val="left"/>
                    <w:textAlignment w:val="center"/>
                    <w:rPr>
                      <w:color w:val="auto"/>
                      <w:szCs w:val="21"/>
                    </w:rPr>
                  </w:pPr>
                  <w:r>
                    <w:rPr>
                      <w:rFonts w:hint="eastAsia"/>
                      <w:color w:val="auto"/>
                      <w:szCs w:val="21"/>
                    </w:rPr>
                    <w:t>本项目位于家具制造园区；</w:t>
                  </w:r>
                </w:p>
                <w:p w14:paraId="0D6E7B72">
                  <w:pPr>
                    <w:widowControl/>
                    <w:numPr>
                      <w:ilvl w:val="0"/>
                      <w:numId w:val="5"/>
                    </w:numPr>
                    <w:jc w:val="left"/>
                    <w:textAlignment w:val="center"/>
                    <w:rPr>
                      <w:color w:val="auto"/>
                      <w:szCs w:val="21"/>
                    </w:rPr>
                  </w:pPr>
                  <w:r>
                    <w:rPr>
                      <w:rFonts w:hint="eastAsia"/>
                      <w:color w:val="auto"/>
                      <w:szCs w:val="21"/>
                    </w:rPr>
                    <w:t>本项目不涉及。</w:t>
                  </w:r>
                </w:p>
              </w:tc>
            </w:tr>
            <w:tr w14:paraId="11584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935" w:type="dxa"/>
                  <w:vMerge w:val="continue"/>
                  <w:vAlign w:val="center"/>
                </w:tcPr>
                <w:p w14:paraId="69DB980E">
                  <w:pPr>
                    <w:widowControl/>
                    <w:jc w:val="center"/>
                    <w:textAlignment w:val="center"/>
                    <w:rPr>
                      <w:color w:val="auto"/>
                      <w:kern w:val="0"/>
                      <w:szCs w:val="21"/>
                      <w:lang w:val="zh-CN" w:bidi="ar"/>
                    </w:rPr>
                  </w:pPr>
                </w:p>
              </w:tc>
              <w:tc>
                <w:tcPr>
                  <w:tcW w:w="873" w:type="dxa"/>
                  <w:vMerge w:val="continue"/>
                  <w:vAlign w:val="center"/>
                </w:tcPr>
                <w:p w14:paraId="6964D3B4">
                  <w:pPr>
                    <w:widowControl/>
                    <w:jc w:val="center"/>
                    <w:textAlignment w:val="center"/>
                    <w:rPr>
                      <w:color w:val="auto"/>
                      <w:kern w:val="0"/>
                      <w:szCs w:val="21"/>
                      <w:lang w:val="zh-CN" w:bidi="ar"/>
                    </w:rPr>
                  </w:pPr>
                </w:p>
              </w:tc>
              <w:tc>
                <w:tcPr>
                  <w:tcW w:w="790" w:type="dxa"/>
                  <w:vMerge w:val="continue"/>
                  <w:vAlign w:val="center"/>
                </w:tcPr>
                <w:p w14:paraId="2D30F5D5">
                  <w:pPr>
                    <w:widowControl/>
                    <w:jc w:val="center"/>
                    <w:textAlignment w:val="center"/>
                    <w:rPr>
                      <w:color w:val="auto"/>
                      <w:kern w:val="0"/>
                      <w:szCs w:val="21"/>
                      <w:lang w:val="zh-CN" w:bidi="ar"/>
                    </w:rPr>
                  </w:pPr>
                </w:p>
              </w:tc>
              <w:tc>
                <w:tcPr>
                  <w:tcW w:w="531" w:type="dxa"/>
                  <w:vMerge w:val="continue"/>
                  <w:vAlign w:val="center"/>
                </w:tcPr>
                <w:p w14:paraId="7413D64C">
                  <w:pPr>
                    <w:widowControl/>
                    <w:jc w:val="center"/>
                    <w:textAlignment w:val="center"/>
                    <w:rPr>
                      <w:color w:val="auto"/>
                      <w:kern w:val="0"/>
                      <w:szCs w:val="21"/>
                      <w:lang w:val="zh-CN" w:bidi="ar"/>
                    </w:rPr>
                  </w:pPr>
                </w:p>
              </w:tc>
              <w:tc>
                <w:tcPr>
                  <w:tcW w:w="530" w:type="dxa"/>
                  <w:vMerge w:val="continue"/>
                  <w:vAlign w:val="center"/>
                </w:tcPr>
                <w:p w14:paraId="2C3A8228">
                  <w:pPr>
                    <w:widowControl/>
                    <w:jc w:val="center"/>
                    <w:textAlignment w:val="center"/>
                    <w:rPr>
                      <w:color w:val="auto"/>
                      <w:kern w:val="0"/>
                      <w:szCs w:val="21"/>
                      <w:lang w:val="zh-CN" w:bidi="ar"/>
                    </w:rPr>
                  </w:pPr>
                </w:p>
              </w:tc>
              <w:tc>
                <w:tcPr>
                  <w:tcW w:w="1090" w:type="dxa"/>
                  <w:vAlign w:val="center"/>
                </w:tcPr>
                <w:p w14:paraId="215A2466">
                  <w:pPr>
                    <w:pStyle w:val="68"/>
                    <w:jc w:val="center"/>
                    <w:rPr>
                      <w:rFonts w:eastAsia="宋体"/>
                      <w:color w:val="auto"/>
                      <w:spacing w:val="-5"/>
                      <w:lang w:val="zh-CN" w:eastAsia="zh-CN"/>
                    </w:rPr>
                  </w:pPr>
                  <w:r>
                    <w:rPr>
                      <w:rFonts w:eastAsia="宋体"/>
                      <w:color w:val="auto"/>
                      <w:spacing w:val="-5"/>
                      <w:lang w:eastAsia="zh-CN"/>
                    </w:rPr>
                    <w:t>污染物排放管控</w:t>
                  </w:r>
                </w:p>
              </w:tc>
              <w:tc>
                <w:tcPr>
                  <w:tcW w:w="6286" w:type="dxa"/>
                  <w:vAlign w:val="center"/>
                </w:tcPr>
                <w:p w14:paraId="640F1E58">
                  <w:pPr>
                    <w:pStyle w:val="68"/>
                    <w:numPr>
                      <w:ilvl w:val="0"/>
                      <w:numId w:val="6"/>
                    </w:numPr>
                    <w:snapToGrid w:val="0"/>
                    <w:rPr>
                      <w:color w:val="auto"/>
                      <w:spacing w:val="-16"/>
                      <w:lang w:eastAsia="zh-CN"/>
                    </w:rPr>
                  </w:pPr>
                  <w:r>
                    <w:rPr>
                      <w:color w:val="auto"/>
                      <w:spacing w:val="-6"/>
                      <w:lang w:eastAsia="zh-CN"/>
                    </w:rPr>
                    <w:t>禁止填</w:t>
                  </w:r>
                  <w:r>
                    <w:rPr>
                      <w:color w:val="auto"/>
                      <w:spacing w:val="-3"/>
                      <w:lang w:eastAsia="zh-CN"/>
                    </w:rPr>
                    <w:t>埋场渗滤液直排或超标排</w:t>
                  </w:r>
                  <w:r>
                    <w:rPr>
                      <w:color w:val="auto"/>
                      <w:spacing w:val="-16"/>
                      <w:lang w:eastAsia="zh-CN"/>
                    </w:rPr>
                    <w:t>放。</w:t>
                  </w:r>
                </w:p>
                <w:p w14:paraId="45308A84">
                  <w:pPr>
                    <w:pStyle w:val="68"/>
                    <w:numPr>
                      <w:ilvl w:val="0"/>
                      <w:numId w:val="6"/>
                    </w:numPr>
                    <w:snapToGrid w:val="0"/>
                    <w:rPr>
                      <w:rFonts w:eastAsia="宋体"/>
                      <w:color w:val="auto"/>
                      <w:spacing w:val="-5"/>
                      <w:lang w:eastAsia="zh-CN"/>
                    </w:rPr>
                  </w:pPr>
                  <w:r>
                    <w:rPr>
                      <w:color w:val="auto"/>
                      <w:spacing w:val="12"/>
                      <w:lang w:eastAsia="zh-CN"/>
                    </w:rPr>
                    <w:t>大气：改善能源结构，推广使用天然气、电力等清洁能源；严格控制入区工业项目的类别；加强对工</w:t>
                  </w:r>
                  <w:r>
                    <w:rPr>
                      <w:color w:val="auto"/>
                      <w:spacing w:val="-3"/>
                      <w:lang w:eastAsia="zh-CN"/>
                    </w:rPr>
                    <w:t>业喷涂项目挥发性有机物的</w:t>
                  </w:r>
                  <w:r>
                    <w:rPr>
                      <w:color w:val="auto"/>
                      <w:spacing w:val="-6"/>
                      <w:lang w:eastAsia="zh-CN"/>
                    </w:rPr>
                    <w:t>治理工</w:t>
                  </w:r>
                  <w:r>
                    <w:rPr>
                      <w:color w:val="auto"/>
                      <w:spacing w:val="-3"/>
                      <w:lang w:eastAsia="zh-CN"/>
                    </w:rPr>
                    <w:t>作，严格按照行业标准、治理方案，加强源头控制、过程控制和</w:t>
                  </w:r>
                  <w:r>
                    <w:rPr>
                      <w:color w:val="auto"/>
                      <w:spacing w:val="-4"/>
                      <w:lang w:eastAsia="zh-CN"/>
                    </w:rPr>
                    <w:t>末端治</w:t>
                  </w:r>
                  <w:r>
                    <w:rPr>
                      <w:color w:val="auto"/>
                      <w:spacing w:val="-3"/>
                      <w:lang w:eastAsia="zh-CN"/>
                    </w:rPr>
                    <w:t>理，提升清洁化生产水平。</w:t>
                  </w:r>
                </w:p>
                <w:p w14:paraId="41A7F143">
                  <w:pPr>
                    <w:pStyle w:val="68"/>
                    <w:numPr>
                      <w:ilvl w:val="0"/>
                      <w:numId w:val="6"/>
                    </w:numPr>
                    <w:snapToGrid w:val="0"/>
                    <w:rPr>
                      <w:rFonts w:eastAsia="宋体"/>
                      <w:color w:val="auto"/>
                      <w:spacing w:val="-5"/>
                      <w:lang w:eastAsia="zh-CN"/>
                    </w:rPr>
                  </w:pPr>
                  <w:r>
                    <w:rPr>
                      <w:color w:val="auto"/>
                      <w:spacing w:val="-4"/>
                      <w:lang w:eastAsia="zh-CN"/>
                    </w:rPr>
                    <w:t>水：完善雨</w:t>
                  </w:r>
                  <w:r>
                    <w:rPr>
                      <w:color w:val="auto"/>
                      <w:spacing w:val="-3"/>
                      <w:lang w:eastAsia="zh-CN"/>
                    </w:rPr>
                    <w:t>水、污水收集系统和排放系统，污水和生产物料输送管线需保证密封；不得建设地下或半地下式储罐设施。禁止含重金属废水进入城市生活污水处</w:t>
                  </w:r>
                  <w:r>
                    <w:rPr>
                      <w:color w:val="auto"/>
                      <w:spacing w:val="-5"/>
                      <w:lang w:eastAsia="zh-CN"/>
                    </w:rPr>
                    <w:t>理厂。</w:t>
                  </w:r>
                </w:p>
              </w:tc>
              <w:tc>
                <w:tcPr>
                  <w:tcW w:w="2425" w:type="dxa"/>
                  <w:vAlign w:val="center"/>
                </w:tcPr>
                <w:p w14:paraId="095B7B81">
                  <w:pPr>
                    <w:widowControl/>
                    <w:numPr>
                      <w:ilvl w:val="0"/>
                      <w:numId w:val="7"/>
                    </w:numPr>
                    <w:jc w:val="left"/>
                    <w:textAlignment w:val="center"/>
                    <w:rPr>
                      <w:rFonts w:hint="eastAsia"/>
                      <w:color w:val="auto"/>
                      <w:kern w:val="0"/>
                      <w:szCs w:val="21"/>
                      <w:lang w:bidi="ar"/>
                    </w:rPr>
                  </w:pPr>
                  <w:r>
                    <w:rPr>
                      <w:rFonts w:hint="eastAsia"/>
                      <w:color w:val="auto"/>
                      <w:kern w:val="0"/>
                      <w:szCs w:val="21"/>
                      <w:lang w:bidi="ar"/>
                    </w:rPr>
                    <w:t>本项目不涉及；</w:t>
                  </w:r>
                </w:p>
                <w:p w14:paraId="518F73FB">
                  <w:pPr>
                    <w:widowControl/>
                    <w:numPr>
                      <w:ilvl w:val="0"/>
                      <w:numId w:val="7"/>
                    </w:numPr>
                    <w:jc w:val="left"/>
                    <w:textAlignment w:val="center"/>
                    <w:rPr>
                      <w:color w:val="auto"/>
                      <w:kern w:val="0"/>
                      <w:szCs w:val="21"/>
                      <w:lang w:bidi="ar"/>
                    </w:rPr>
                  </w:pPr>
                  <w:r>
                    <w:rPr>
                      <w:rFonts w:hint="eastAsia"/>
                      <w:color w:val="auto"/>
                      <w:kern w:val="0"/>
                      <w:szCs w:val="21"/>
                      <w:lang w:bidi="ar"/>
                    </w:rPr>
                    <w:t>本项目使用能源为电能，喷涂使用低挥发性涂料，在密闭喷漆房内进行喷涂，清洁化生产水平较高；</w:t>
                  </w:r>
                </w:p>
                <w:p w14:paraId="46DABF0A">
                  <w:pPr>
                    <w:widowControl/>
                    <w:numPr>
                      <w:ilvl w:val="0"/>
                      <w:numId w:val="7"/>
                    </w:numPr>
                    <w:jc w:val="left"/>
                    <w:textAlignment w:val="center"/>
                    <w:rPr>
                      <w:color w:val="auto"/>
                      <w:kern w:val="0"/>
                      <w:szCs w:val="21"/>
                      <w:lang w:bidi="ar"/>
                    </w:rPr>
                  </w:pPr>
                  <w:r>
                    <w:rPr>
                      <w:rFonts w:hint="eastAsia"/>
                      <w:color w:val="auto"/>
                      <w:kern w:val="0"/>
                      <w:szCs w:val="21"/>
                      <w:lang w:bidi="ar"/>
                    </w:rPr>
                    <w:t>本项目</w:t>
                  </w:r>
                  <w:r>
                    <w:rPr>
                      <w:rFonts w:hint="eastAsia"/>
                      <w:color w:val="auto"/>
                      <w:kern w:val="0"/>
                      <w:szCs w:val="21"/>
                      <w:lang w:val="en-US" w:eastAsia="zh-CN" w:bidi="ar"/>
                    </w:rPr>
                    <w:t>制备废水和</w:t>
                  </w:r>
                  <w:r>
                    <w:rPr>
                      <w:rFonts w:hint="eastAsia"/>
                      <w:color w:val="auto"/>
                      <w:kern w:val="0"/>
                      <w:szCs w:val="21"/>
                      <w:lang w:bidi="ar"/>
                    </w:rPr>
                    <w:t>生活污水</w:t>
                  </w:r>
                  <w:r>
                    <w:rPr>
                      <w:rFonts w:hint="eastAsia"/>
                      <w:color w:val="auto"/>
                      <w:kern w:val="0"/>
                      <w:szCs w:val="21"/>
                      <w:lang w:val="en-US" w:eastAsia="zh-CN" w:bidi="ar"/>
                    </w:rPr>
                    <w:t>一起</w:t>
                  </w:r>
                  <w:r>
                    <w:rPr>
                      <w:rFonts w:hint="eastAsia"/>
                      <w:color w:val="auto"/>
                      <w:kern w:val="0"/>
                      <w:szCs w:val="21"/>
                      <w:lang w:bidi="ar"/>
                    </w:rPr>
                    <w:t>经化粪池</w:t>
                  </w:r>
                  <w:r>
                    <w:rPr>
                      <w:rFonts w:hint="eastAsia"/>
                      <w:color w:val="auto"/>
                      <w:kern w:val="0"/>
                      <w:szCs w:val="21"/>
                      <w:lang w:eastAsia="zh-CN" w:bidi="ar"/>
                    </w:rPr>
                    <w:t>（</w:t>
                  </w:r>
                  <w:r>
                    <w:rPr>
                      <w:rFonts w:hint="eastAsia"/>
                      <w:color w:val="auto"/>
                      <w:kern w:val="0"/>
                      <w:szCs w:val="21"/>
                      <w:lang w:val="en-US" w:eastAsia="zh-CN" w:bidi="ar"/>
                    </w:rPr>
                    <w:t>自建</w:t>
                  </w:r>
                  <w:r>
                    <w:rPr>
                      <w:rFonts w:hint="eastAsia"/>
                      <w:color w:val="auto"/>
                      <w:szCs w:val="21"/>
                      <w:lang w:val="en-US" w:eastAsia="zh-CN"/>
                    </w:rPr>
                    <w:t>，</w:t>
                  </w:r>
                  <w:r>
                    <w:rPr>
                      <w:rFonts w:hint="eastAsia"/>
                      <w:color w:val="auto"/>
                      <w:lang w:val="en-US" w:eastAsia="zh-CN"/>
                    </w:rPr>
                    <w:t>12m</w:t>
                  </w:r>
                  <w:r>
                    <w:rPr>
                      <w:rFonts w:hint="eastAsia"/>
                      <w:color w:val="auto"/>
                      <w:vertAlign w:val="superscript"/>
                      <w:lang w:val="en-US" w:eastAsia="zh-CN"/>
                    </w:rPr>
                    <w:t>3</w:t>
                  </w:r>
                  <w:r>
                    <w:rPr>
                      <w:rFonts w:hint="eastAsia"/>
                      <w:color w:val="auto"/>
                      <w:kern w:val="0"/>
                      <w:szCs w:val="21"/>
                      <w:lang w:eastAsia="zh-CN" w:bidi="ar"/>
                    </w:rPr>
                    <w:t>）</w:t>
                  </w:r>
                  <w:r>
                    <w:rPr>
                      <w:rFonts w:hint="eastAsia"/>
                      <w:color w:val="auto"/>
                      <w:kern w:val="0"/>
                      <w:szCs w:val="21"/>
                      <w:lang w:bidi="ar"/>
                    </w:rPr>
                    <w:t>处理后排入中州水务有限公司第二污水处理厂处理。</w:t>
                  </w:r>
                </w:p>
              </w:tc>
            </w:tr>
            <w:tr w14:paraId="50DC9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935" w:type="dxa"/>
                  <w:vMerge w:val="continue"/>
                  <w:vAlign w:val="center"/>
                </w:tcPr>
                <w:p w14:paraId="5CD5F439">
                  <w:pPr>
                    <w:widowControl/>
                    <w:jc w:val="center"/>
                    <w:textAlignment w:val="center"/>
                    <w:rPr>
                      <w:color w:val="auto"/>
                      <w:kern w:val="0"/>
                      <w:szCs w:val="21"/>
                      <w:lang w:val="zh-CN" w:bidi="ar"/>
                    </w:rPr>
                  </w:pPr>
                </w:p>
              </w:tc>
              <w:tc>
                <w:tcPr>
                  <w:tcW w:w="873" w:type="dxa"/>
                  <w:vMerge w:val="continue"/>
                  <w:vAlign w:val="center"/>
                </w:tcPr>
                <w:p w14:paraId="552C7CD8">
                  <w:pPr>
                    <w:widowControl/>
                    <w:jc w:val="center"/>
                    <w:textAlignment w:val="center"/>
                    <w:rPr>
                      <w:color w:val="auto"/>
                      <w:kern w:val="0"/>
                      <w:szCs w:val="21"/>
                      <w:lang w:val="zh-CN" w:bidi="ar"/>
                    </w:rPr>
                  </w:pPr>
                </w:p>
              </w:tc>
              <w:tc>
                <w:tcPr>
                  <w:tcW w:w="790" w:type="dxa"/>
                  <w:vMerge w:val="continue"/>
                  <w:vAlign w:val="center"/>
                </w:tcPr>
                <w:p w14:paraId="5C176E09">
                  <w:pPr>
                    <w:widowControl/>
                    <w:jc w:val="center"/>
                    <w:textAlignment w:val="center"/>
                    <w:rPr>
                      <w:color w:val="auto"/>
                      <w:kern w:val="0"/>
                      <w:szCs w:val="21"/>
                      <w:lang w:val="zh-CN" w:bidi="ar"/>
                    </w:rPr>
                  </w:pPr>
                </w:p>
              </w:tc>
              <w:tc>
                <w:tcPr>
                  <w:tcW w:w="531" w:type="dxa"/>
                  <w:vMerge w:val="continue"/>
                  <w:vAlign w:val="center"/>
                </w:tcPr>
                <w:p w14:paraId="13230A21">
                  <w:pPr>
                    <w:widowControl/>
                    <w:jc w:val="center"/>
                    <w:textAlignment w:val="center"/>
                    <w:rPr>
                      <w:color w:val="auto"/>
                      <w:kern w:val="0"/>
                      <w:szCs w:val="21"/>
                      <w:lang w:val="zh-CN" w:bidi="ar"/>
                    </w:rPr>
                  </w:pPr>
                </w:p>
              </w:tc>
              <w:tc>
                <w:tcPr>
                  <w:tcW w:w="530" w:type="dxa"/>
                  <w:vMerge w:val="continue"/>
                  <w:vAlign w:val="center"/>
                </w:tcPr>
                <w:p w14:paraId="035C5157">
                  <w:pPr>
                    <w:widowControl/>
                    <w:jc w:val="center"/>
                    <w:textAlignment w:val="center"/>
                    <w:rPr>
                      <w:color w:val="auto"/>
                      <w:kern w:val="0"/>
                      <w:szCs w:val="21"/>
                      <w:lang w:val="zh-CN" w:bidi="ar"/>
                    </w:rPr>
                  </w:pPr>
                </w:p>
              </w:tc>
              <w:tc>
                <w:tcPr>
                  <w:tcW w:w="1090" w:type="dxa"/>
                  <w:vAlign w:val="center"/>
                </w:tcPr>
                <w:p w14:paraId="2FE2A1D2">
                  <w:pPr>
                    <w:pStyle w:val="68"/>
                    <w:jc w:val="center"/>
                    <w:rPr>
                      <w:rFonts w:eastAsia="宋体"/>
                      <w:color w:val="auto"/>
                      <w:spacing w:val="-5"/>
                      <w:lang w:val="zh-CN" w:eastAsia="zh-CN"/>
                    </w:rPr>
                  </w:pPr>
                  <w:r>
                    <w:rPr>
                      <w:rFonts w:eastAsia="宋体"/>
                      <w:color w:val="auto"/>
                      <w:spacing w:val="-5"/>
                      <w:lang w:eastAsia="zh-CN"/>
                    </w:rPr>
                    <w:t>环境风险防控</w:t>
                  </w:r>
                </w:p>
              </w:tc>
              <w:tc>
                <w:tcPr>
                  <w:tcW w:w="6286" w:type="dxa"/>
                  <w:vAlign w:val="center"/>
                </w:tcPr>
                <w:p w14:paraId="4691ED8D">
                  <w:pPr>
                    <w:pStyle w:val="68"/>
                    <w:spacing w:before="37" w:line="234" w:lineRule="auto"/>
                    <w:ind w:right="89"/>
                    <w:rPr>
                      <w:color w:val="auto"/>
                      <w:spacing w:val="-4"/>
                      <w:lang w:eastAsia="zh-CN"/>
                    </w:rPr>
                  </w:pPr>
                  <w:r>
                    <w:rPr>
                      <w:rFonts w:hint="eastAsia" w:eastAsia="宋体"/>
                      <w:color w:val="auto"/>
                      <w:spacing w:val="-6"/>
                      <w:lang w:eastAsia="zh-CN"/>
                    </w:rPr>
                    <w:t>1、</w:t>
                  </w:r>
                  <w:r>
                    <w:rPr>
                      <w:color w:val="auto"/>
                      <w:spacing w:val="-6"/>
                      <w:lang w:eastAsia="zh-CN"/>
                    </w:rPr>
                    <w:t>铅酸蓄</w:t>
                  </w:r>
                  <w:r>
                    <w:rPr>
                      <w:color w:val="auto"/>
                      <w:spacing w:val="-4"/>
                      <w:lang w:eastAsia="zh-CN"/>
                    </w:rPr>
                    <w:t>电池、石油加工、</w:t>
                  </w:r>
                  <w:r>
                    <w:rPr>
                      <w:color w:val="auto"/>
                      <w:spacing w:val="-3"/>
                      <w:lang w:eastAsia="zh-CN"/>
                    </w:rPr>
                    <w:t>化工和危</w:t>
                  </w:r>
                  <w:r>
                    <w:rPr>
                      <w:color w:val="auto"/>
                      <w:spacing w:val="-6"/>
                      <w:lang w:eastAsia="zh-CN"/>
                    </w:rPr>
                    <w:t>险化学品</w:t>
                  </w:r>
                  <w:r>
                    <w:rPr>
                      <w:color w:val="auto"/>
                      <w:spacing w:val="-1"/>
                      <w:lang w:eastAsia="zh-CN"/>
                    </w:rPr>
                    <w:t>生产、储</w:t>
                  </w:r>
                  <w:r>
                    <w:rPr>
                      <w:color w:val="auto"/>
                      <w:spacing w:val="-3"/>
                      <w:lang w:eastAsia="zh-CN"/>
                    </w:rPr>
                    <w:t>存、使用等企业在拆除生产</w:t>
                  </w:r>
                  <w:r>
                    <w:rPr>
                      <w:color w:val="auto"/>
                      <w:spacing w:val="-5"/>
                      <w:lang w:eastAsia="zh-CN"/>
                    </w:rPr>
                    <w:t>设施设</w:t>
                  </w:r>
                  <w:r>
                    <w:rPr>
                      <w:color w:val="auto"/>
                      <w:spacing w:val="-4"/>
                      <w:lang w:eastAsia="zh-CN"/>
                    </w:rPr>
                    <w:t>备、污染治理设施</w:t>
                  </w:r>
                  <w:r>
                    <w:rPr>
                      <w:color w:val="auto"/>
                      <w:spacing w:val="-6"/>
                      <w:lang w:eastAsia="zh-CN"/>
                    </w:rPr>
                    <w:t>时，要事</w:t>
                  </w:r>
                  <w:r>
                    <w:rPr>
                      <w:color w:val="auto"/>
                      <w:spacing w:val="-4"/>
                      <w:lang w:eastAsia="zh-CN"/>
                    </w:rPr>
                    <w:t>先制定企</w:t>
                  </w:r>
                  <w:r>
                    <w:rPr>
                      <w:color w:val="auto"/>
                      <w:spacing w:val="-3"/>
                      <w:lang w:eastAsia="zh-CN"/>
                    </w:rPr>
                    <w:t>业拆除活动污染防</w:t>
                  </w:r>
                  <w:r>
                    <w:rPr>
                      <w:color w:val="auto"/>
                      <w:spacing w:val="-4"/>
                      <w:lang w:eastAsia="zh-CN"/>
                    </w:rPr>
                    <w:t>治方案和</w:t>
                  </w:r>
                  <w:r>
                    <w:rPr>
                      <w:color w:val="auto"/>
                      <w:spacing w:val="-3"/>
                      <w:lang w:eastAsia="zh-CN"/>
                    </w:rPr>
                    <w:t>拆除活动环境应急</w:t>
                  </w:r>
                  <w:r>
                    <w:rPr>
                      <w:color w:val="auto"/>
                      <w:spacing w:val="-4"/>
                      <w:lang w:eastAsia="zh-CN"/>
                    </w:rPr>
                    <w:t>预案。</w:t>
                  </w:r>
                </w:p>
                <w:p w14:paraId="4E27593F">
                  <w:pPr>
                    <w:pStyle w:val="68"/>
                    <w:spacing w:before="37" w:line="234" w:lineRule="auto"/>
                    <w:ind w:right="89"/>
                    <w:rPr>
                      <w:rFonts w:eastAsia="宋体"/>
                      <w:color w:val="auto"/>
                      <w:spacing w:val="-5"/>
                      <w:lang w:eastAsia="zh-CN"/>
                    </w:rPr>
                  </w:pPr>
                  <w:r>
                    <w:rPr>
                      <w:color w:val="auto"/>
                      <w:spacing w:val="-3"/>
                      <w:lang w:eastAsia="zh-CN"/>
                    </w:rPr>
                    <w:t>2、充分利用企业用地调查成</w:t>
                  </w:r>
                  <w:r>
                    <w:rPr>
                      <w:color w:val="auto"/>
                      <w:spacing w:val="-5"/>
                      <w:lang w:eastAsia="zh-CN"/>
                    </w:rPr>
                    <w:t>果和注</w:t>
                  </w:r>
                  <w:r>
                    <w:rPr>
                      <w:color w:val="auto"/>
                      <w:spacing w:val="-3"/>
                      <w:lang w:eastAsia="zh-CN"/>
                    </w:rPr>
                    <w:t>销、撤销排污许可的信息，</w:t>
                  </w:r>
                  <w:r>
                    <w:rPr>
                      <w:color w:val="auto"/>
                      <w:spacing w:val="-4"/>
                      <w:lang w:eastAsia="zh-CN"/>
                    </w:rPr>
                    <w:t>考虑行</w:t>
                  </w:r>
                  <w:r>
                    <w:rPr>
                      <w:color w:val="auto"/>
                      <w:spacing w:val="-3"/>
                      <w:lang w:eastAsia="zh-CN"/>
                    </w:rPr>
                    <w:t>业、生产年限等因素，确定优先监管地块，并按要求采取污染管控措施。</w:t>
                  </w:r>
                </w:p>
              </w:tc>
              <w:tc>
                <w:tcPr>
                  <w:tcW w:w="2425" w:type="dxa"/>
                  <w:vAlign w:val="center"/>
                </w:tcPr>
                <w:p w14:paraId="598E49FF">
                  <w:pPr>
                    <w:widowControl/>
                    <w:jc w:val="left"/>
                    <w:textAlignment w:val="center"/>
                    <w:rPr>
                      <w:rFonts w:hint="eastAsia"/>
                      <w:color w:val="auto"/>
                      <w:kern w:val="0"/>
                      <w:szCs w:val="21"/>
                      <w:lang w:bidi="ar"/>
                    </w:rPr>
                  </w:pPr>
                  <w:r>
                    <w:rPr>
                      <w:rFonts w:hint="eastAsia"/>
                      <w:color w:val="auto"/>
                      <w:kern w:val="0"/>
                      <w:szCs w:val="21"/>
                      <w:lang w:bidi="ar"/>
                    </w:rPr>
                    <w:t>1、本项目不涉及；</w:t>
                  </w:r>
                </w:p>
                <w:p w14:paraId="5E879D17">
                  <w:pPr>
                    <w:widowControl/>
                    <w:jc w:val="left"/>
                    <w:textAlignment w:val="center"/>
                    <w:rPr>
                      <w:color w:val="auto"/>
                      <w:kern w:val="0"/>
                      <w:szCs w:val="21"/>
                      <w:lang w:bidi="ar"/>
                    </w:rPr>
                  </w:pPr>
                  <w:r>
                    <w:rPr>
                      <w:rFonts w:hint="eastAsia"/>
                      <w:color w:val="auto"/>
                      <w:kern w:val="0"/>
                      <w:szCs w:val="21"/>
                      <w:lang w:bidi="ar"/>
                    </w:rPr>
                    <w:t>2、本项目不涉及。</w:t>
                  </w:r>
                </w:p>
              </w:tc>
            </w:tr>
            <w:tr w14:paraId="05BAF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935" w:type="dxa"/>
                  <w:vMerge w:val="continue"/>
                  <w:vAlign w:val="center"/>
                </w:tcPr>
                <w:p w14:paraId="5B0C9F9D">
                  <w:pPr>
                    <w:widowControl/>
                    <w:jc w:val="center"/>
                    <w:textAlignment w:val="center"/>
                    <w:rPr>
                      <w:color w:val="auto"/>
                      <w:kern w:val="0"/>
                      <w:szCs w:val="21"/>
                      <w:lang w:val="zh-CN" w:bidi="ar"/>
                    </w:rPr>
                  </w:pPr>
                </w:p>
              </w:tc>
              <w:tc>
                <w:tcPr>
                  <w:tcW w:w="873" w:type="dxa"/>
                  <w:vMerge w:val="continue"/>
                  <w:vAlign w:val="center"/>
                </w:tcPr>
                <w:p w14:paraId="063C1C6E">
                  <w:pPr>
                    <w:widowControl/>
                    <w:jc w:val="center"/>
                    <w:textAlignment w:val="center"/>
                    <w:rPr>
                      <w:color w:val="auto"/>
                      <w:kern w:val="0"/>
                      <w:szCs w:val="21"/>
                      <w:lang w:val="zh-CN" w:bidi="ar"/>
                    </w:rPr>
                  </w:pPr>
                </w:p>
              </w:tc>
              <w:tc>
                <w:tcPr>
                  <w:tcW w:w="790" w:type="dxa"/>
                  <w:vMerge w:val="continue"/>
                  <w:vAlign w:val="center"/>
                </w:tcPr>
                <w:p w14:paraId="14A455E2">
                  <w:pPr>
                    <w:widowControl/>
                    <w:jc w:val="center"/>
                    <w:textAlignment w:val="center"/>
                    <w:rPr>
                      <w:color w:val="auto"/>
                      <w:kern w:val="0"/>
                      <w:szCs w:val="21"/>
                      <w:lang w:val="zh-CN" w:bidi="ar"/>
                    </w:rPr>
                  </w:pPr>
                </w:p>
              </w:tc>
              <w:tc>
                <w:tcPr>
                  <w:tcW w:w="531" w:type="dxa"/>
                  <w:vMerge w:val="continue"/>
                  <w:vAlign w:val="center"/>
                </w:tcPr>
                <w:p w14:paraId="46120412">
                  <w:pPr>
                    <w:widowControl/>
                    <w:jc w:val="center"/>
                    <w:textAlignment w:val="center"/>
                    <w:rPr>
                      <w:color w:val="auto"/>
                      <w:kern w:val="0"/>
                      <w:szCs w:val="21"/>
                      <w:lang w:val="zh-CN" w:bidi="ar"/>
                    </w:rPr>
                  </w:pPr>
                </w:p>
              </w:tc>
              <w:tc>
                <w:tcPr>
                  <w:tcW w:w="530" w:type="dxa"/>
                  <w:vMerge w:val="continue"/>
                  <w:vAlign w:val="center"/>
                </w:tcPr>
                <w:p w14:paraId="0E51EB37">
                  <w:pPr>
                    <w:widowControl/>
                    <w:jc w:val="center"/>
                    <w:textAlignment w:val="center"/>
                    <w:rPr>
                      <w:color w:val="auto"/>
                      <w:kern w:val="0"/>
                      <w:szCs w:val="21"/>
                      <w:lang w:val="zh-CN" w:bidi="ar"/>
                    </w:rPr>
                  </w:pPr>
                </w:p>
              </w:tc>
              <w:tc>
                <w:tcPr>
                  <w:tcW w:w="1090" w:type="dxa"/>
                  <w:vAlign w:val="center"/>
                </w:tcPr>
                <w:p w14:paraId="0B773E74">
                  <w:pPr>
                    <w:widowControl/>
                    <w:jc w:val="center"/>
                    <w:textAlignment w:val="center"/>
                    <w:rPr>
                      <w:color w:val="auto"/>
                      <w:kern w:val="0"/>
                      <w:szCs w:val="21"/>
                      <w:lang w:val="zh-CN" w:bidi="ar"/>
                    </w:rPr>
                  </w:pPr>
                  <w:r>
                    <w:rPr>
                      <w:color w:val="auto"/>
                      <w:szCs w:val="21"/>
                    </w:rPr>
                    <w:t>资源开发效率要求</w:t>
                  </w:r>
                </w:p>
              </w:tc>
              <w:tc>
                <w:tcPr>
                  <w:tcW w:w="6286" w:type="dxa"/>
                  <w:vAlign w:val="center"/>
                </w:tcPr>
                <w:p w14:paraId="21027B32">
                  <w:pPr>
                    <w:widowControl/>
                    <w:textAlignment w:val="center"/>
                    <w:rPr>
                      <w:color w:val="auto"/>
                      <w:kern w:val="0"/>
                      <w:szCs w:val="21"/>
                      <w:lang w:bidi="ar"/>
                    </w:rPr>
                  </w:pPr>
                  <w:r>
                    <w:rPr>
                      <w:color w:val="auto"/>
                      <w:kern w:val="0"/>
                      <w:szCs w:val="21"/>
                      <w:lang w:bidi="ar"/>
                    </w:rPr>
                    <w:t>地下水超采地区，控制采用地下水的高耗水新建、改建、扩建项目。</w:t>
                  </w:r>
                </w:p>
              </w:tc>
              <w:tc>
                <w:tcPr>
                  <w:tcW w:w="2425" w:type="dxa"/>
                  <w:vAlign w:val="center"/>
                </w:tcPr>
                <w:p w14:paraId="1FFBED55">
                  <w:pPr>
                    <w:widowControl/>
                    <w:jc w:val="center"/>
                    <w:textAlignment w:val="center"/>
                    <w:rPr>
                      <w:color w:val="auto"/>
                      <w:kern w:val="0"/>
                      <w:szCs w:val="21"/>
                      <w:lang w:bidi="ar"/>
                    </w:rPr>
                  </w:pPr>
                  <w:r>
                    <w:rPr>
                      <w:rFonts w:hint="eastAsia"/>
                      <w:color w:val="auto"/>
                      <w:kern w:val="0"/>
                      <w:szCs w:val="21"/>
                      <w:lang w:bidi="ar"/>
                    </w:rPr>
                    <w:t>本项目不使用地下水。</w:t>
                  </w:r>
                </w:p>
              </w:tc>
            </w:tr>
          </w:tbl>
          <w:p w14:paraId="48B39AF1">
            <w:pPr>
              <w:pStyle w:val="10"/>
              <w:spacing w:before="0" w:after="0" w:line="360" w:lineRule="auto"/>
              <w:ind w:right="0" w:firstLine="480" w:firstLineChars="200"/>
              <w:rPr>
                <w:color w:val="auto"/>
                <w:kern w:val="2"/>
                <w:sz w:val="24"/>
                <w:szCs w:val="24"/>
              </w:rPr>
            </w:pPr>
            <w:r>
              <w:rPr>
                <w:color w:val="auto"/>
                <w:kern w:val="2"/>
                <w:sz w:val="24"/>
                <w:szCs w:val="24"/>
              </w:rPr>
              <w:fldChar w:fldCharType="begin"/>
            </w:r>
            <w:r>
              <w:rPr>
                <w:color w:val="auto"/>
                <w:kern w:val="2"/>
                <w:sz w:val="24"/>
                <w:szCs w:val="24"/>
              </w:rPr>
              <w:instrText xml:space="preserve"> = 4 \* GB3 \* MERGEFORMAT </w:instrText>
            </w:r>
            <w:r>
              <w:rPr>
                <w:color w:val="auto"/>
                <w:kern w:val="2"/>
                <w:sz w:val="24"/>
                <w:szCs w:val="24"/>
              </w:rPr>
              <w:fldChar w:fldCharType="separate"/>
            </w:r>
            <w:r>
              <w:rPr>
                <w:color w:val="auto"/>
                <w:sz w:val="24"/>
                <w:szCs w:val="24"/>
              </w:rPr>
              <w:t>④</w:t>
            </w:r>
            <w:r>
              <w:rPr>
                <w:color w:val="auto"/>
                <w:kern w:val="2"/>
                <w:sz w:val="24"/>
                <w:szCs w:val="24"/>
              </w:rPr>
              <w:fldChar w:fldCharType="end"/>
            </w:r>
            <w:r>
              <w:rPr>
                <w:color w:val="auto"/>
                <w:kern w:val="2"/>
                <w:sz w:val="24"/>
                <w:szCs w:val="24"/>
              </w:rPr>
              <w:t>水环境管控分区分析</w:t>
            </w:r>
          </w:p>
          <w:p w14:paraId="2B34E821">
            <w:pPr>
              <w:pStyle w:val="10"/>
              <w:spacing w:before="0" w:after="0" w:line="360" w:lineRule="auto"/>
              <w:ind w:right="0" w:firstLine="480" w:firstLineChars="200"/>
              <w:rPr>
                <w:color w:val="auto"/>
                <w:kern w:val="2"/>
                <w:sz w:val="24"/>
                <w:szCs w:val="24"/>
              </w:rPr>
            </w:pPr>
            <w:r>
              <w:rPr>
                <w:color w:val="auto"/>
                <w:kern w:val="2"/>
                <w:sz w:val="24"/>
                <w:szCs w:val="24"/>
              </w:rPr>
              <w:t>经比对，项目涉及1个河南省水环境管控分区，其中水环境优先保护区0个</w:t>
            </w:r>
            <w:r>
              <w:rPr>
                <w:rFonts w:hint="eastAsia"/>
                <w:color w:val="auto"/>
                <w:kern w:val="2"/>
                <w:sz w:val="24"/>
                <w:szCs w:val="24"/>
              </w:rPr>
              <w:t>，</w:t>
            </w:r>
            <w:r>
              <w:rPr>
                <w:color w:val="auto"/>
                <w:kern w:val="2"/>
                <w:sz w:val="24"/>
                <w:szCs w:val="24"/>
              </w:rPr>
              <w:t>工业污染重点管控区1个</w:t>
            </w:r>
            <w:r>
              <w:rPr>
                <w:rFonts w:hint="eastAsia"/>
                <w:color w:val="auto"/>
                <w:kern w:val="2"/>
                <w:sz w:val="24"/>
                <w:szCs w:val="24"/>
              </w:rPr>
              <w:t>，</w:t>
            </w:r>
            <w:r>
              <w:rPr>
                <w:color w:val="auto"/>
                <w:kern w:val="2"/>
                <w:sz w:val="24"/>
                <w:szCs w:val="24"/>
              </w:rPr>
              <w:t>城镇生活污染重点管控区0个</w:t>
            </w:r>
            <w:r>
              <w:rPr>
                <w:rFonts w:hint="eastAsia"/>
                <w:color w:val="auto"/>
                <w:kern w:val="2"/>
                <w:sz w:val="24"/>
                <w:szCs w:val="24"/>
              </w:rPr>
              <w:t>，</w:t>
            </w:r>
            <w:r>
              <w:rPr>
                <w:color w:val="auto"/>
                <w:kern w:val="2"/>
                <w:sz w:val="24"/>
                <w:szCs w:val="24"/>
              </w:rPr>
              <w:t>农业污染重点管控区0个</w:t>
            </w:r>
            <w:r>
              <w:rPr>
                <w:rFonts w:hint="eastAsia"/>
                <w:color w:val="auto"/>
                <w:kern w:val="2"/>
                <w:sz w:val="24"/>
                <w:szCs w:val="24"/>
              </w:rPr>
              <w:t>，</w:t>
            </w:r>
            <w:r>
              <w:rPr>
                <w:color w:val="auto"/>
                <w:kern w:val="2"/>
                <w:sz w:val="24"/>
                <w:szCs w:val="24"/>
              </w:rPr>
              <w:t>水环境一般管控区0个，详见下表。</w:t>
            </w:r>
          </w:p>
          <w:p w14:paraId="6D6CB42B">
            <w:pPr>
              <w:pStyle w:val="46"/>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eastAsia" w:ascii="Times New Roman" w:hAnsi="Arial Unicode MS" w:eastAsia="宋体" w:cs="Times New Roman"/>
                <w:b/>
                <w:color w:val="auto"/>
                <w:kern w:val="2"/>
                <w:sz w:val="24"/>
                <w:szCs w:val="24"/>
                <w:lang w:val="en-US" w:eastAsia="zh-CN" w:bidi="ar-SA"/>
              </w:rPr>
            </w:pPr>
            <w:r>
              <w:rPr>
                <w:rFonts w:hint="eastAsia" w:ascii="Times New Roman" w:hAnsi="Arial Unicode MS" w:eastAsia="宋体" w:cs="Times New Roman"/>
                <w:b/>
                <w:color w:val="auto"/>
                <w:kern w:val="2"/>
                <w:sz w:val="24"/>
                <w:szCs w:val="24"/>
                <w:lang w:val="en-US" w:eastAsia="zh-CN" w:bidi="ar-SA"/>
              </w:rPr>
              <w:t>项目涉及河南省水环境管控一览表</w:t>
            </w:r>
          </w:p>
          <w:tbl>
            <w:tblPr>
              <w:tblStyle w:val="25"/>
              <w:tblW w:w="13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
              <w:gridCol w:w="914"/>
              <w:gridCol w:w="789"/>
              <w:gridCol w:w="530"/>
              <w:gridCol w:w="530"/>
              <w:gridCol w:w="1090"/>
              <w:gridCol w:w="5963"/>
              <w:gridCol w:w="2749"/>
            </w:tblGrid>
            <w:tr w14:paraId="78C5F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5" w:type="dxa"/>
                  <w:vAlign w:val="center"/>
                </w:tcPr>
                <w:p w14:paraId="555054F2">
                  <w:pPr>
                    <w:pStyle w:val="68"/>
                    <w:jc w:val="center"/>
                    <w:rPr>
                      <w:rFonts w:eastAsia="宋体"/>
                      <w:b/>
                      <w:bCs/>
                      <w:color w:val="auto"/>
                      <w:kern w:val="0"/>
                      <w:lang w:val="zh-CN" w:eastAsia="zh-CN" w:bidi="ar"/>
                    </w:rPr>
                  </w:pPr>
                  <w:r>
                    <w:rPr>
                      <w:b/>
                      <w:bCs/>
                      <w:color w:val="auto"/>
                      <w:spacing w:val="-5"/>
                    </w:rPr>
                    <w:t>环境管控单元</w:t>
                  </w:r>
                  <w:r>
                    <w:rPr>
                      <w:b/>
                      <w:bCs/>
                      <w:color w:val="auto"/>
                      <w:spacing w:val="-9"/>
                    </w:rPr>
                    <w:t>编码</w:t>
                  </w:r>
                </w:p>
              </w:tc>
              <w:tc>
                <w:tcPr>
                  <w:tcW w:w="914" w:type="dxa"/>
                  <w:vAlign w:val="center"/>
                </w:tcPr>
                <w:p w14:paraId="740B9C6A">
                  <w:pPr>
                    <w:pStyle w:val="68"/>
                    <w:jc w:val="center"/>
                    <w:rPr>
                      <w:rFonts w:eastAsia="宋体"/>
                      <w:b/>
                      <w:bCs/>
                      <w:color w:val="auto"/>
                      <w:kern w:val="0"/>
                      <w:lang w:val="zh-CN" w:eastAsia="zh-CN" w:bidi="ar"/>
                    </w:rPr>
                  </w:pPr>
                  <w:r>
                    <w:rPr>
                      <w:b/>
                      <w:bCs/>
                      <w:color w:val="auto"/>
                      <w:spacing w:val="-5"/>
                      <w:lang w:eastAsia="zh-CN"/>
                    </w:rPr>
                    <w:t>水</w:t>
                  </w:r>
                  <w:r>
                    <w:rPr>
                      <w:b/>
                      <w:bCs/>
                      <w:color w:val="auto"/>
                      <w:spacing w:val="-5"/>
                    </w:rPr>
                    <w:t>环境管控单元</w:t>
                  </w:r>
                  <w:r>
                    <w:rPr>
                      <w:b/>
                      <w:bCs/>
                      <w:color w:val="auto"/>
                      <w:spacing w:val="-9"/>
                    </w:rPr>
                    <w:t>名称</w:t>
                  </w:r>
                </w:p>
              </w:tc>
              <w:tc>
                <w:tcPr>
                  <w:tcW w:w="789" w:type="dxa"/>
                  <w:vAlign w:val="center"/>
                </w:tcPr>
                <w:p w14:paraId="53B0139C">
                  <w:pPr>
                    <w:pStyle w:val="68"/>
                    <w:jc w:val="center"/>
                    <w:rPr>
                      <w:rFonts w:eastAsia="宋体"/>
                      <w:b/>
                      <w:bCs/>
                      <w:color w:val="auto"/>
                      <w:kern w:val="0"/>
                      <w:lang w:val="zh-CN" w:eastAsia="zh-CN" w:bidi="ar"/>
                    </w:rPr>
                  </w:pPr>
                  <w:r>
                    <w:rPr>
                      <w:b/>
                      <w:bCs/>
                      <w:color w:val="auto"/>
                      <w:spacing w:val="-7"/>
                    </w:rPr>
                    <w:t>管控分</w:t>
                  </w:r>
                  <w:r>
                    <w:rPr>
                      <w:b/>
                      <w:bCs/>
                      <w:color w:val="auto"/>
                      <w:spacing w:val="-3"/>
                    </w:rPr>
                    <w:t>类</w:t>
                  </w:r>
                </w:p>
              </w:tc>
              <w:tc>
                <w:tcPr>
                  <w:tcW w:w="530" w:type="dxa"/>
                  <w:vAlign w:val="center"/>
                </w:tcPr>
                <w:p w14:paraId="03DB5761">
                  <w:pPr>
                    <w:pStyle w:val="68"/>
                    <w:jc w:val="center"/>
                    <w:rPr>
                      <w:rFonts w:eastAsia="宋体"/>
                      <w:b/>
                      <w:bCs/>
                      <w:color w:val="auto"/>
                      <w:kern w:val="0"/>
                      <w:lang w:val="zh-CN" w:eastAsia="zh-CN" w:bidi="ar"/>
                    </w:rPr>
                  </w:pPr>
                  <w:r>
                    <w:rPr>
                      <w:b/>
                      <w:bCs/>
                      <w:color w:val="auto"/>
                      <w:spacing w:val="-3"/>
                    </w:rPr>
                    <w:t>市</w:t>
                  </w:r>
                </w:p>
              </w:tc>
              <w:tc>
                <w:tcPr>
                  <w:tcW w:w="530" w:type="dxa"/>
                  <w:vAlign w:val="center"/>
                </w:tcPr>
                <w:p w14:paraId="2F064913">
                  <w:pPr>
                    <w:pStyle w:val="68"/>
                    <w:jc w:val="center"/>
                    <w:rPr>
                      <w:rFonts w:eastAsia="宋体"/>
                      <w:b/>
                      <w:bCs/>
                      <w:color w:val="auto"/>
                      <w:kern w:val="0"/>
                      <w:lang w:val="zh-CN" w:eastAsia="zh-CN" w:bidi="ar"/>
                    </w:rPr>
                  </w:pPr>
                  <w:r>
                    <w:rPr>
                      <w:b/>
                      <w:bCs/>
                      <w:color w:val="auto"/>
                      <w:spacing w:val="-17"/>
                    </w:rPr>
                    <w:t>区县</w:t>
                  </w:r>
                </w:p>
              </w:tc>
              <w:tc>
                <w:tcPr>
                  <w:tcW w:w="7053" w:type="dxa"/>
                  <w:gridSpan w:val="2"/>
                  <w:vAlign w:val="center"/>
                </w:tcPr>
                <w:p w14:paraId="3B651286">
                  <w:pPr>
                    <w:widowControl/>
                    <w:jc w:val="center"/>
                    <w:textAlignment w:val="center"/>
                    <w:rPr>
                      <w:b/>
                      <w:bCs/>
                      <w:color w:val="auto"/>
                      <w:kern w:val="0"/>
                      <w:szCs w:val="21"/>
                      <w:lang w:val="zh-CN" w:bidi="ar"/>
                    </w:rPr>
                  </w:pPr>
                  <w:r>
                    <w:rPr>
                      <w:b/>
                      <w:bCs/>
                      <w:color w:val="auto"/>
                      <w:kern w:val="0"/>
                      <w:szCs w:val="21"/>
                      <w:lang w:val="zh-CN" w:bidi="ar"/>
                    </w:rPr>
                    <w:t>管控要求</w:t>
                  </w:r>
                </w:p>
              </w:tc>
              <w:tc>
                <w:tcPr>
                  <w:tcW w:w="2749" w:type="dxa"/>
                  <w:vAlign w:val="center"/>
                </w:tcPr>
                <w:p w14:paraId="4B97BCB8">
                  <w:pPr>
                    <w:pStyle w:val="7"/>
                    <w:tabs>
                      <w:tab w:val="left" w:pos="2010"/>
                    </w:tabs>
                    <w:jc w:val="center"/>
                    <w:rPr>
                      <w:b/>
                      <w:bCs/>
                      <w:color w:val="auto"/>
                      <w:szCs w:val="21"/>
                      <w:lang w:val="zh-CN"/>
                    </w:rPr>
                  </w:pPr>
                  <w:r>
                    <w:rPr>
                      <w:b/>
                      <w:bCs/>
                      <w:color w:val="auto"/>
                      <w:szCs w:val="21"/>
                      <w:lang w:val="zh-CN"/>
                    </w:rPr>
                    <w:t>本项目情况</w:t>
                  </w:r>
                </w:p>
              </w:tc>
            </w:tr>
            <w:tr w14:paraId="3C34D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895" w:type="dxa"/>
                  <w:vMerge w:val="restart"/>
                  <w:vAlign w:val="center"/>
                </w:tcPr>
                <w:p w14:paraId="57AACF9C">
                  <w:pPr>
                    <w:pStyle w:val="68"/>
                    <w:jc w:val="center"/>
                    <w:rPr>
                      <w:color w:val="auto"/>
                      <w:spacing w:val="-5"/>
                      <w:lang w:eastAsia="zh-CN"/>
                    </w:rPr>
                  </w:pPr>
                  <w:r>
                    <w:rPr>
                      <w:color w:val="auto"/>
                      <w:spacing w:val="-5"/>
                    </w:rPr>
                    <w:t>YS4109222210065</w:t>
                  </w:r>
                </w:p>
              </w:tc>
              <w:tc>
                <w:tcPr>
                  <w:tcW w:w="914" w:type="dxa"/>
                  <w:vMerge w:val="restart"/>
                  <w:vAlign w:val="center"/>
                </w:tcPr>
                <w:p w14:paraId="3BA049B7">
                  <w:pPr>
                    <w:pStyle w:val="68"/>
                    <w:jc w:val="center"/>
                    <w:rPr>
                      <w:color w:val="auto"/>
                      <w:spacing w:val="-5"/>
                      <w:lang w:eastAsia="zh-CN"/>
                    </w:rPr>
                  </w:pPr>
                  <w:r>
                    <w:rPr>
                      <w:color w:val="auto"/>
                      <w:spacing w:val="-5"/>
                      <w:lang w:eastAsia="zh-CN"/>
                    </w:rPr>
                    <w:t>清丰县先进制造业开发区</w:t>
                  </w:r>
                </w:p>
              </w:tc>
              <w:tc>
                <w:tcPr>
                  <w:tcW w:w="789" w:type="dxa"/>
                  <w:vMerge w:val="restart"/>
                  <w:vAlign w:val="center"/>
                </w:tcPr>
                <w:p w14:paraId="4B45C495">
                  <w:pPr>
                    <w:pStyle w:val="68"/>
                    <w:jc w:val="center"/>
                    <w:rPr>
                      <w:color w:val="auto"/>
                      <w:spacing w:val="-5"/>
                      <w:lang w:eastAsia="zh-CN"/>
                    </w:rPr>
                  </w:pPr>
                  <w:r>
                    <w:rPr>
                      <w:color w:val="auto"/>
                      <w:spacing w:val="-5"/>
                    </w:rPr>
                    <w:t>重点</w:t>
                  </w:r>
                </w:p>
              </w:tc>
              <w:tc>
                <w:tcPr>
                  <w:tcW w:w="530" w:type="dxa"/>
                  <w:vMerge w:val="restart"/>
                  <w:vAlign w:val="center"/>
                </w:tcPr>
                <w:p w14:paraId="6E50B3EB">
                  <w:pPr>
                    <w:pStyle w:val="68"/>
                    <w:jc w:val="center"/>
                    <w:rPr>
                      <w:color w:val="auto"/>
                      <w:spacing w:val="-5"/>
                      <w:lang w:eastAsia="zh-CN"/>
                    </w:rPr>
                  </w:pPr>
                  <w:r>
                    <w:rPr>
                      <w:color w:val="auto"/>
                      <w:spacing w:val="-5"/>
                    </w:rPr>
                    <w:t>濮阳市</w:t>
                  </w:r>
                </w:p>
              </w:tc>
              <w:tc>
                <w:tcPr>
                  <w:tcW w:w="530" w:type="dxa"/>
                  <w:vMerge w:val="restart"/>
                  <w:vAlign w:val="center"/>
                </w:tcPr>
                <w:p w14:paraId="4B5B1B61">
                  <w:pPr>
                    <w:pStyle w:val="68"/>
                    <w:jc w:val="center"/>
                    <w:rPr>
                      <w:color w:val="auto"/>
                      <w:spacing w:val="-5"/>
                      <w:lang w:eastAsia="zh-CN"/>
                    </w:rPr>
                  </w:pPr>
                  <w:r>
                    <w:rPr>
                      <w:color w:val="auto"/>
                      <w:spacing w:val="-5"/>
                    </w:rPr>
                    <w:t>清丰县</w:t>
                  </w:r>
                </w:p>
              </w:tc>
              <w:tc>
                <w:tcPr>
                  <w:tcW w:w="1090" w:type="dxa"/>
                  <w:vAlign w:val="center"/>
                </w:tcPr>
                <w:p w14:paraId="3550805D">
                  <w:pPr>
                    <w:pStyle w:val="68"/>
                    <w:jc w:val="center"/>
                    <w:rPr>
                      <w:rFonts w:eastAsia="宋体"/>
                      <w:color w:val="auto"/>
                      <w:spacing w:val="-5"/>
                      <w:lang w:eastAsia="zh-CN"/>
                    </w:rPr>
                  </w:pPr>
                  <w:r>
                    <w:rPr>
                      <w:rFonts w:eastAsia="宋体"/>
                      <w:color w:val="auto"/>
                      <w:spacing w:val="-5"/>
                      <w:lang w:eastAsia="zh-CN"/>
                    </w:rPr>
                    <w:t>空间布局约束</w:t>
                  </w:r>
                </w:p>
              </w:tc>
              <w:tc>
                <w:tcPr>
                  <w:tcW w:w="5963" w:type="dxa"/>
                  <w:vAlign w:val="center"/>
                </w:tcPr>
                <w:p w14:paraId="67481B10">
                  <w:pPr>
                    <w:pStyle w:val="68"/>
                    <w:rPr>
                      <w:rFonts w:eastAsia="宋体"/>
                      <w:color w:val="auto"/>
                      <w:spacing w:val="-5"/>
                      <w:lang w:val="zh-CN" w:eastAsia="zh-CN"/>
                    </w:rPr>
                  </w:pPr>
                  <w:r>
                    <w:rPr>
                      <w:rFonts w:eastAsia="宋体"/>
                      <w:color w:val="auto"/>
                      <w:spacing w:val="-5"/>
                      <w:lang w:val="zh-CN" w:eastAsia="zh-CN"/>
                    </w:rPr>
                    <w:t>入驻项目应符合园区规划或规划环评的要求，禁止发展用排水量较大或污染严重风险较大的化学原料、医药中间体等化工项目，按照用排水量控制屠宰项目。</w:t>
                  </w:r>
                </w:p>
              </w:tc>
              <w:tc>
                <w:tcPr>
                  <w:tcW w:w="2749" w:type="dxa"/>
                  <w:vAlign w:val="center"/>
                </w:tcPr>
                <w:p w14:paraId="3254D6CE">
                  <w:pPr>
                    <w:widowControl/>
                    <w:jc w:val="center"/>
                    <w:textAlignment w:val="center"/>
                    <w:rPr>
                      <w:color w:val="auto"/>
                      <w:szCs w:val="21"/>
                    </w:rPr>
                  </w:pPr>
                  <w:r>
                    <w:rPr>
                      <w:rFonts w:hint="eastAsia"/>
                      <w:color w:val="auto"/>
                      <w:szCs w:val="21"/>
                    </w:rPr>
                    <w:t>本项目符合规划和规划环评要求。</w:t>
                  </w:r>
                </w:p>
              </w:tc>
            </w:tr>
            <w:tr w14:paraId="1E7DE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895" w:type="dxa"/>
                  <w:vMerge w:val="continue"/>
                  <w:vAlign w:val="center"/>
                </w:tcPr>
                <w:p w14:paraId="34107743">
                  <w:pPr>
                    <w:widowControl/>
                    <w:jc w:val="center"/>
                    <w:textAlignment w:val="center"/>
                    <w:rPr>
                      <w:color w:val="auto"/>
                      <w:kern w:val="0"/>
                      <w:szCs w:val="21"/>
                      <w:lang w:val="zh-CN" w:bidi="ar"/>
                    </w:rPr>
                  </w:pPr>
                </w:p>
              </w:tc>
              <w:tc>
                <w:tcPr>
                  <w:tcW w:w="914" w:type="dxa"/>
                  <w:vMerge w:val="continue"/>
                  <w:vAlign w:val="center"/>
                </w:tcPr>
                <w:p w14:paraId="3A4A4EF4">
                  <w:pPr>
                    <w:widowControl/>
                    <w:jc w:val="center"/>
                    <w:textAlignment w:val="center"/>
                    <w:rPr>
                      <w:color w:val="auto"/>
                      <w:kern w:val="0"/>
                      <w:szCs w:val="21"/>
                      <w:lang w:val="zh-CN" w:bidi="ar"/>
                    </w:rPr>
                  </w:pPr>
                </w:p>
              </w:tc>
              <w:tc>
                <w:tcPr>
                  <w:tcW w:w="789" w:type="dxa"/>
                  <w:vMerge w:val="continue"/>
                  <w:vAlign w:val="center"/>
                </w:tcPr>
                <w:p w14:paraId="6C2224A3">
                  <w:pPr>
                    <w:widowControl/>
                    <w:jc w:val="center"/>
                    <w:textAlignment w:val="center"/>
                    <w:rPr>
                      <w:color w:val="auto"/>
                      <w:kern w:val="0"/>
                      <w:szCs w:val="21"/>
                      <w:lang w:val="zh-CN" w:bidi="ar"/>
                    </w:rPr>
                  </w:pPr>
                </w:p>
              </w:tc>
              <w:tc>
                <w:tcPr>
                  <w:tcW w:w="530" w:type="dxa"/>
                  <w:vMerge w:val="continue"/>
                  <w:vAlign w:val="center"/>
                </w:tcPr>
                <w:p w14:paraId="3C244AD7">
                  <w:pPr>
                    <w:widowControl/>
                    <w:jc w:val="center"/>
                    <w:textAlignment w:val="center"/>
                    <w:rPr>
                      <w:color w:val="auto"/>
                      <w:kern w:val="0"/>
                      <w:szCs w:val="21"/>
                      <w:lang w:val="zh-CN" w:bidi="ar"/>
                    </w:rPr>
                  </w:pPr>
                </w:p>
              </w:tc>
              <w:tc>
                <w:tcPr>
                  <w:tcW w:w="530" w:type="dxa"/>
                  <w:vMerge w:val="continue"/>
                  <w:vAlign w:val="center"/>
                </w:tcPr>
                <w:p w14:paraId="4CD11612">
                  <w:pPr>
                    <w:widowControl/>
                    <w:jc w:val="center"/>
                    <w:textAlignment w:val="center"/>
                    <w:rPr>
                      <w:color w:val="auto"/>
                      <w:kern w:val="0"/>
                      <w:szCs w:val="21"/>
                      <w:lang w:val="zh-CN" w:bidi="ar"/>
                    </w:rPr>
                  </w:pPr>
                </w:p>
              </w:tc>
              <w:tc>
                <w:tcPr>
                  <w:tcW w:w="1090" w:type="dxa"/>
                  <w:vAlign w:val="center"/>
                </w:tcPr>
                <w:p w14:paraId="5B5E38C8">
                  <w:pPr>
                    <w:pStyle w:val="68"/>
                    <w:jc w:val="center"/>
                    <w:rPr>
                      <w:rFonts w:eastAsia="宋体"/>
                      <w:color w:val="auto"/>
                      <w:spacing w:val="-5"/>
                      <w:lang w:val="zh-CN" w:eastAsia="zh-CN"/>
                    </w:rPr>
                  </w:pPr>
                  <w:r>
                    <w:rPr>
                      <w:rFonts w:eastAsia="宋体"/>
                      <w:color w:val="auto"/>
                      <w:spacing w:val="-5"/>
                      <w:lang w:eastAsia="zh-CN"/>
                    </w:rPr>
                    <w:t>污染物排放管控</w:t>
                  </w:r>
                </w:p>
              </w:tc>
              <w:tc>
                <w:tcPr>
                  <w:tcW w:w="5963" w:type="dxa"/>
                  <w:vAlign w:val="center"/>
                </w:tcPr>
                <w:p w14:paraId="190E95E2">
                  <w:pPr>
                    <w:pStyle w:val="68"/>
                    <w:rPr>
                      <w:rFonts w:eastAsia="宋体"/>
                      <w:color w:val="auto"/>
                      <w:spacing w:val="-5"/>
                      <w:lang w:eastAsia="zh-CN"/>
                    </w:rPr>
                  </w:pPr>
                  <w:r>
                    <w:rPr>
                      <w:rFonts w:eastAsia="宋体"/>
                      <w:color w:val="auto"/>
                      <w:spacing w:val="-5"/>
                      <w:lang w:eastAsia="zh-CN"/>
                    </w:rPr>
                    <w:t>完善雨水、污水收集系统和排放系统，污水和生产物料输送管线需保证密封；禁止含重金属废水进入城市生活污水处理厂。</w:t>
                  </w:r>
                </w:p>
              </w:tc>
              <w:tc>
                <w:tcPr>
                  <w:tcW w:w="2749" w:type="dxa"/>
                  <w:vAlign w:val="center"/>
                </w:tcPr>
                <w:p w14:paraId="326CA7E6">
                  <w:pPr>
                    <w:widowControl/>
                    <w:jc w:val="center"/>
                    <w:textAlignment w:val="center"/>
                    <w:rPr>
                      <w:color w:val="auto"/>
                      <w:kern w:val="0"/>
                      <w:szCs w:val="21"/>
                      <w:lang w:bidi="ar"/>
                    </w:rPr>
                  </w:pPr>
                  <w:r>
                    <w:rPr>
                      <w:rFonts w:hint="eastAsia"/>
                      <w:color w:val="auto"/>
                      <w:kern w:val="0"/>
                      <w:szCs w:val="21"/>
                      <w:lang w:bidi="ar"/>
                    </w:rPr>
                    <w:t>本项目</w:t>
                  </w:r>
                  <w:r>
                    <w:rPr>
                      <w:rFonts w:hint="eastAsia"/>
                      <w:color w:val="auto"/>
                      <w:kern w:val="0"/>
                      <w:szCs w:val="21"/>
                      <w:lang w:val="en-US" w:eastAsia="zh-CN" w:bidi="ar"/>
                    </w:rPr>
                    <w:t>制备废水和</w:t>
                  </w:r>
                  <w:r>
                    <w:rPr>
                      <w:rFonts w:hint="eastAsia"/>
                      <w:color w:val="auto"/>
                      <w:kern w:val="0"/>
                      <w:szCs w:val="21"/>
                      <w:lang w:bidi="ar"/>
                    </w:rPr>
                    <w:t>生活污水</w:t>
                  </w:r>
                  <w:r>
                    <w:rPr>
                      <w:rFonts w:hint="eastAsia"/>
                      <w:color w:val="auto"/>
                      <w:kern w:val="0"/>
                      <w:szCs w:val="21"/>
                      <w:lang w:val="en-US" w:eastAsia="zh-CN" w:bidi="ar"/>
                    </w:rPr>
                    <w:t>一起</w:t>
                  </w:r>
                  <w:r>
                    <w:rPr>
                      <w:rFonts w:hint="eastAsia"/>
                      <w:color w:val="auto"/>
                      <w:kern w:val="0"/>
                      <w:szCs w:val="21"/>
                      <w:lang w:bidi="ar"/>
                    </w:rPr>
                    <w:t>经化粪池</w:t>
                  </w:r>
                  <w:r>
                    <w:rPr>
                      <w:rFonts w:hint="eastAsia"/>
                      <w:color w:val="auto"/>
                      <w:kern w:val="0"/>
                      <w:szCs w:val="21"/>
                      <w:lang w:eastAsia="zh-CN" w:bidi="ar"/>
                    </w:rPr>
                    <w:t>（</w:t>
                  </w:r>
                  <w:r>
                    <w:rPr>
                      <w:rFonts w:hint="eastAsia"/>
                      <w:color w:val="auto"/>
                      <w:kern w:val="0"/>
                      <w:szCs w:val="21"/>
                      <w:lang w:val="en-US" w:eastAsia="zh-CN" w:bidi="ar"/>
                    </w:rPr>
                    <w:t>自建</w:t>
                  </w:r>
                  <w:r>
                    <w:rPr>
                      <w:rFonts w:hint="eastAsia"/>
                      <w:color w:val="auto"/>
                      <w:szCs w:val="21"/>
                      <w:lang w:val="en-US" w:eastAsia="zh-CN"/>
                    </w:rPr>
                    <w:t>，</w:t>
                  </w:r>
                  <w:r>
                    <w:rPr>
                      <w:rFonts w:hint="eastAsia"/>
                      <w:color w:val="auto"/>
                      <w:lang w:val="en-US" w:eastAsia="zh-CN"/>
                    </w:rPr>
                    <w:t>12m</w:t>
                  </w:r>
                  <w:r>
                    <w:rPr>
                      <w:rFonts w:hint="eastAsia"/>
                      <w:color w:val="auto"/>
                      <w:vertAlign w:val="superscript"/>
                      <w:lang w:val="en-US" w:eastAsia="zh-CN"/>
                    </w:rPr>
                    <w:t>3</w:t>
                  </w:r>
                  <w:r>
                    <w:rPr>
                      <w:rFonts w:hint="eastAsia"/>
                      <w:color w:val="auto"/>
                      <w:kern w:val="0"/>
                      <w:szCs w:val="21"/>
                      <w:lang w:eastAsia="zh-CN" w:bidi="ar"/>
                    </w:rPr>
                    <w:t>）</w:t>
                  </w:r>
                  <w:r>
                    <w:rPr>
                      <w:rFonts w:hint="eastAsia"/>
                      <w:color w:val="auto"/>
                      <w:kern w:val="0"/>
                      <w:szCs w:val="21"/>
                      <w:lang w:bidi="ar"/>
                    </w:rPr>
                    <w:t>处理后排入中州水务有限公司第二污水处理厂处理。</w:t>
                  </w:r>
                </w:p>
              </w:tc>
            </w:tr>
            <w:tr w14:paraId="66A76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895" w:type="dxa"/>
                  <w:vMerge w:val="continue"/>
                  <w:vAlign w:val="center"/>
                </w:tcPr>
                <w:p w14:paraId="34BB0A2B">
                  <w:pPr>
                    <w:widowControl/>
                    <w:jc w:val="center"/>
                    <w:textAlignment w:val="center"/>
                    <w:rPr>
                      <w:color w:val="auto"/>
                      <w:kern w:val="0"/>
                      <w:szCs w:val="21"/>
                      <w:lang w:val="zh-CN" w:bidi="ar"/>
                    </w:rPr>
                  </w:pPr>
                </w:p>
              </w:tc>
              <w:tc>
                <w:tcPr>
                  <w:tcW w:w="914" w:type="dxa"/>
                  <w:vMerge w:val="continue"/>
                  <w:vAlign w:val="center"/>
                </w:tcPr>
                <w:p w14:paraId="43E2AEF7">
                  <w:pPr>
                    <w:widowControl/>
                    <w:jc w:val="center"/>
                    <w:textAlignment w:val="center"/>
                    <w:rPr>
                      <w:color w:val="auto"/>
                      <w:kern w:val="0"/>
                      <w:szCs w:val="21"/>
                      <w:lang w:val="zh-CN" w:bidi="ar"/>
                    </w:rPr>
                  </w:pPr>
                </w:p>
              </w:tc>
              <w:tc>
                <w:tcPr>
                  <w:tcW w:w="789" w:type="dxa"/>
                  <w:vMerge w:val="continue"/>
                  <w:vAlign w:val="center"/>
                </w:tcPr>
                <w:p w14:paraId="0D422316">
                  <w:pPr>
                    <w:widowControl/>
                    <w:jc w:val="center"/>
                    <w:textAlignment w:val="center"/>
                    <w:rPr>
                      <w:color w:val="auto"/>
                      <w:kern w:val="0"/>
                      <w:szCs w:val="21"/>
                      <w:lang w:val="zh-CN" w:bidi="ar"/>
                    </w:rPr>
                  </w:pPr>
                </w:p>
              </w:tc>
              <w:tc>
                <w:tcPr>
                  <w:tcW w:w="530" w:type="dxa"/>
                  <w:vMerge w:val="continue"/>
                  <w:vAlign w:val="center"/>
                </w:tcPr>
                <w:p w14:paraId="22ED00AF">
                  <w:pPr>
                    <w:widowControl/>
                    <w:jc w:val="center"/>
                    <w:textAlignment w:val="center"/>
                    <w:rPr>
                      <w:color w:val="auto"/>
                      <w:kern w:val="0"/>
                      <w:szCs w:val="21"/>
                      <w:lang w:val="zh-CN" w:bidi="ar"/>
                    </w:rPr>
                  </w:pPr>
                </w:p>
              </w:tc>
              <w:tc>
                <w:tcPr>
                  <w:tcW w:w="530" w:type="dxa"/>
                  <w:vMerge w:val="continue"/>
                  <w:vAlign w:val="center"/>
                </w:tcPr>
                <w:p w14:paraId="35AEE4EC">
                  <w:pPr>
                    <w:widowControl/>
                    <w:jc w:val="center"/>
                    <w:textAlignment w:val="center"/>
                    <w:rPr>
                      <w:color w:val="auto"/>
                      <w:kern w:val="0"/>
                      <w:szCs w:val="21"/>
                      <w:lang w:val="zh-CN" w:bidi="ar"/>
                    </w:rPr>
                  </w:pPr>
                </w:p>
              </w:tc>
              <w:tc>
                <w:tcPr>
                  <w:tcW w:w="1090" w:type="dxa"/>
                  <w:vAlign w:val="center"/>
                </w:tcPr>
                <w:p w14:paraId="1D02AF37">
                  <w:pPr>
                    <w:pStyle w:val="68"/>
                    <w:jc w:val="center"/>
                    <w:rPr>
                      <w:rFonts w:eastAsia="宋体"/>
                      <w:color w:val="auto"/>
                      <w:spacing w:val="-5"/>
                      <w:lang w:val="zh-CN" w:eastAsia="zh-CN"/>
                    </w:rPr>
                  </w:pPr>
                  <w:r>
                    <w:rPr>
                      <w:rFonts w:eastAsia="宋体"/>
                      <w:color w:val="auto"/>
                      <w:spacing w:val="-5"/>
                      <w:lang w:eastAsia="zh-CN"/>
                    </w:rPr>
                    <w:t>环境风险防控</w:t>
                  </w:r>
                </w:p>
              </w:tc>
              <w:tc>
                <w:tcPr>
                  <w:tcW w:w="5963" w:type="dxa"/>
                  <w:vAlign w:val="center"/>
                </w:tcPr>
                <w:p w14:paraId="6E8BEE60">
                  <w:pPr>
                    <w:pStyle w:val="68"/>
                    <w:snapToGrid w:val="0"/>
                    <w:jc w:val="center"/>
                    <w:rPr>
                      <w:rFonts w:eastAsia="宋体"/>
                      <w:color w:val="auto"/>
                      <w:spacing w:val="-5"/>
                      <w:lang w:eastAsia="zh-CN"/>
                    </w:rPr>
                  </w:pPr>
                  <w:r>
                    <w:rPr>
                      <w:color w:val="auto"/>
                      <w:lang w:eastAsia="zh-CN"/>
                    </w:rPr>
                    <w:t>/</w:t>
                  </w:r>
                </w:p>
              </w:tc>
              <w:tc>
                <w:tcPr>
                  <w:tcW w:w="2749" w:type="dxa"/>
                  <w:vAlign w:val="center"/>
                </w:tcPr>
                <w:p w14:paraId="058A0731">
                  <w:pPr>
                    <w:widowControl/>
                    <w:snapToGrid w:val="0"/>
                    <w:jc w:val="center"/>
                    <w:textAlignment w:val="center"/>
                    <w:rPr>
                      <w:color w:val="auto"/>
                      <w:kern w:val="0"/>
                      <w:szCs w:val="21"/>
                      <w:lang w:bidi="ar"/>
                    </w:rPr>
                  </w:pPr>
                  <w:r>
                    <w:rPr>
                      <w:color w:val="auto"/>
                      <w:szCs w:val="21"/>
                    </w:rPr>
                    <w:t>/</w:t>
                  </w:r>
                </w:p>
              </w:tc>
            </w:tr>
            <w:tr w14:paraId="6C2C4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895" w:type="dxa"/>
                  <w:vMerge w:val="continue"/>
                  <w:vAlign w:val="center"/>
                </w:tcPr>
                <w:p w14:paraId="29134854">
                  <w:pPr>
                    <w:widowControl/>
                    <w:jc w:val="center"/>
                    <w:textAlignment w:val="center"/>
                    <w:rPr>
                      <w:color w:val="auto"/>
                      <w:kern w:val="0"/>
                      <w:szCs w:val="21"/>
                      <w:lang w:val="zh-CN" w:bidi="ar"/>
                    </w:rPr>
                  </w:pPr>
                </w:p>
              </w:tc>
              <w:tc>
                <w:tcPr>
                  <w:tcW w:w="914" w:type="dxa"/>
                  <w:vMerge w:val="continue"/>
                  <w:vAlign w:val="center"/>
                </w:tcPr>
                <w:p w14:paraId="05F91A95">
                  <w:pPr>
                    <w:widowControl/>
                    <w:jc w:val="center"/>
                    <w:textAlignment w:val="center"/>
                    <w:rPr>
                      <w:color w:val="auto"/>
                      <w:kern w:val="0"/>
                      <w:szCs w:val="21"/>
                      <w:lang w:val="zh-CN" w:bidi="ar"/>
                    </w:rPr>
                  </w:pPr>
                </w:p>
              </w:tc>
              <w:tc>
                <w:tcPr>
                  <w:tcW w:w="789" w:type="dxa"/>
                  <w:vMerge w:val="continue"/>
                  <w:vAlign w:val="center"/>
                </w:tcPr>
                <w:p w14:paraId="4A278BAE">
                  <w:pPr>
                    <w:widowControl/>
                    <w:jc w:val="center"/>
                    <w:textAlignment w:val="center"/>
                    <w:rPr>
                      <w:color w:val="auto"/>
                      <w:kern w:val="0"/>
                      <w:szCs w:val="21"/>
                      <w:lang w:val="zh-CN" w:bidi="ar"/>
                    </w:rPr>
                  </w:pPr>
                </w:p>
              </w:tc>
              <w:tc>
                <w:tcPr>
                  <w:tcW w:w="530" w:type="dxa"/>
                  <w:vMerge w:val="continue"/>
                  <w:vAlign w:val="center"/>
                </w:tcPr>
                <w:p w14:paraId="598B5395">
                  <w:pPr>
                    <w:widowControl/>
                    <w:jc w:val="center"/>
                    <w:textAlignment w:val="center"/>
                    <w:rPr>
                      <w:color w:val="auto"/>
                      <w:kern w:val="0"/>
                      <w:szCs w:val="21"/>
                      <w:lang w:val="zh-CN" w:bidi="ar"/>
                    </w:rPr>
                  </w:pPr>
                </w:p>
              </w:tc>
              <w:tc>
                <w:tcPr>
                  <w:tcW w:w="530" w:type="dxa"/>
                  <w:vMerge w:val="continue"/>
                  <w:vAlign w:val="center"/>
                </w:tcPr>
                <w:p w14:paraId="20498365">
                  <w:pPr>
                    <w:widowControl/>
                    <w:jc w:val="center"/>
                    <w:textAlignment w:val="center"/>
                    <w:rPr>
                      <w:color w:val="auto"/>
                      <w:kern w:val="0"/>
                      <w:szCs w:val="21"/>
                      <w:lang w:val="zh-CN" w:bidi="ar"/>
                    </w:rPr>
                  </w:pPr>
                </w:p>
              </w:tc>
              <w:tc>
                <w:tcPr>
                  <w:tcW w:w="1090" w:type="dxa"/>
                  <w:vAlign w:val="center"/>
                </w:tcPr>
                <w:p w14:paraId="2EC1C4C0">
                  <w:pPr>
                    <w:widowControl/>
                    <w:jc w:val="center"/>
                    <w:textAlignment w:val="center"/>
                    <w:rPr>
                      <w:color w:val="auto"/>
                      <w:kern w:val="0"/>
                      <w:szCs w:val="21"/>
                      <w:lang w:val="zh-CN" w:bidi="ar"/>
                    </w:rPr>
                  </w:pPr>
                  <w:r>
                    <w:rPr>
                      <w:color w:val="auto"/>
                      <w:szCs w:val="21"/>
                    </w:rPr>
                    <w:t>资源开发效率要求</w:t>
                  </w:r>
                </w:p>
              </w:tc>
              <w:tc>
                <w:tcPr>
                  <w:tcW w:w="5963" w:type="dxa"/>
                  <w:vAlign w:val="center"/>
                </w:tcPr>
                <w:p w14:paraId="752D783C">
                  <w:pPr>
                    <w:widowControl/>
                    <w:snapToGrid w:val="0"/>
                    <w:jc w:val="center"/>
                    <w:textAlignment w:val="center"/>
                    <w:rPr>
                      <w:color w:val="auto"/>
                      <w:kern w:val="0"/>
                      <w:szCs w:val="21"/>
                      <w:lang w:bidi="ar"/>
                    </w:rPr>
                  </w:pPr>
                  <w:r>
                    <w:rPr>
                      <w:color w:val="auto"/>
                      <w:kern w:val="0"/>
                      <w:szCs w:val="21"/>
                      <w:lang w:bidi="ar"/>
                    </w:rPr>
                    <w:t>/</w:t>
                  </w:r>
                </w:p>
              </w:tc>
              <w:tc>
                <w:tcPr>
                  <w:tcW w:w="2749" w:type="dxa"/>
                  <w:vAlign w:val="center"/>
                </w:tcPr>
                <w:p w14:paraId="0A0B0794">
                  <w:pPr>
                    <w:widowControl/>
                    <w:snapToGrid w:val="0"/>
                    <w:jc w:val="center"/>
                    <w:textAlignment w:val="center"/>
                    <w:rPr>
                      <w:color w:val="auto"/>
                      <w:kern w:val="0"/>
                      <w:szCs w:val="21"/>
                      <w:lang w:bidi="ar"/>
                    </w:rPr>
                  </w:pPr>
                  <w:r>
                    <w:rPr>
                      <w:color w:val="auto"/>
                      <w:szCs w:val="21"/>
                    </w:rPr>
                    <w:t>/</w:t>
                  </w:r>
                </w:p>
              </w:tc>
            </w:tr>
          </w:tbl>
          <w:p w14:paraId="0007C6FF">
            <w:pPr>
              <w:pStyle w:val="10"/>
              <w:spacing w:before="0" w:after="0" w:line="360" w:lineRule="auto"/>
              <w:ind w:right="0" w:firstLine="480" w:firstLineChars="200"/>
              <w:rPr>
                <w:color w:val="auto"/>
                <w:kern w:val="2"/>
                <w:sz w:val="24"/>
                <w:szCs w:val="24"/>
              </w:rPr>
            </w:pPr>
            <w:r>
              <w:rPr>
                <w:color w:val="auto"/>
                <w:kern w:val="2"/>
                <w:sz w:val="24"/>
                <w:szCs w:val="24"/>
              </w:rPr>
              <w:fldChar w:fldCharType="begin"/>
            </w:r>
            <w:r>
              <w:rPr>
                <w:color w:val="auto"/>
                <w:kern w:val="2"/>
                <w:sz w:val="24"/>
                <w:szCs w:val="24"/>
              </w:rPr>
              <w:instrText xml:space="preserve"> = 5 \* GB3 \* MERGEFORMAT </w:instrText>
            </w:r>
            <w:r>
              <w:rPr>
                <w:color w:val="auto"/>
                <w:kern w:val="2"/>
                <w:sz w:val="24"/>
                <w:szCs w:val="24"/>
              </w:rPr>
              <w:fldChar w:fldCharType="separate"/>
            </w:r>
            <w:r>
              <w:rPr>
                <w:color w:val="auto"/>
                <w:sz w:val="24"/>
                <w:szCs w:val="24"/>
              </w:rPr>
              <w:t>⑤</w:t>
            </w:r>
            <w:r>
              <w:rPr>
                <w:color w:val="auto"/>
                <w:kern w:val="2"/>
                <w:sz w:val="24"/>
                <w:szCs w:val="24"/>
              </w:rPr>
              <w:fldChar w:fldCharType="end"/>
            </w:r>
            <w:r>
              <w:rPr>
                <w:color w:val="auto"/>
                <w:kern w:val="2"/>
                <w:sz w:val="24"/>
                <w:szCs w:val="24"/>
              </w:rPr>
              <w:t>大气环境管控分区分析</w:t>
            </w:r>
          </w:p>
          <w:p w14:paraId="7E6366BC">
            <w:pPr>
              <w:pStyle w:val="10"/>
              <w:spacing w:before="0" w:after="0" w:line="360" w:lineRule="auto"/>
              <w:ind w:right="0" w:firstLine="480" w:firstLineChars="200"/>
              <w:rPr>
                <w:color w:val="auto"/>
                <w:kern w:val="2"/>
                <w:sz w:val="24"/>
                <w:szCs w:val="24"/>
              </w:rPr>
            </w:pPr>
            <w:r>
              <w:rPr>
                <w:color w:val="auto"/>
                <w:kern w:val="2"/>
                <w:sz w:val="24"/>
                <w:szCs w:val="24"/>
              </w:rPr>
              <w:t>经比对，项目涉及2个河南省大气环境管控分区，其中大气环境优先保护区0个</w:t>
            </w:r>
            <w:r>
              <w:rPr>
                <w:rFonts w:hint="eastAsia"/>
                <w:color w:val="auto"/>
                <w:kern w:val="2"/>
                <w:sz w:val="24"/>
                <w:szCs w:val="24"/>
              </w:rPr>
              <w:t>，</w:t>
            </w:r>
            <w:r>
              <w:rPr>
                <w:color w:val="auto"/>
                <w:kern w:val="2"/>
                <w:sz w:val="24"/>
                <w:szCs w:val="24"/>
              </w:rPr>
              <w:t>高排放重点管控区1个</w:t>
            </w:r>
            <w:r>
              <w:rPr>
                <w:rFonts w:hint="eastAsia"/>
                <w:color w:val="auto"/>
                <w:kern w:val="2"/>
                <w:sz w:val="24"/>
                <w:szCs w:val="24"/>
              </w:rPr>
              <w:t>，</w:t>
            </w:r>
            <w:r>
              <w:rPr>
                <w:color w:val="auto"/>
                <w:kern w:val="2"/>
                <w:sz w:val="24"/>
                <w:szCs w:val="24"/>
              </w:rPr>
              <w:t>布局敏感重点管控区0个</w:t>
            </w:r>
            <w:r>
              <w:rPr>
                <w:rFonts w:hint="eastAsia"/>
                <w:color w:val="auto"/>
                <w:kern w:val="2"/>
                <w:sz w:val="24"/>
                <w:szCs w:val="24"/>
              </w:rPr>
              <w:t>，</w:t>
            </w:r>
            <w:r>
              <w:rPr>
                <w:color w:val="auto"/>
                <w:kern w:val="2"/>
                <w:sz w:val="24"/>
                <w:szCs w:val="24"/>
              </w:rPr>
              <w:t>弱扩散重点管控区0个</w:t>
            </w:r>
            <w:r>
              <w:rPr>
                <w:rFonts w:hint="eastAsia"/>
                <w:color w:val="auto"/>
                <w:kern w:val="2"/>
                <w:sz w:val="24"/>
                <w:szCs w:val="24"/>
              </w:rPr>
              <w:t>，</w:t>
            </w:r>
            <w:r>
              <w:rPr>
                <w:color w:val="auto"/>
                <w:kern w:val="2"/>
                <w:sz w:val="24"/>
                <w:szCs w:val="24"/>
              </w:rPr>
              <w:t>受体敏感重点管控区1个</w:t>
            </w:r>
            <w:r>
              <w:rPr>
                <w:rFonts w:hint="eastAsia"/>
                <w:color w:val="auto"/>
                <w:kern w:val="2"/>
                <w:sz w:val="24"/>
                <w:szCs w:val="24"/>
              </w:rPr>
              <w:t>，</w:t>
            </w:r>
            <w:r>
              <w:rPr>
                <w:color w:val="auto"/>
                <w:kern w:val="2"/>
                <w:sz w:val="24"/>
                <w:szCs w:val="24"/>
              </w:rPr>
              <w:t>大气环境一般管控区0个，详见下表。</w:t>
            </w:r>
          </w:p>
          <w:p w14:paraId="05209C0E">
            <w:pPr>
              <w:pStyle w:val="46"/>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default" w:ascii="Times New Roman" w:hAnsi="Arial Unicode MS" w:eastAsia="宋体" w:cs="Times New Roman"/>
                <w:b/>
                <w:color w:val="auto"/>
                <w:kern w:val="2"/>
                <w:sz w:val="24"/>
                <w:szCs w:val="24"/>
                <w:lang w:val="en-US" w:eastAsia="zh-CN" w:bidi="ar-SA"/>
              </w:rPr>
            </w:pPr>
            <w:r>
              <w:rPr>
                <w:rFonts w:hint="default" w:ascii="Times New Roman" w:hAnsi="Arial Unicode MS" w:eastAsia="宋体" w:cs="Times New Roman"/>
                <w:b/>
                <w:color w:val="auto"/>
                <w:kern w:val="2"/>
                <w:sz w:val="24"/>
                <w:szCs w:val="24"/>
                <w:lang w:val="en-US" w:eastAsia="zh-CN" w:bidi="ar-SA"/>
              </w:rPr>
              <w:t>项目涉及河南省大气环境管控一览表</w:t>
            </w:r>
          </w:p>
          <w:tbl>
            <w:tblPr>
              <w:tblStyle w:val="25"/>
              <w:tblW w:w="134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
              <w:gridCol w:w="913"/>
              <w:gridCol w:w="791"/>
              <w:gridCol w:w="532"/>
              <w:gridCol w:w="532"/>
              <w:gridCol w:w="1091"/>
              <w:gridCol w:w="5959"/>
              <w:gridCol w:w="2741"/>
            </w:tblGrid>
            <w:tr w14:paraId="660E4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 w:type="dxa"/>
                  <w:vAlign w:val="center"/>
                </w:tcPr>
                <w:p w14:paraId="1DF45B5F">
                  <w:pPr>
                    <w:pStyle w:val="68"/>
                    <w:snapToGrid w:val="0"/>
                    <w:jc w:val="center"/>
                    <w:rPr>
                      <w:rFonts w:eastAsia="宋体"/>
                      <w:b/>
                      <w:bCs/>
                      <w:color w:val="auto"/>
                      <w:spacing w:val="0"/>
                      <w:kern w:val="0"/>
                      <w:lang w:val="zh-CN" w:eastAsia="zh-CN" w:bidi="ar"/>
                    </w:rPr>
                  </w:pPr>
                  <w:r>
                    <w:rPr>
                      <w:b/>
                      <w:bCs/>
                      <w:color w:val="auto"/>
                      <w:spacing w:val="0"/>
                    </w:rPr>
                    <w:t>环境管控单元编码</w:t>
                  </w:r>
                </w:p>
              </w:tc>
              <w:tc>
                <w:tcPr>
                  <w:tcW w:w="913" w:type="dxa"/>
                  <w:vAlign w:val="center"/>
                </w:tcPr>
                <w:p w14:paraId="5DF7E60B">
                  <w:pPr>
                    <w:pStyle w:val="68"/>
                    <w:snapToGrid w:val="0"/>
                    <w:jc w:val="center"/>
                    <w:rPr>
                      <w:rFonts w:eastAsia="宋体"/>
                      <w:b/>
                      <w:bCs/>
                      <w:color w:val="auto"/>
                      <w:spacing w:val="0"/>
                      <w:kern w:val="0"/>
                      <w:lang w:val="zh-CN" w:eastAsia="zh-CN" w:bidi="ar"/>
                    </w:rPr>
                  </w:pPr>
                  <w:r>
                    <w:rPr>
                      <w:b/>
                      <w:bCs/>
                      <w:color w:val="auto"/>
                      <w:spacing w:val="0"/>
                      <w:lang w:eastAsia="zh-CN"/>
                    </w:rPr>
                    <w:t>大气环境管控单元名称</w:t>
                  </w:r>
                </w:p>
              </w:tc>
              <w:tc>
                <w:tcPr>
                  <w:tcW w:w="791" w:type="dxa"/>
                  <w:vAlign w:val="center"/>
                </w:tcPr>
                <w:p w14:paraId="5521C4B5">
                  <w:pPr>
                    <w:pStyle w:val="68"/>
                    <w:snapToGrid w:val="0"/>
                    <w:jc w:val="center"/>
                    <w:rPr>
                      <w:rFonts w:eastAsia="宋体"/>
                      <w:b/>
                      <w:bCs/>
                      <w:color w:val="auto"/>
                      <w:spacing w:val="0"/>
                      <w:kern w:val="0"/>
                      <w:lang w:val="zh-CN" w:eastAsia="zh-CN" w:bidi="ar"/>
                    </w:rPr>
                  </w:pPr>
                  <w:r>
                    <w:rPr>
                      <w:b/>
                      <w:bCs/>
                      <w:color w:val="auto"/>
                      <w:spacing w:val="0"/>
                    </w:rPr>
                    <w:t>管控分类</w:t>
                  </w:r>
                </w:p>
              </w:tc>
              <w:tc>
                <w:tcPr>
                  <w:tcW w:w="532" w:type="dxa"/>
                  <w:vAlign w:val="center"/>
                </w:tcPr>
                <w:p w14:paraId="4A6E1E8D">
                  <w:pPr>
                    <w:pStyle w:val="68"/>
                    <w:snapToGrid w:val="0"/>
                    <w:jc w:val="center"/>
                    <w:rPr>
                      <w:rFonts w:eastAsia="宋体"/>
                      <w:b/>
                      <w:bCs/>
                      <w:color w:val="auto"/>
                      <w:spacing w:val="0"/>
                      <w:kern w:val="0"/>
                      <w:lang w:val="zh-CN" w:eastAsia="zh-CN" w:bidi="ar"/>
                    </w:rPr>
                  </w:pPr>
                  <w:r>
                    <w:rPr>
                      <w:b/>
                      <w:bCs/>
                      <w:color w:val="auto"/>
                      <w:spacing w:val="0"/>
                    </w:rPr>
                    <w:t>市</w:t>
                  </w:r>
                </w:p>
              </w:tc>
              <w:tc>
                <w:tcPr>
                  <w:tcW w:w="532" w:type="dxa"/>
                  <w:vAlign w:val="center"/>
                </w:tcPr>
                <w:p w14:paraId="6096F073">
                  <w:pPr>
                    <w:pStyle w:val="68"/>
                    <w:snapToGrid w:val="0"/>
                    <w:jc w:val="center"/>
                    <w:rPr>
                      <w:rFonts w:eastAsia="宋体"/>
                      <w:b/>
                      <w:bCs/>
                      <w:color w:val="auto"/>
                      <w:spacing w:val="0"/>
                      <w:kern w:val="0"/>
                      <w:lang w:val="zh-CN" w:eastAsia="zh-CN" w:bidi="ar"/>
                    </w:rPr>
                  </w:pPr>
                  <w:r>
                    <w:rPr>
                      <w:b/>
                      <w:bCs/>
                      <w:color w:val="auto"/>
                      <w:spacing w:val="0"/>
                    </w:rPr>
                    <w:t>区县</w:t>
                  </w:r>
                </w:p>
              </w:tc>
              <w:tc>
                <w:tcPr>
                  <w:tcW w:w="7050" w:type="dxa"/>
                  <w:gridSpan w:val="2"/>
                  <w:vAlign w:val="center"/>
                </w:tcPr>
                <w:p w14:paraId="022F06F1">
                  <w:pPr>
                    <w:widowControl/>
                    <w:snapToGrid w:val="0"/>
                    <w:jc w:val="center"/>
                    <w:textAlignment w:val="center"/>
                    <w:rPr>
                      <w:b/>
                      <w:bCs/>
                      <w:color w:val="auto"/>
                      <w:spacing w:val="0"/>
                      <w:kern w:val="0"/>
                      <w:szCs w:val="21"/>
                      <w:lang w:val="zh-CN" w:bidi="ar"/>
                    </w:rPr>
                  </w:pPr>
                  <w:r>
                    <w:rPr>
                      <w:b/>
                      <w:bCs/>
                      <w:color w:val="auto"/>
                      <w:spacing w:val="0"/>
                      <w:kern w:val="0"/>
                      <w:szCs w:val="21"/>
                      <w:lang w:val="zh-CN" w:bidi="ar"/>
                    </w:rPr>
                    <w:t>管控要求</w:t>
                  </w:r>
                </w:p>
              </w:tc>
              <w:tc>
                <w:tcPr>
                  <w:tcW w:w="2741" w:type="dxa"/>
                  <w:vAlign w:val="center"/>
                </w:tcPr>
                <w:p w14:paraId="694EE053">
                  <w:pPr>
                    <w:pStyle w:val="7"/>
                    <w:tabs>
                      <w:tab w:val="left" w:pos="2010"/>
                    </w:tabs>
                    <w:snapToGrid w:val="0"/>
                    <w:jc w:val="center"/>
                    <w:rPr>
                      <w:b/>
                      <w:bCs/>
                      <w:color w:val="auto"/>
                      <w:spacing w:val="0"/>
                      <w:szCs w:val="21"/>
                      <w:lang w:val="zh-CN"/>
                    </w:rPr>
                  </w:pPr>
                  <w:r>
                    <w:rPr>
                      <w:b/>
                      <w:bCs/>
                      <w:color w:val="auto"/>
                      <w:spacing w:val="0"/>
                      <w:szCs w:val="21"/>
                      <w:lang w:val="zh-CN"/>
                    </w:rPr>
                    <w:t>本项目情况</w:t>
                  </w:r>
                </w:p>
              </w:tc>
            </w:tr>
            <w:tr w14:paraId="1A9C1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trPr>
              <w:tc>
                <w:tcPr>
                  <w:tcW w:w="894" w:type="dxa"/>
                  <w:vMerge w:val="restart"/>
                  <w:vAlign w:val="center"/>
                </w:tcPr>
                <w:p w14:paraId="1A89DF95">
                  <w:pPr>
                    <w:pStyle w:val="68"/>
                    <w:snapToGrid w:val="0"/>
                    <w:jc w:val="center"/>
                    <w:rPr>
                      <w:color w:val="auto"/>
                      <w:spacing w:val="0"/>
                      <w:highlight w:val="yellow"/>
                      <w:lang w:eastAsia="zh-CN"/>
                    </w:rPr>
                  </w:pPr>
                  <w:r>
                    <w:rPr>
                      <w:color w:val="auto"/>
                      <w:spacing w:val="0"/>
                      <w:lang w:eastAsia="zh-CN"/>
                    </w:rPr>
                    <w:t>YS4109222310001</w:t>
                  </w:r>
                </w:p>
              </w:tc>
              <w:tc>
                <w:tcPr>
                  <w:tcW w:w="913" w:type="dxa"/>
                  <w:vMerge w:val="restart"/>
                  <w:vAlign w:val="center"/>
                </w:tcPr>
                <w:p w14:paraId="3E959471">
                  <w:pPr>
                    <w:pStyle w:val="68"/>
                    <w:snapToGrid w:val="0"/>
                    <w:jc w:val="center"/>
                    <w:rPr>
                      <w:color w:val="auto"/>
                      <w:spacing w:val="0"/>
                      <w:lang w:eastAsia="zh-CN"/>
                    </w:rPr>
                  </w:pPr>
                  <w:r>
                    <w:rPr>
                      <w:color w:val="auto"/>
                      <w:spacing w:val="0"/>
                      <w:lang w:eastAsia="zh-CN"/>
                    </w:rPr>
                    <w:t>清丰县</w:t>
                  </w:r>
                </w:p>
                <w:p w14:paraId="27616B67">
                  <w:pPr>
                    <w:pStyle w:val="68"/>
                    <w:snapToGrid w:val="0"/>
                    <w:jc w:val="center"/>
                    <w:rPr>
                      <w:color w:val="auto"/>
                      <w:spacing w:val="0"/>
                      <w:lang w:eastAsia="zh-CN"/>
                    </w:rPr>
                  </w:pPr>
                  <w:r>
                    <w:rPr>
                      <w:color w:val="auto"/>
                      <w:spacing w:val="0"/>
                      <w:lang w:eastAsia="zh-CN"/>
                    </w:rPr>
                    <w:t>先进制</w:t>
                  </w:r>
                </w:p>
                <w:p w14:paraId="2903420D">
                  <w:pPr>
                    <w:pStyle w:val="68"/>
                    <w:snapToGrid w:val="0"/>
                    <w:jc w:val="center"/>
                    <w:rPr>
                      <w:color w:val="auto"/>
                      <w:spacing w:val="0"/>
                      <w:lang w:eastAsia="zh-CN"/>
                    </w:rPr>
                  </w:pPr>
                  <w:r>
                    <w:rPr>
                      <w:color w:val="auto"/>
                      <w:spacing w:val="0"/>
                      <w:lang w:eastAsia="zh-CN"/>
                    </w:rPr>
                    <w:t>造业开</w:t>
                  </w:r>
                </w:p>
                <w:p w14:paraId="5A06354F">
                  <w:pPr>
                    <w:pStyle w:val="68"/>
                    <w:snapToGrid w:val="0"/>
                    <w:jc w:val="center"/>
                    <w:rPr>
                      <w:color w:val="auto"/>
                      <w:spacing w:val="0"/>
                      <w:lang w:eastAsia="zh-CN"/>
                    </w:rPr>
                  </w:pPr>
                  <w:r>
                    <w:rPr>
                      <w:color w:val="auto"/>
                      <w:spacing w:val="0"/>
                      <w:lang w:eastAsia="zh-CN"/>
                    </w:rPr>
                    <w:t>发区</w:t>
                  </w:r>
                </w:p>
              </w:tc>
              <w:tc>
                <w:tcPr>
                  <w:tcW w:w="791" w:type="dxa"/>
                  <w:vMerge w:val="restart"/>
                  <w:vAlign w:val="center"/>
                </w:tcPr>
                <w:p w14:paraId="5AFA202D">
                  <w:pPr>
                    <w:pStyle w:val="68"/>
                    <w:snapToGrid w:val="0"/>
                    <w:jc w:val="center"/>
                    <w:rPr>
                      <w:color w:val="auto"/>
                      <w:spacing w:val="0"/>
                      <w:lang w:eastAsia="zh-CN"/>
                    </w:rPr>
                  </w:pPr>
                  <w:r>
                    <w:rPr>
                      <w:color w:val="auto"/>
                      <w:spacing w:val="0"/>
                    </w:rPr>
                    <w:t>重点</w:t>
                  </w:r>
                </w:p>
              </w:tc>
              <w:tc>
                <w:tcPr>
                  <w:tcW w:w="532" w:type="dxa"/>
                  <w:vMerge w:val="restart"/>
                  <w:vAlign w:val="center"/>
                </w:tcPr>
                <w:p w14:paraId="26920FA0">
                  <w:pPr>
                    <w:pStyle w:val="68"/>
                    <w:snapToGrid w:val="0"/>
                    <w:jc w:val="center"/>
                    <w:rPr>
                      <w:color w:val="auto"/>
                      <w:spacing w:val="0"/>
                      <w:lang w:eastAsia="zh-CN"/>
                    </w:rPr>
                  </w:pPr>
                  <w:r>
                    <w:rPr>
                      <w:color w:val="auto"/>
                      <w:spacing w:val="0"/>
                    </w:rPr>
                    <w:t>濮阳市</w:t>
                  </w:r>
                </w:p>
              </w:tc>
              <w:tc>
                <w:tcPr>
                  <w:tcW w:w="532" w:type="dxa"/>
                  <w:vMerge w:val="restart"/>
                  <w:vAlign w:val="center"/>
                </w:tcPr>
                <w:p w14:paraId="4DC35E67">
                  <w:pPr>
                    <w:pStyle w:val="68"/>
                    <w:snapToGrid w:val="0"/>
                    <w:jc w:val="center"/>
                    <w:rPr>
                      <w:color w:val="auto"/>
                      <w:spacing w:val="0"/>
                      <w:lang w:eastAsia="zh-CN"/>
                    </w:rPr>
                  </w:pPr>
                  <w:r>
                    <w:rPr>
                      <w:color w:val="auto"/>
                      <w:spacing w:val="0"/>
                    </w:rPr>
                    <w:t>清丰县</w:t>
                  </w:r>
                </w:p>
              </w:tc>
              <w:tc>
                <w:tcPr>
                  <w:tcW w:w="1091" w:type="dxa"/>
                  <w:vAlign w:val="center"/>
                </w:tcPr>
                <w:p w14:paraId="0AC69132">
                  <w:pPr>
                    <w:pStyle w:val="68"/>
                    <w:snapToGrid w:val="0"/>
                    <w:jc w:val="center"/>
                    <w:rPr>
                      <w:rFonts w:eastAsia="宋体"/>
                      <w:color w:val="auto"/>
                      <w:spacing w:val="0"/>
                      <w:lang w:eastAsia="zh-CN"/>
                    </w:rPr>
                  </w:pPr>
                  <w:r>
                    <w:rPr>
                      <w:rFonts w:eastAsia="宋体"/>
                      <w:color w:val="auto"/>
                      <w:spacing w:val="0"/>
                      <w:lang w:eastAsia="zh-CN"/>
                    </w:rPr>
                    <w:t>空间布局约束</w:t>
                  </w:r>
                </w:p>
              </w:tc>
              <w:tc>
                <w:tcPr>
                  <w:tcW w:w="5959" w:type="dxa"/>
                  <w:vAlign w:val="center"/>
                </w:tcPr>
                <w:p w14:paraId="2C9158DA">
                  <w:pPr>
                    <w:pStyle w:val="68"/>
                    <w:snapToGrid w:val="0"/>
                    <w:jc w:val="left"/>
                    <w:rPr>
                      <w:rFonts w:eastAsia="宋体"/>
                      <w:color w:val="auto"/>
                      <w:spacing w:val="0"/>
                      <w:lang w:val="zh-CN" w:eastAsia="zh-CN"/>
                    </w:rPr>
                  </w:pPr>
                  <w:r>
                    <w:rPr>
                      <w:color w:val="auto"/>
                      <w:spacing w:val="0"/>
                      <w:lang w:eastAsia="zh-CN"/>
                    </w:rPr>
                    <w:t>入驻项目应符合园区规划或规划环评的要求。禁止发展用排水量较大或污染严重风险较大的化学原料、医药中间体等化工项目，按照用排水量控制屠宰项目。按照当地主导风向，从南至北依次布设家具制造、食品加工、机械加工，同时考虑到区内现有居民民点的整合，布设综合服务带贯通三个产业片区。马庄桥商贸物流园区发展家具贸易和商贸物流业，六塔工业园发展节能环保产业。</w:t>
                  </w:r>
                </w:p>
              </w:tc>
              <w:tc>
                <w:tcPr>
                  <w:tcW w:w="2741" w:type="dxa"/>
                  <w:vAlign w:val="center"/>
                </w:tcPr>
                <w:p w14:paraId="24F1BECC">
                  <w:pPr>
                    <w:widowControl/>
                    <w:snapToGrid w:val="0"/>
                    <w:jc w:val="center"/>
                    <w:textAlignment w:val="center"/>
                    <w:rPr>
                      <w:color w:val="auto"/>
                      <w:spacing w:val="0"/>
                      <w:szCs w:val="21"/>
                    </w:rPr>
                  </w:pPr>
                  <w:r>
                    <w:rPr>
                      <w:rFonts w:hint="eastAsia"/>
                      <w:color w:val="auto"/>
                      <w:spacing w:val="0"/>
                      <w:szCs w:val="21"/>
                    </w:rPr>
                    <w:t>本项目符合规划和规划环评要求，位于家具制造园区，满足空间布局约束。</w:t>
                  </w:r>
                </w:p>
              </w:tc>
            </w:tr>
            <w:tr w14:paraId="6CE67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894" w:type="dxa"/>
                  <w:vMerge w:val="continue"/>
                  <w:vAlign w:val="center"/>
                </w:tcPr>
                <w:p w14:paraId="7972B350">
                  <w:pPr>
                    <w:widowControl/>
                    <w:snapToGrid w:val="0"/>
                    <w:jc w:val="center"/>
                    <w:textAlignment w:val="center"/>
                    <w:rPr>
                      <w:color w:val="auto"/>
                      <w:spacing w:val="0"/>
                      <w:kern w:val="0"/>
                      <w:szCs w:val="21"/>
                      <w:highlight w:val="yellow"/>
                      <w:lang w:val="zh-CN" w:bidi="ar"/>
                    </w:rPr>
                  </w:pPr>
                </w:p>
              </w:tc>
              <w:tc>
                <w:tcPr>
                  <w:tcW w:w="913" w:type="dxa"/>
                  <w:vMerge w:val="continue"/>
                  <w:vAlign w:val="center"/>
                </w:tcPr>
                <w:p w14:paraId="01ABC8BA">
                  <w:pPr>
                    <w:widowControl/>
                    <w:snapToGrid w:val="0"/>
                    <w:jc w:val="center"/>
                    <w:textAlignment w:val="center"/>
                    <w:rPr>
                      <w:color w:val="auto"/>
                      <w:spacing w:val="0"/>
                      <w:kern w:val="0"/>
                      <w:szCs w:val="21"/>
                      <w:lang w:val="zh-CN" w:bidi="ar"/>
                    </w:rPr>
                  </w:pPr>
                </w:p>
              </w:tc>
              <w:tc>
                <w:tcPr>
                  <w:tcW w:w="791" w:type="dxa"/>
                  <w:vMerge w:val="continue"/>
                  <w:vAlign w:val="center"/>
                </w:tcPr>
                <w:p w14:paraId="4C11F342">
                  <w:pPr>
                    <w:widowControl/>
                    <w:snapToGrid w:val="0"/>
                    <w:jc w:val="center"/>
                    <w:textAlignment w:val="center"/>
                    <w:rPr>
                      <w:color w:val="auto"/>
                      <w:spacing w:val="0"/>
                      <w:kern w:val="0"/>
                      <w:szCs w:val="21"/>
                      <w:lang w:val="zh-CN" w:bidi="ar"/>
                    </w:rPr>
                  </w:pPr>
                </w:p>
              </w:tc>
              <w:tc>
                <w:tcPr>
                  <w:tcW w:w="532" w:type="dxa"/>
                  <w:vMerge w:val="continue"/>
                  <w:vAlign w:val="center"/>
                </w:tcPr>
                <w:p w14:paraId="78187937">
                  <w:pPr>
                    <w:widowControl/>
                    <w:snapToGrid w:val="0"/>
                    <w:jc w:val="center"/>
                    <w:textAlignment w:val="center"/>
                    <w:rPr>
                      <w:color w:val="auto"/>
                      <w:spacing w:val="0"/>
                      <w:kern w:val="0"/>
                      <w:szCs w:val="21"/>
                      <w:lang w:val="zh-CN" w:bidi="ar"/>
                    </w:rPr>
                  </w:pPr>
                </w:p>
              </w:tc>
              <w:tc>
                <w:tcPr>
                  <w:tcW w:w="532" w:type="dxa"/>
                  <w:vMerge w:val="continue"/>
                  <w:vAlign w:val="center"/>
                </w:tcPr>
                <w:p w14:paraId="67E7A1E5">
                  <w:pPr>
                    <w:widowControl/>
                    <w:snapToGrid w:val="0"/>
                    <w:jc w:val="center"/>
                    <w:textAlignment w:val="center"/>
                    <w:rPr>
                      <w:color w:val="auto"/>
                      <w:spacing w:val="0"/>
                      <w:kern w:val="0"/>
                      <w:szCs w:val="21"/>
                      <w:lang w:val="zh-CN" w:bidi="ar"/>
                    </w:rPr>
                  </w:pPr>
                </w:p>
              </w:tc>
              <w:tc>
                <w:tcPr>
                  <w:tcW w:w="1091" w:type="dxa"/>
                  <w:vAlign w:val="center"/>
                </w:tcPr>
                <w:p w14:paraId="787CB15F">
                  <w:pPr>
                    <w:pStyle w:val="68"/>
                    <w:snapToGrid w:val="0"/>
                    <w:jc w:val="center"/>
                    <w:rPr>
                      <w:rFonts w:eastAsia="宋体"/>
                      <w:color w:val="auto"/>
                      <w:spacing w:val="0"/>
                      <w:lang w:val="zh-CN" w:eastAsia="zh-CN"/>
                    </w:rPr>
                  </w:pPr>
                  <w:r>
                    <w:rPr>
                      <w:rFonts w:eastAsia="宋体"/>
                      <w:color w:val="auto"/>
                      <w:spacing w:val="0"/>
                      <w:lang w:eastAsia="zh-CN"/>
                    </w:rPr>
                    <w:t>污染物排放管控</w:t>
                  </w:r>
                </w:p>
              </w:tc>
              <w:tc>
                <w:tcPr>
                  <w:tcW w:w="5959" w:type="dxa"/>
                  <w:vAlign w:val="center"/>
                </w:tcPr>
                <w:p w14:paraId="688D3427">
                  <w:pPr>
                    <w:pStyle w:val="68"/>
                    <w:snapToGrid w:val="0"/>
                    <w:jc w:val="center"/>
                    <w:rPr>
                      <w:rFonts w:hint="eastAsia" w:eastAsia="宋体"/>
                      <w:color w:val="auto"/>
                      <w:spacing w:val="0"/>
                      <w:lang w:eastAsia="zh-CN"/>
                    </w:rPr>
                  </w:pPr>
                  <w:r>
                    <w:rPr>
                      <w:rFonts w:hint="eastAsia" w:eastAsia="宋体"/>
                      <w:color w:val="auto"/>
                      <w:spacing w:val="0"/>
                      <w:lang w:eastAsia="zh-CN"/>
                    </w:rPr>
                    <w:t>/</w:t>
                  </w:r>
                </w:p>
              </w:tc>
              <w:tc>
                <w:tcPr>
                  <w:tcW w:w="2741" w:type="dxa"/>
                  <w:vAlign w:val="center"/>
                </w:tcPr>
                <w:p w14:paraId="6621BD9F">
                  <w:pPr>
                    <w:widowControl/>
                    <w:snapToGrid w:val="0"/>
                    <w:jc w:val="center"/>
                    <w:textAlignment w:val="center"/>
                    <w:rPr>
                      <w:color w:val="auto"/>
                      <w:spacing w:val="0"/>
                      <w:kern w:val="0"/>
                      <w:szCs w:val="21"/>
                      <w:lang w:bidi="ar"/>
                    </w:rPr>
                  </w:pPr>
                  <w:r>
                    <w:rPr>
                      <w:rFonts w:hint="eastAsia"/>
                      <w:color w:val="auto"/>
                      <w:spacing w:val="0"/>
                      <w:kern w:val="0"/>
                      <w:szCs w:val="21"/>
                      <w:lang w:bidi="ar"/>
                    </w:rPr>
                    <w:t>/</w:t>
                  </w:r>
                </w:p>
              </w:tc>
            </w:tr>
            <w:tr w14:paraId="0085B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894" w:type="dxa"/>
                  <w:vMerge w:val="continue"/>
                  <w:vAlign w:val="center"/>
                </w:tcPr>
                <w:p w14:paraId="64C6BC7C">
                  <w:pPr>
                    <w:widowControl/>
                    <w:snapToGrid w:val="0"/>
                    <w:jc w:val="center"/>
                    <w:textAlignment w:val="center"/>
                    <w:rPr>
                      <w:color w:val="auto"/>
                      <w:spacing w:val="0"/>
                      <w:kern w:val="0"/>
                      <w:szCs w:val="21"/>
                      <w:highlight w:val="yellow"/>
                      <w:lang w:val="zh-CN" w:bidi="ar"/>
                    </w:rPr>
                  </w:pPr>
                </w:p>
              </w:tc>
              <w:tc>
                <w:tcPr>
                  <w:tcW w:w="913" w:type="dxa"/>
                  <w:vMerge w:val="continue"/>
                  <w:vAlign w:val="center"/>
                </w:tcPr>
                <w:p w14:paraId="00E2DCCE">
                  <w:pPr>
                    <w:widowControl/>
                    <w:snapToGrid w:val="0"/>
                    <w:jc w:val="center"/>
                    <w:textAlignment w:val="center"/>
                    <w:rPr>
                      <w:color w:val="auto"/>
                      <w:spacing w:val="0"/>
                      <w:kern w:val="0"/>
                      <w:szCs w:val="21"/>
                      <w:lang w:val="zh-CN" w:bidi="ar"/>
                    </w:rPr>
                  </w:pPr>
                </w:p>
              </w:tc>
              <w:tc>
                <w:tcPr>
                  <w:tcW w:w="791" w:type="dxa"/>
                  <w:vMerge w:val="continue"/>
                  <w:vAlign w:val="center"/>
                </w:tcPr>
                <w:p w14:paraId="1A9B05B4">
                  <w:pPr>
                    <w:widowControl/>
                    <w:snapToGrid w:val="0"/>
                    <w:jc w:val="center"/>
                    <w:textAlignment w:val="center"/>
                    <w:rPr>
                      <w:color w:val="auto"/>
                      <w:spacing w:val="0"/>
                      <w:kern w:val="0"/>
                      <w:szCs w:val="21"/>
                      <w:lang w:val="zh-CN" w:bidi="ar"/>
                    </w:rPr>
                  </w:pPr>
                </w:p>
              </w:tc>
              <w:tc>
                <w:tcPr>
                  <w:tcW w:w="532" w:type="dxa"/>
                  <w:vMerge w:val="continue"/>
                  <w:vAlign w:val="center"/>
                </w:tcPr>
                <w:p w14:paraId="40B885AB">
                  <w:pPr>
                    <w:widowControl/>
                    <w:snapToGrid w:val="0"/>
                    <w:jc w:val="center"/>
                    <w:textAlignment w:val="center"/>
                    <w:rPr>
                      <w:color w:val="auto"/>
                      <w:spacing w:val="0"/>
                      <w:kern w:val="0"/>
                      <w:szCs w:val="21"/>
                      <w:lang w:val="zh-CN" w:bidi="ar"/>
                    </w:rPr>
                  </w:pPr>
                </w:p>
              </w:tc>
              <w:tc>
                <w:tcPr>
                  <w:tcW w:w="532" w:type="dxa"/>
                  <w:vMerge w:val="continue"/>
                  <w:vAlign w:val="center"/>
                </w:tcPr>
                <w:p w14:paraId="384870BE">
                  <w:pPr>
                    <w:widowControl/>
                    <w:snapToGrid w:val="0"/>
                    <w:jc w:val="center"/>
                    <w:textAlignment w:val="center"/>
                    <w:rPr>
                      <w:color w:val="auto"/>
                      <w:spacing w:val="0"/>
                      <w:kern w:val="0"/>
                      <w:szCs w:val="21"/>
                      <w:lang w:val="zh-CN" w:bidi="ar"/>
                    </w:rPr>
                  </w:pPr>
                </w:p>
              </w:tc>
              <w:tc>
                <w:tcPr>
                  <w:tcW w:w="1091" w:type="dxa"/>
                  <w:vAlign w:val="center"/>
                </w:tcPr>
                <w:p w14:paraId="46617519">
                  <w:pPr>
                    <w:pStyle w:val="68"/>
                    <w:snapToGrid w:val="0"/>
                    <w:jc w:val="center"/>
                    <w:rPr>
                      <w:rFonts w:eastAsia="宋体"/>
                      <w:color w:val="auto"/>
                      <w:spacing w:val="0"/>
                      <w:lang w:val="zh-CN" w:eastAsia="zh-CN"/>
                    </w:rPr>
                  </w:pPr>
                  <w:r>
                    <w:rPr>
                      <w:rFonts w:eastAsia="宋体"/>
                      <w:color w:val="auto"/>
                      <w:spacing w:val="0"/>
                      <w:lang w:eastAsia="zh-CN"/>
                    </w:rPr>
                    <w:t>环境风险防控</w:t>
                  </w:r>
                </w:p>
              </w:tc>
              <w:tc>
                <w:tcPr>
                  <w:tcW w:w="5959" w:type="dxa"/>
                  <w:vAlign w:val="center"/>
                </w:tcPr>
                <w:p w14:paraId="73B991D4">
                  <w:pPr>
                    <w:pStyle w:val="68"/>
                    <w:snapToGrid w:val="0"/>
                    <w:jc w:val="left"/>
                    <w:rPr>
                      <w:rFonts w:eastAsia="宋体"/>
                      <w:color w:val="auto"/>
                      <w:spacing w:val="0"/>
                      <w:lang w:eastAsia="zh-CN"/>
                    </w:rPr>
                  </w:pPr>
                  <w:r>
                    <w:rPr>
                      <w:color w:val="auto"/>
                      <w:spacing w:val="0"/>
                      <w:lang w:eastAsia="zh-CN"/>
                    </w:rPr>
                    <w:t>1、严格落实规划环评及其批复文件制定的环境风险防范措施。3、园区应制定环境风险应急预案，成立应急组织机构，定期开展应急演练，提高区域环境风险防范能力。</w:t>
                  </w:r>
                </w:p>
              </w:tc>
              <w:tc>
                <w:tcPr>
                  <w:tcW w:w="2741" w:type="dxa"/>
                  <w:vAlign w:val="center"/>
                </w:tcPr>
                <w:p w14:paraId="7CA3CD2C">
                  <w:pPr>
                    <w:pStyle w:val="68"/>
                    <w:snapToGrid w:val="0"/>
                    <w:jc w:val="center"/>
                    <w:rPr>
                      <w:rFonts w:eastAsia="宋体"/>
                      <w:color w:val="auto"/>
                      <w:spacing w:val="0"/>
                      <w:kern w:val="0"/>
                      <w:lang w:eastAsia="zh-CN" w:bidi="ar"/>
                    </w:rPr>
                  </w:pPr>
                  <w:r>
                    <w:rPr>
                      <w:rFonts w:hint="eastAsia" w:eastAsia="宋体"/>
                      <w:color w:val="auto"/>
                      <w:spacing w:val="0"/>
                      <w:lang w:eastAsia="zh-CN"/>
                    </w:rPr>
                    <w:t>本项目不涉及。</w:t>
                  </w:r>
                </w:p>
              </w:tc>
            </w:tr>
            <w:tr w14:paraId="779BC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894" w:type="dxa"/>
                  <w:vMerge w:val="continue"/>
                  <w:vAlign w:val="center"/>
                </w:tcPr>
                <w:p w14:paraId="4FC664DD">
                  <w:pPr>
                    <w:widowControl/>
                    <w:snapToGrid w:val="0"/>
                    <w:jc w:val="center"/>
                    <w:textAlignment w:val="center"/>
                    <w:rPr>
                      <w:color w:val="auto"/>
                      <w:spacing w:val="0"/>
                      <w:kern w:val="0"/>
                      <w:szCs w:val="21"/>
                      <w:highlight w:val="yellow"/>
                      <w:lang w:val="zh-CN" w:bidi="ar"/>
                    </w:rPr>
                  </w:pPr>
                </w:p>
              </w:tc>
              <w:tc>
                <w:tcPr>
                  <w:tcW w:w="913" w:type="dxa"/>
                  <w:vMerge w:val="continue"/>
                  <w:vAlign w:val="center"/>
                </w:tcPr>
                <w:p w14:paraId="4D79DA63">
                  <w:pPr>
                    <w:widowControl/>
                    <w:snapToGrid w:val="0"/>
                    <w:jc w:val="center"/>
                    <w:textAlignment w:val="center"/>
                    <w:rPr>
                      <w:color w:val="auto"/>
                      <w:spacing w:val="0"/>
                      <w:kern w:val="0"/>
                      <w:szCs w:val="21"/>
                      <w:lang w:val="zh-CN" w:bidi="ar"/>
                    </w:rPr>
                  </w:pPr>
                </w:p>
              </w:tc>
              <w:tc>
                <w:tcPr>
                  <w:tcW w:w="791" w:type="dxa"/>
                  <w:vMerge w:val="continue"/>
                  <w:vAlign w:val="center"/>
                </w:tcPr>
                <w:p w14:paraId="6BB7DE1B">
                  <w:pPr>
                    <w:widowControl/>
                    <w:snapToGrid w:val="0"/>
                    <w:jc w:val="center"/>
                    <w:textAlignment w:val="center"/>
                    <w:rPr>
                      <w:color w:val="auto"/>
                      <w:spacing w:val="0"/>
                      <w:kern w:val="0"/>
                      <w:szCs w:val="21"/>
                      <w:lang w:val="zh-CN" w:bidi="ar"/>
                    </w:rPr>
                  </w:pPr>
                </w:p>
              </w:tc>
              <w:tc>
                <w:tcPr>
                  <w:tcW w:w="532" w:type="dxa"/>
                  <w:vMerge w:val="continue"/>
                  <w:vAlign w:val="center"/>
                </w:tcPr>
                <w:p w14:paraId="34D83609">
                  <w:pPr>
                    <w:widowControl/>
                    <w:snapToGrid w:val="0"/>
                    <w:jc w:val="center"/>
                    <w:textAlignment w:val="center"/>
                    <w:rPr>
                      <w:color w:val="auto"/>
                      <w:spacing w:val="0"/>
                      <w:kern w:val="0"/>
                      <w:szCs w:val="21"/>
                      <w:lang w:val="zh-CN" w:bidi="ar"/>
                    </w:rPr>
                  </w:pPr>
                </w:p>
              </w:tc>
              <w:tc>
                <w:tcPr>
                  <w:tcW w:w="532" w:type="dxa"/>
                  <w:vMerge w:val="continue"/>
                  <w:vAlign w:val="center"/>
                </w:tcPr>
                <w:p w14:paraId="18D15607">
                  <w:pPr>
                    <w:widowControl/>
                    <w:snapToGrid w:val="0"/>
                    <w:jc w:val="center"/>
                    <w:textAlignment w:val="center"/>
                    <w:rPr>
                      <w:color w:val="auto"/>
                      <w:spacing w:val="0"/>
                      <w:kern w:val="0"/>
                      <w:szCs w:val="21"/>
                      <w:lang w:val="zh-CN" w:bidi="ar"/>
                    </w:rPr>
                  </w:pPr>
                </w:p>
              </w:tc>
              <w:tc>
                <w:tcPr>
                  <w:tcW w:w="1091" w:type="dxa"/>
                  <w:vAlign w:val="center"/>
                </w:tcPr>
                <w:p w14:paraId="5C195C4B">
                  <w:pPr>
                    <w:widowControl/>
                    <w:snapToGrid w:val="0"/>
                    <w:jc w:val="center"/>
                    <w:textAlignment w:val="center"/>
                    <w:rPr>
                      <w:color w:val="auto"/>
                      <w:spacing w:val="0"/>
                      <w:kern w:val="0"/>
                      <w:szCs w:val="21"/>
                      <w:lang w:val="zh-CN" w:bidi="ar"/>
                    </w:rPr>
                  </w:pPr>
                  <w:r>
                    <w:rPr>
                      <w:color w:val="auto"/>
                      <w:spacing w:val="0"/>
                      <w:szCs w:val="21"/>
                    </w:rPr>
                    <w:t>资源开发效率要求</w:t>
                  </w:r>
                </w:p>
              </w:tc>
              <w:tc>
                <w:tcPr>
                  <w:tcW w:w="5959" w:type="dxa"/>
                  <w:vAlign w:val="center"/>
                </w:tcPr>
                <w:p w14:paraId="3E505380">
                  <w:pPr>
                    <w:pStyle w:val="68"/>
                    <w:snapToGrid w:val="0"/>
                    <w:jc w:val="left"/>
                    <w:rPr>
                      <w:rFonts w:eastAsia="宋体"/>
                      <w:color w:val="auto"/>
                      <w:spacing w:val="0"/>
                      <w:kern w:val="0"/>
                      <w:lang w:eastAsia="zh-CN" w:bidi="ar"/>
                    </w:rPr>
                  </w:pPr>
                  <w:r>
                    <w:rPr>
                      <w:color w:val="auto"/>
                      <w:spacing w:val="0"/>
                      <w:lang w:eastAsia="zh-CN"/>
                    </w:rPr>
                    <w:t>在禁燃区内，禁止销售、燃用高污染燃料；禁止新建、扩建燃用高污染燃料的设施，已建成的，应当在各省辖市、县（市）人民政府规定的期限内改用天然气、页岩气、液化石油气、电或者其他清洁能源；大力改善煤电机组供电煤耗水平。</w:t>
                  </w:r>
                </w:p>
              </w:tc>
              <w:tc>
                <w:tcPr>
                  <w:tcW w:w="2741" w:type="dxa"/>
                  <w:vAlign w:val="center"/>
                </w:tcPr>
                <w:p w14:paraId="0215C2CE">
                  <w:pPr>
                    <w:widowControl/>
                    <w:snapToGrid w:val="0"/>
                    <w:jc w:val="center"/>
                    <w:textAlignment w:val="center"/>
                    <w:rPr>
                      <w:color w:val="auto"/>
                      <w:spacing w:val="0"/>
                      <w:kern w:val="0"/>
                      <w:szCs w:val="21"/>
                      <w:lang w:bidi="ar"/>
                    </w:rPr>
                  </w:pPr>
                  <w:r>
                    <w:rPr>
                      <w:rFonts w:hint="eastAsia"/>
                      <w:color w:val="auto"/>
                      <w:spacing w:val="0"/>
                      <w:kern w:val="0"/>
                      <w:szCs w:val="21"/>
                      <w:lang w:bidi="ar"/>
                    </w:rPr>
                    <w:t>本项目使用能源为电能。</w:t>
                  </w:r>
                </w:p>
              </w:tc>
            </w:tr>
            <w:tr w14:paraId="68F96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894" w:type="dxa"/>
                  <w:vMerge w:val="restart"/>
                  <w:vAlign w:val="center"/>
                </w:tcPr>
                <w:p w14:paraId="06F928B6">
                  <w:pPr>
                    <w:pStyle w:val="68"/>
                    <w:snapToGrid w:val="0"/>
                    <w:jc w:val="center"/>
                    <w:rPr>
                      <w:color w:val="auto"/>
                      <w:spacing w:val="0"/>
                      <w:highlight w:val="yellow"/>
                      <w:lang w:val="zh-CN" w:eastAsia="zh-CN"/>
                    </w:rPr>
                  </w:pPr>
                  <w:r>
                    <w:rPr>
                      <w:color w:val="auto"/>
                      <w:spacing w:val="0"/>
                      <w:lang w:val="zh-CN" w:eastAsia="zh-CN"/>
                    </w:rPr>
                    <w:t>YS4109222340001</w:t>
                  </w:r>
                </w:p>
              </w:tc>
              <w:tc>
                <w:tcPr>
                  <w:tcW w:w="913" w:type="dxa"/>
                  <w:vMerge w:val="restart"/>
                  <w:vAlign w:val="center"/>
                </w:tcPr>
                <w:p w14:paraId="76C887F9">
                  <w:pPr>
                    <w:pStyle w:val="68"/>
                    <w:snapToGrid w:val="0"/>
                    <w:jc w:val="center"/>
                    <w:rPr>
                      <w:color w:val="auto"/>
                      <w:spacing w:val="0"/>
                      <w:lang w:eastAsia="zh-CN"/>
                    </w:rPr>
                  </w:pPr>
                  <w:r>
                    <w:rPr>
                      <w:rFonts w:hint="eastAsia"/>
                      <w:color w:val="auto"/>
                      <w:spacing w:val="0"/>
                      <w:lang w:eastAsia="zh-CN"/>
                    </w:rPr>
                    <w:t>/</w:t>
                  </w:r>
                </w:p>
              </w:tc>
              <w:tc>
                <w:tcPr>
                  <w:tcW w:w="791" w:type="dxa"/>
                  <w:vMerge w:val="restart"/>
                  <w:vAlign w:val="center"/>
                </w:tcPr>
                <w:p w14:paraId="72FE599C">
                  <w:pPr>
                    <w:pStyle w:val="68"/>
                    <w:snapToGrid w:val="0"/>
                    <w:jc w:val="center"/>
                    <w:rPr>
                      <w:color w:val="auto"/>
                      <w:spacing w:val="0"/>
                      <w:lang w:val="zh-CN" w:eastAsia="zh-CN"/>
                    </w:rPr>
                  </w:pPr>
                  <w:r>
                    <w:rPr>
                      <w:color w:val="auto"/>
                      <w:spacing w:val="0"/>
                    </w:rPr>
                    <w:t>重点</w:t>
                  </w:r>
                </w:p>
              </w:tc>
              <w:tc>
                <w:tcPr>
                  <w:tcW w:w="532" w:type="dxa"/>
                  <w:vMerge w:val="restart"/>
                  <w:vAlign w:val="center"/>
                </w:tcPr>
                <w:p w14:paraId="25FD6206">
                  <w:pPr>
                    <w:pStyle w:val="68"/>
                    <w:snapToGrid w:val="0"/>
                    <w:jc w:val="center"/>
                    <w:rPr>
                      <w:color w:val="auto"/>
                      <w:spacing w:val="0"/>
                      <w:lang w:val="zh-CN" w:eastAsia="zh-CN"/>
                    </w:rPr>
                  </w:pPr>
                  <w:r>
                    <w:rPr>
                      <w:color w:val="auto"/>
                      <w:spacing w:val="0"/>
                    </w:rPr>
                    <w:t>濮阳市</w:t>
                  </w:r>
                </w:p>
              </w:tc>
              <w:tc>
                <w:tcPr>
                  <w:tcW w:w="532" w:type="dxa"/>
                  <w:vMerge w:val="restart"/>
                  <w:vAlign w:val="center"/>
                </w:tcPr>
                <w:p w14:paraId="233938FF">
                  <w:pPr>
                    <w:pStyle w:val="68"/>
                    <w:snapToGrid w:val="0"/>
                    <w:jc w:val="center"/>
                    <w:rPr>
                      <w:color w:val="auto"/>
                      <w:spacing w:val="0"/>
                      <w:lang w:val="zh-CN" w:eastAsia="zh-CN"/>
                    </w:rPr>
                  </w:pPr>
                  <w:r>
                    <w:rPr>
                      <w:color w:val="auto"/>
                      <w:spacing w:val="0"/>
                    </w:rPr>
                    <w:t>清丰县</w:t>
                  </w:r>
                </w:p>
              </w:tc>
              <w:tc>
                <w:tcPr>
                  <w:tcW w:w="1091" w:type="dxa"/>
                  <w:vAlign w:val="center"/>
                </w:tcPr>
                <w:p w14:paraId="32328370">
                  <w:pPr>
                    <w:pStyle w:val="68"/>
                    <w:snapToGrid w:val="0"/>
                    <w:jc w:val="center"/>
                    <w:rPr>
                      <w:rFonts w:eastAsia="宋体"/>
                      <w:color w:val="auto"/>
                      <w:spacing w:val="0"/>
                      <w:lang w:eastAsia="zh-CN"/>
                    </w:rPr>
                  </w:pPr>
                  <w:r>
                    <w:rPr>
                      <w:rFonts w:eastAsia="宋体"/>
                      <w:color w:val="auto"/>
                      <w:spacing w:val="0"/>
                      <w:lang w:eastAsia="zh-CN"/>
                    </w:rPr>
                    <w:t>空间布局约束</w:t>
                  </w:r>
                </w:p>
              </w:tc>
              <w:tc>
                <w:tcPr>
                  <w:tcW w:w="5959" w:type="dxa"/>
                  <w:vAlign w:val="center"/>
                </w:tcPr>
                <w:p w14:paraId="1A9E18D9">
                  <w:pPr>
                    <w:pStyle w:val="68"/>
                    <w:snapToGrid w:val="0"/>
                    <w:jc w:val="left"/>
                    <w:rPr>
                      <w:rFonts w:eastAsia="宋体"/>
                      <w:color w:val="auto"/>
                      <w:spacing w:val="0"/>
                      <w:kern w:val="0"/>
                      <w:lang w:eastAsia="zh-CN" w:bidi="ar"/>
                    </w:rPr>
                  </w:pPr>
                  <w:r>
                    <w:rPr>
                      <w:color w:val="auto"/>
                      <w:spacing w:val="0"/>
                      <w:lang w:eastAsia="zh-CN"/>
                    </w:rPr>
                    <w:t>1、在各省辖市城市建成区内，禁止新建每小时二十蒸吨以下的燃烧煤炭、重油、渣油蹦及直接燃用生物质的锅炉，其他地区禁止新建每小时十蒸吨以下的燃烧煤炭、重油、渣油以及直接燃用生物质的锅炉。2、在居民住宅区等人口密集区域和医院、学校、幼儿园、养老院等其他需要特殊保护的区域及其周边，不得新建、改建和扩建石化、焦化、制药、油漆、塑料、橡胶、造纸、饲料等易产生恶臭气体的生产项目或者从事其他产生恶臭气体的生产经营活动。已建成的，应当逐步搬迁或者升级改造。3、到2025年，城市建成区内重污染企业分类完成就地改造、退城入园、转型转产或关闭退出任务。</w:t>
                  </w:r>
                </w:p>
              </w:tc>
              <w:tc>
                <w:tcPr>
                  <w:tcW w:w="2741" w:type="dxa"/>
                  <w:vAlign w:val="center"/>
                </w:tcPr>
                <w:p w14:paraId="27229F0C">
                  <w:pPr>
                    <w:widowControl/>
                    <w:snapToGrid w:val="0"/>
                    <w:jc w:val="center"/>
                    <w:textAlignment w:val="center"/>
                    <w:rPr>
                      <w:color w:val="auto"/>
                      <w:spacing w:val="0"/>
                      <w:kern w:val="0"/>
                      <w:szCs w:val="21"/>
                      <w:lang w:bidi="ar"/>
                    </w:rPr>
                  </w:pPr>
                  <w:r>
                    <w:rPr>
                      <w:rFonts w:hint="eastAsia"/>
                      <w:color w:val="auto"/>
                      <w:spacing w:val="0"/>
                      <w:szCs w:val="21"/>
                    </w:rPr>
                    <w:t>本项目不涉及。</w:t>
                  </w:r>
                </w:p>
              </w:tc>
            </w:tr>
            <w:tr w14:paraId="5FCEF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894" w:type="dxa"/>
                  <w:vMerge w:val="continue"/>
                  <w:vAlign w:val="center"/>
                </w:tcPr>
                <w:p w14:paraId="42F6DB4A">
                  <w:pPr>
                    <w:widowControl/>
                    <w:snapToGrid w:val="0"/>
                    <w:jc w:val="center"/>
                    <w:textAlignment w:val="center"/>
                    <w:rPr>
                      <w:color w:val="auto"/>
                      <w:spacing w:val="0"/>
                      <w:kern w:val="0"/>
                      <w:szCs w:val="21"/>
                      <w:lang w:val="zh-CN" w:bidi="ar"/>
                    </w:rPr>
                  </w:pPr>
                </w:p>
              </w:tc>
              <w:tc>
                <w:tcPr>
                  <w:tcW w:w="913" w:type="dxa"/>
                  <w:vMerge w:val="continue"/>
                  <w:vAlign w:val="center"/>
                </w:tcPr>
                <w:p w14:paraId="16FF4E9E">
                  <w:pPr>
                    <w:widowControl/>
                    <w:snapToGrid w:val="0"/>
                    <w:jc w:val="center"/>
                    <w:textAlignment w:val="center"/>
                    <w:rPr>
                      <w:color w:val="auto"/>
                      <w:spacing w:val="0"/>
                      <w:kern w:val="0"/>
                      <w:szCs w:val="21"/>
                      <w:lang w:val="zh-CN" w:bidi="ar"/>
                    </w:rPr>
                  </w:pPr>
                </w:p>
              </w:tc>
              <w:tc>
                <w:tcPr>
                  <w:tcW w:w="791" w:type="dxa"/>
                  <w:vMerge w:val="continue"/>
                  <w:vAlign w:val="center"/>
                </w:tcPr>
                <w:p w14:paraId="4D69B72B">
                  <w:pPr>
                    <w:widowControl/>
                    <w:snapToGrid w:val="0"/>
                    <w:jc w:val="center"/>
                    <w:textAlignment w:val="center"/>
                    <w:rPr>
                      <w:color w:val="auto"/>
                      <w:spacing w:val="0"/>
                      <w:kern w:val="0"/>
                      <w:szCs w:val="21"/>
                      <w:lang w:val="zh-CN" w:bidi="ar"/>
                    </w:rPr>
                  </w:pPr>
                </w:p>
              </w:tc>
              <w:tc>
                <w:tcPr>
                  <w:tcW w:w="532" w:type="dxa"/>
                  <w:vMerge w:val="continue"/>
                  <w:vAlign w:val="center"/>
                </w:tcPr>
                <w:p w14:paraId="1969C6B6">
                  <w:pPr>
                    <w:widowControl/>
                    <w:snapToGrid w:val="0"/>
                    <w:jc w:val="center"/>
                    <w:textAlignment w:val="center"/>
                    <w:rPr>
                      <w:color w:val="auto"/>
                      <w:spacing w:val="0"/>
                      <w:kern w:val="0"/>
                      <w:szCs w:val="21"/>
                      <w:lang w:val="zh-CN" w:bidi="ar"/>
                    </w:rPr>
                  </w:pPr>
                </w:p>
              </w:tc>
              <w:tc>
                <w:tcPr>
                  <w:tcW w:w="532" w:type="dxa"/>
                  <w:vMerge w:val="continue"/>
                  <w:vAlign w:val="center"/>
                </w:tcPr>
                <w:p w14:paraId="0E59B541">
                  <w:pPr>
                    <w:widowControl/>
                    <w:snapToGrid w:val="0"/>
                    <w:jc w:val="center"/>
                    <w:textAlignment w:val="center"/>
                    <w:rPr>
                      <w:color w:val="auto"/>
                      <w:spacing w:val="0"/>
                      <w:kern w:val="0"/>
                      <w:szCs w:val="21"/>
                      <w:lang w:val="zh-CN" w:bidi="ar"/>
                    </w:rPr>
                  </w:pPr>
                </w:p>
              </w:tc>
              <w:tc>
                <w:tcPr>
                  <w:tcW w:w="1091" w:type="dxa"/>
                  <w:vAlign w:val="center"/>
                </w:tcPr>
                <w:p w14:paraId="3738E7AE">
                  <w:pPr>
                    <w:pStyle w:val="68"/>
                    <w:snapToGrid w:val="0"/>
                    <w:jc w:val="center"/>
                    <w:rPr>
                      <w:rFonts w:eastAsia="宋体"/>
                      <w:color w:val="auto"/>
                      <w:spacing w:val="0"/>
                      <w:lang w:eastAsia="zh-CN"/>
                    </w:rPr>
                  </w:pPr>
                  <w:r>
                    <w:rPr>
                      <w:rFonts w:eastAsia="宋体"/>
                      <w:color w:val="auto"/>
                      <w:spacing w:val="0"/>
                      <w:lang w:eastAsia="zh-CN"/>
                    </w:rPr>
                    <w:t>污染物排放管控</w:t>
                  </w:r>
                </w:p>
              </w:tc>
              <w:tc>
                <w:tcPr>
                  <w:tcW w:w="5959" w:type="dxa"/>
                  <w:vAlign w:val="center"/>
                </w:tcPr>
                <w:p w14:paraId="2B1C90A5">
                  <w:pPr>
                    <w:pStyle w:val="68"/>
                    <w:snapToGrid w:val="0"/>
                    <w:jc w:val="left"/>
                    <w:rPr>
                      <w:rFonts w:eastAsia="宋体"/>
                      <w:color w:val="auto"/>
                      <w:spacing w:val="0"/>
                      <w:kern w:val="0"/>
                      <w:lang w:eastAsia="zh-CN" w:bidi="ar"/>
                    </w:rPr>
                  </w:pPr>
                  <w:r>
                    <w:rPr>
                      <w:color w:val="auto"/>
                      <w:spacing w:val="0"/>
                      <w:lang w:eastAsia="zh-CN"/>
                    </w:rPr>
                    <w:t>1、大力推进钢铁、焦化等重点行业产业结构调整和转型升级，加快钢铁、水泥、焦化行业及锅炉超低排放改造。深化有色金属冶炼、铸造、碳素、耐材、烧结类砖瓦等行业工业炉窑综合整治及垃圾焚烧发电、生物质发电烟气深度治理。2、推动氢燃料电池汽车示范应用，推广新能源汽车和非道路移动机械。推进公共领域车辆新能源化。实施清洁柴油车（机）行动，基本淘汰国三及以下排放标准汽车，基本消除未登记或冒黑烟工程机械。3、加强道路扬尘综合整治，大力推进道路机械化清扫保洁作业，到2025年，各设区市建成区道路机械化清扫率达到95%以上，县城达到90%以上。各市平均降尘量到2025年不得高于7吨/月·平方公里。</w:t>
                  </w:r>
                </w:p>
              </w:tc>
              <w:tc>
                <w:tcPr>
                  <w:tcW w:w="2741" w:type="dxa"/>
                  <w:vAlign w:val="center"/>
                </w:tcPr>
                <w:p w14:paraId="0814AE40">
                  <w:pPr>
                    <w:widowControl/>
                    <w:snapToGrid w:val="0"/>
                    <w:jc w:val="center"/>
                    <w:textAlignment w:val="center"/>
                    <w:rPr>
                      <w:color w:val="auto"/>
                      <w:spacing w:val="0"/>
                      <w:kern w:val="0"/>
                      <w:szCs w:val="21"/>
                      <w:lang w:bidi="ar"/>
                    </w:rPr>
                  </w:pPr>
                  <w:r>
                    <w:rPr>
                      <w:rFonts w:hint="eastAsia"/>
                      <w:color w:val="auto"/>
                      <w:spacing w:val="0"/>
                      <w:kern w:val="0"/>
                      <w:szCs w:val="21"/>
                      <w:lang w:bidi="ar"/>
                    </w:rPr>
                    <w:t>本项目不涉及</w:t>
                  </w:r>
                </w:p>
              </w:tc>
            </w:tr>
            <w:tr w14:paraId="21EB8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894" w:type="dxa"/>
                  <w:vMerge w:val="continue"/>
                  <w:vAlign w:val="center"/>
                </w:tcPr>
                <w:p w14:paraId="1BA96562">
                  <w:pPr>
                    <w:widowControl/>
                    <w:snapToGrid w:val="0"/>
                    <w:jc w:val="left"/>
                    <w:textAlignment w:val="center"/>
                    <w:rPr>
                      <w:color w:val="auto"/>
                      <w:spacing w:val="0"/>
                      <w:kern w:val="0"/>
                      <w:szCs w:val="21"/>
                      <w:lang w:val="zh-CN" w:bidi="ar"/>
                    </w:rPr>
                  </w:pPr>
                </w:p>
              </w:tc>
              <w:tc>
                <w:tcPr>
                  <w:tcW w:w="913" w:type="dxa"/>
                  <w:vMerge w:val="continue"/>
                  <w:vAlign w:val="center"/>
                </w:tcPr>
                <w:p w14:paraId="78BD41F9">
                  <w:pPr>
                    <w:widowControl/>
                    <w:snapToGrid w:val="0"/>
                    <w:jc w:val="left"/>
                    <w:textAlignment w:val="center"/>
                    <w:rPr>
                      <w:color w:val="auto"/>
                      <w:spacing w:val="0"/>
                      <w:kern w:val="0"/>
                      <w:szCs w:val="21"/>
                      <w:lang w:val="zh-CN" w:bidi="ar"/>
                    </w:rPr>
                  </w:pPr>
                </w:p>
              </w:tc>
              <w:tc>
                <w:tcPr>
                  <w:tcW w:w="791" w:type="dxa"/>
                  <w:vMerge w:val="continue"/>
                  <w:vAlign w:val="center"/>
                </w:tcPr>
                <w:p w14:paraId="49ACC789">
                  <w:pPr>
                    <w:widowControl/>
                    <w:snapToGrid w:val="0"/>
                    <w:jc w:val="left"/>
                    <w:textAlignment w:val="center"/>
                    <w:rPr>
                      <w:color w:val="auto"/>
                      <w:spacing w:val="0"/>
                      <w:kern w:val="0"/>
                      <w:szCs w:val="21"/>
                      <w:lang w:val="zh-CN" w:bidi="ar"/>
                    </w:rPr>
                  </w:pPr>
                </w:p>
              </w:tc>
              <w:tc>
                <w:tcPr>
                  <w:tcW w:w="532" w:type="dxa"/>
                  <w:vMerge w:val="continue"/>
                  <w:vAlign w:val="center"/>
                </w:tcPr>
                <w:p w14:paraId="16F1E8C8">
                  <w:pPr>
                    <w:widowControl/>
                    <w:snapToGrid w:val="0"/>
                    <w:jc w:val="left"/>
                    <w:textAlignment w:val="center"/>
                    <w:rPr>
                      <w:color w:val="auto"/>
                      <w:spacing w:val="0"/>
                      <w:kern w:val="0"/>
                      <w:szCs w:val="21"/>
                      <w:lang w:val="zh-CN" w:bidi="ar"/>
                    </w:rPr>
                  </w:pPr>
                </w:p>
              </w:tc>
              <w:tc>
                <w:tcPr>
                  <w:tcW w:w="532" w:type="dxa"/>
                  <w:vMerge w:val="continue"/>
                  <w:vAlign w:val="center"/>
                </w:tcPr>
                <w:p w14:paraId="23261E5C">
                  <w:pPr>
                    <w:widowControl/>
                    <w:snapToGrid w:val="0"/>
                    <w:jc w:val="left"/>
                    <w:textAlignment w:val="center"/>
                    <w:rPr>
                      <w:color w:val="auto"/>
                      <w:spacing w:val="0"/>
                      <w:kern w:val="0"/>
                      <w:szCs w:val="21"/>
                      <w:lang w:val="zh-CN" w:bidi="ar"/>
                    </w:rPr>
                  </w:pPr>
                </w:p>
              </w:tc>
              <w:tc>
                <w:tcPr>
                  <w:tcW w:w="1091" w:type="dxa"/>
                  <w:vAlign w:val="center"/>
                </w:tcPr>
                <w:p w14:paraId="05009B50">
                  <w:pPr>
                    <w:pStyle w:val="68"/>
                    <w:snapToGrid w:val="0"/>
                    <w:jc w:val="center"/>
                    <w:rPr>
                      <w:rFonts w:eastAsia="宋体"/>
                      <w:color w:val="auto"/>
                      <w:spacing w:val="0"/>
                      <w:lang w:eastAsia="zh-CN"/>
                    </w:rPr>
                  </w:pPr>
                  <w:r>
                    <w:rPr>
                      <w:rFonts w:eastAsia="宋体"/>
                      <w:color w:val="auto"/>
                      <w:spacing w:val="0"/>
                      <w:lang w:eastAsia="zh-CN"/>
                    </w:rPr>
                    <w:t>环境风险防控</w:t>
                  </w:r>
                </w:p>
              </w:tc>
              <w:tc>
                <w:tcPr>
                  <w:tcW w:w="5959" w:type="dxa"/>
                  <w:vAlign w:val="center"/>
                </w:tcPr>
                <w:p w14:paraId="384F76F2">
                  <w:pPr>
                    <w:pStyle w:val="68"/>
                    <w:snapToGrid w:val="0"/>
                    <w:jc w:val="left"/>
                    <w:rPr>
                      <w:rFonts w:eastAsia="宋体"/>
                      <w:color w:val="auto"/>
                      <w:spacing w:val="0"/>
                      <w:kern w:val="0"/>
                      <w:lang w:eastAsia="zh-CN" w:bidi="ar"/>
                    </w:rPr>
                  </w:pPr>
                  <w:r>
                    <w:rPr>
                      <w:color w:val="auto"/>
                      <w:spacing w:val="0"/>
                      <w:lang w:eastAsia="zh-CN"/>
                    </w:rPr>
                    <w:t>1、实施重污染企业退城搬迁，加快城市建成区、人群密集区、重点流域的重污染企业和危险化学品等环境风险大的企业搬迁改造、关停退出，推动实施一批水泥、玻璃、焦化、化工等重污染企业退城工程。2、提升城乡极端气候事件监测预警、防灾减灾综合评估和风险管控能力，保障城乡建设和基础设施安全。适时开展气候变化影响风险评估，实施适应气候变化行动。</w:t>
                  </w:r>
                </w:p>
              </w:tc>
              <w:tc>
                <w:tcPr>
                  <w:tcW w:w="2741" w:type="dxa"/>
                  <w:vAlign w:val="center"/>
                </w:tcPr>
                <w:p w14:paraId="13D959E5">
                  <w:pPr>
                    <w:widowControl/>
                    <w:snapToGrid w:val="0"/>
                    <w:jc w:val="center"/>
                    <w:textAlignment w:val="center"/>
                    <w:rPr>
                      <w:color w:val="auto"/>
                      <w:spacing w:val="0"/>
                      <w:kern w:val="0"/>
                      <w:szCs w:val="21"/>
                      <w:lang w:bidi="ar"/>
                    </w:rPr>
                  </w:pPr>
                  <w:r>
                    <w:rPr>
                      <w:rFonts w:hint="eastAsia"/>
                      <w:color w:val="auto"/>
                      <w:spacing w:val="0"/>
                      <w:kern w:val="0"/>
                      <w:szCs w:val="21"/>
                      <w:lang w:bidi="ar"/>
                    </w:rPr>
                    <w:t>本项目不涉及</w:t>
                  </w:r>
                </w:p>
              </w:tc>
            </w:tr>
            <w:tr w14:paraId="23C27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894" w:type="dxa"/>
                  <w:vMerge w:val="continue"/>
                  <w:vAlign w:val="center"/>
                </w:tcPr>
                <w:p w14:paraId="6737AC72">
                  <w:pPr>
                    <w:widowControl/>
                    <w:snapToGrid w:val="0"/>
                    <w:jc w:val="left"/>
                    <w:textAlignment w:val="center"/>
                    <w:rPr>
                      <w:color w:val="auto"/>
                      <w:spacing w:val="0"/>
                      <w:kern w:val="0"/>
                      <w:szCs w:val="21"/>
                      <w:lang w:val="zh-CN" w:bidi="ar"/>
                    </w:rPr>
                  </w:pPr>
                </w:p>
              </w:tc>
              <w:tc>
                <w:tcPr>
                  <w:tcW w:w="913" w:type="dxa"/>
                  <w:vMerge w:val="continue"/>
                  <w:vAlign w:val="center"/>
                </w:tcPr>
                <w:p w14:paraId="4867BCE8">
                  <w:pPr>
                    <w:widowControl/>
                    <w:snapToGrid w:val="0"/>
                    <w:jc w:val="left"/>
                    <w:textAlignment w:val="center"/>
                    <w:rPr>
                      <w:color w:val="auto"/>
                      <w:spacing w:val="0"/>
                      <w:kern w:val="0"/>
                      <w:szCs w:val="21"/>
                      <w:lang w:val="zh-CN" w:bidi="ar"/>
                    </w:rPr>
                  </w:pPr>
                </w:p>
              </w:tc>
              <w:tc>
                <w:tcPr>
                  <w:tcW w:w="791" w:type="dxa"/>
                  <w:vMerge w:val="continue"/>
                  <w:vAlign w:val="center"/>
                </w:tcPr>
                <w:p w14:paraId="00DB3089">
                  <w:pPr>
                    <w:widowControl/>
                    <w:snapToGrid w:val="0"/>
                    <w:jc w:val="left"/>
                    <w:textAlignment w:val="center"/>
                    <w:rPr>
                      <w:color w:val="auto"/>
                      <w:spacing w:val="0"/>
                      <w:kern w:val="0"/>
                      <w:szCs w:val="21"/>
                      <w:lang w:val="zh-CN" w:bidi="ar"/>
                    </w:rPr>
                  </w:pPr>
                </w:p>
              </w:tc>
              <w:tc>
                <w:tcPr>
                  <w:tcW w:w="532" w:type="dxa"/>
                  <w:vMerge w:val="continue"/>
                  <w:vAlign w:val="center"/>
                </w:tcPr>
                <w:p w14:paraId="5023D18C">
                  <w:pPr>
                    <w:widowControl/>
                    <w:snapToGrid w:val="0"/>
                    <w:jc w:val="left"/>
                    <w:textAlignment w:val="center"/>
                    <w:rPr>
                      <w:color w:val="auto"/>
                      <w:spacing w:val="0"/>
                      <w:kern w:val="0"/>
                      <w:szCs w:val="21"/>
                      <w:lang w:val="zh-CN" w:bidi="ar"/>
                    </w:rPr>
                  </w:pPr>
                </w:p>
              </w:tc>
              <w:tc>
                <w:tcPr>
                  <w:tcW w:w="532" w:type="dxa"/>
                  <w:vMerge w:val="continue"/>
                  <w:vAlign w:val="center"/>
                </w:tcPr>
                <w:p w14:paraId="7235C577">
                  <w:pPr>
                    <w:widowControl/>
                    <w:snapToGrid w:val="0"/>
                    <w:jc w:val="left"/>
                    <w:textAlignment w:val="center"/>
                    <w:rPr>
                      <w:color w:val="auto"/>
                      <w:spacing w:val="0"/>
                      <w:kern w:val="0"/>
                      <w:szCs w:val="21"/>
                      <w:lang w:val="zh-CN" w:bidi="ar"/>
                    </w:rPr>
                  </w:pPr>
                </w:p>
              </w:tc>
              <w:tc>
                <w:tcPr>
                  <w:tcW w:w="1091" w:type="dxa"/>
                  <w:vAlign w:val="center"/>
                </w:tcPr>
                <w:p w14:paraId="25C22C6F">
                  <w:pPr>
                    <w:widowControl/>
                    <w:snapToGrid w:val="0"/>
                    <w:jc w:val="center"/>
                    <w:textAlignment w:val="center"/>
                    <w:rPr>
                      <w:color w:val="auto"/>
                      <w:spacing w:val="0"/>
                      <w:kern w:val="0"/>
                      <w:szCs w:val="21"/>
                      <w:lang w:bidi="ar"/>
                    </w:rPr>
                  </w:pPr>
                  <w:r>
                    <w:rPr>
                      <w:color w:val="auto"/>
                      <w:spacing w:val="0"/>
                      <w:szCs w:val="21"/>
                    </w:rPr>
                    <w:t>资源开发效率要求</w:t>
                  </w:r>
                </w:p>
              </w:tc>
              <w:tc>
                <w:tcPr>
                  <w:tcW w:w="5959" w:type="dxa"/>
                  <w:vAlign w:val="center"/>
                </w:tcPr>
                <w:p w14:paraId="64B5D34E">
                  <w:pPr>
                    <w:pStyle w:val="68"/>
                    <w:snapToGrid w:val="0"/>
                    <w:jc w:val="left"/>
                    <w:rPr>
                      <w:rFonts w:eastAsia="宋体"/>
                      <w:color w:val="auto"/>
                      <w:spacing w:val="0"/>
                      <w:kern w:val="0"/>
                      <w:lang w:eastAsia="zh-CN" w:bidi="ar"/>
                    </w:rPr>
                  </w:pPr>
                  <w:r>
                    <w:rPr>
                      <w:color w:val="auto"/>
                      <w:spacing w:val="0"/>
                      <w:lang w:eastAsia="zh-CN"/>
                    </w:rPr>
                    <w:t>1、在禁燃区内，禁止销售、燃用高污染燃料；禁止新建、扩建燃用高污染燃料的设施，已建成的，应当在各省辖市、县（市）人民政府规定的期限内改用天然气、页岩气、液化石油气、电或者其他清洁能源。2、基本实现城区集中供暖全覆盖。</w:t>
                  </w:r>
                </w:p>
              </w:tc>
              <w:tc>
                <w:tcPr>
                  <w:tcW w:w="2741" w:type="dxa"/>
                  <w:vAlign w:val="center"/>
                </w:tcPr>
                <w:p w14:paraId="38927AB0">
                  <w:pPr>
                    <w:widowControl/>
                    <w:snapToGrid w:val="0"/>
                    <w:jc w:val="center"/>
                    <w:textAlignment w:val="center"/>
                    <w:rPr>
                      <w:color w:val="auto"/>
                      <w:spacing w:val="0"/>
                      <w:kern w:val="0"/>
                      <w:szCs w:val="21"/>
                      <w:lang w:bidi="ar"/>
                    </w:rPr>
                  </w:pPr>
                  <w:r>
                    <w:rPr>
                      <w:rFonts w:hint="eastAsia"/>
                      <w:color w:val="auto"/>
                      <w:spacing w:val="0"/>
                      <w:kern w:val="0"/>
                      <w:szCs w:val="21"/>
                      <w:lang w:bidi="ar"/>
                    </w:rPr>
                    <w:t>本项目不涉及</w:t>
                  </w:r>
                </w:p>
              </w:tc>
            </w:tr>
          </w:tbl>
          <w:p w14:paraId="28B66BF7">
            <w:pPr>
              <w:pStyle w:val="10"/>
              <w:spacing w:before="0" w:after="0" w:line="360" w:lineRule="auto"/>
              <w:ind w:right="0" w:firstLine="480" w:firstLineChars="200"/>
              <w:rPr>
                <w:color w:val="auto"/>
                <w:kern w:val="2"/>
                <w:sz w:val="24"/>
                <w:szCs w:val="24"/>
              </w:rPr>
            </w:pPr>
            <w:r>
              <w:rPr>
                <w:color w:val="auto"/>
                <w:kern w:val="2"/>
                <w:sz w:val="24"/>
                <w:szCs w:val="24"/>
              </w:rPr>
              <w:fldChar w:fldCharType="begin"/>
            </w:r>
            <w:r>
              <w:rPr>
                <w:color w:val="auto"/>
                <w:kern w:val="2"/>
                <w:sz w:val="24"/>
                <w:szCs w:val="24"/>
              </w:rPr>
              <w:instrText xml:space="preserve"> = 6 \* GB3 \* MERGEFORMAT </w:instrText>
            </w:r>
            <w:r>
              <w:rPr>
                <w:color w:val="auto"/>
                <w:kern w:val="2"/>
                <w:sz w:val="24"/>
                <w:szCs w:val="24"/>
              </w:rPr>
              <w:fldChar w:fldCharType="separate"/>
            </w:r>
            <w:r>
              <w:rPr>
                <w:color w:val="auto"/>
                <w:sz w:val="24"/>
                <w:szCs w:val="24"/>
              </w:rPr>
              <w:t>⑥</w:t>
            </w:r>
            <w:r>
              <w:rPr>
                <w:color w:val="auto"/>
                <w:kern w:val="2"/>
                <w:sz w:val="24"/>
                <w:szCs w:val="24"/>
              </w:rPr>
              <w:fldChar w:fldCharType="end"/>
            </w:r>
            <w:r>
              <w:rPr>
                <w:color w:val="auto"/>
                <w:kern w:val="2"/>
                <w:sz w:val="24"/>
                <w:szCs w:val="24"/>
              </w:rPr>
              <w:t>自然资源管控分区分析</w:t>
            </w:r>
          </w:p>
          <w:p w14:paraId="17034AD4">
            <w:pPr>
              <w:pStyle w:val="10"/>
              <w:spacing w:before="0" w:after="0" w:line="360" w:lineRule="auto"/>
              <w:ind w:right="0" w:firstLine="480" w:firstLineChars="200"/>
              <w:rPr>
                <w:color w:val="auto"/>
                <w:kern w:val="2"/>
                <w:sz w:val="24"/>
                <w:szCs w:val="24"/>
              </w:rPr>
            </w:pPr>
            <w:r>
              <w:rPr>
                <w:color w:val="auto"/>
                <w:kern w:val="2"/>
                <w:sz w:val="24"/>
                <w:szCs w:val="24"/>
              </w:rPr>
              <w:t>经比对，项目涉及2个河南省自然资源管控分区，其中生态用水补给区0个</w:t>
            </w:r>
            <w:r>
              <w:rPr>
                <w:rFonts w:hint="eastAsia"/>
                <w:color w:val="auto"/>
                <w:kern w:val="2"/>
                <w:sz w:val="24"/>
                <w:szCs w:val="24"/>
              </w:rPr>
              <w:t>，</w:t>
            </w:r>
            <w:r>
              <w:rPr>
                <w:color w:val="auto"/>
                <w:kern w:val="2"/>
                <w:sz w:val="24"/>
                <w:szCs w:val="24"/>
              </w:rPr>
              <w:t>地下水开采重点管控区1个</w:t>
            </w:r>
            <w:r>
              <w:rPr>
                <w:rFonts w:hint="eastAsia"/>
                <w:color w:val="auto"/>
                <w:kern w:val="2"/>
                <w:sz w:val="24"/>
                <w:szCs w:val="24"/>
              </w:rPr>
              <w:t>，</w:t>
            </w:r>
            <w:r>
              <w:rPr>
                <w:color w:val="auto"/>
                <w:kern w:val="2"/>
                <w:sz w:val="24"/>
                <w:szCs w:val="24"/>
              </w:rPr>
              <w:t>高污染燃料禁燃区1个，详见下表。</w:t>
            </w:r>
          </w:p>
          <w:p w14:paraId="7EBC8C51">
            <w:pPr>
              <w:pStyle w:val="46"/>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default" w:ascii="Times New Roman" w:hAnsi="Arial Unicode MS" w:eastAsia="宋体" w:cs="Times New Roman"/>
                <w:b/>
                <w:color w:val="auto"/>
                <w:kern w:val="2"/>
                <w:sz w:val="24"/>
                <w:szCs w:val="24"/>
                <w:lang w:val="en-US" w:eastAsia="zh-CN" w:bidi="ar-SA"/>
              </w:rPr>
            </w:pPr>
            <w:r>
              <w:rPr>
                <w:rFonts w:hint="default" w:ascii="Times New Roman" w:hAnsi="Arial Unicode MS" w:eastAsia="宋体" w:cs="Times New Roman"/>
                <w:b/>
                <w:color w:val="auto"/>
                <w:kern w:val="2"/>
                <w:sz w:val="24"/>
                <w:szCs w:val="24"/>
                <w:lang w:val="en-US" w:eastAsia="zh-CN" w:bidi="ar-SA"/>
              </w:rPr>
              <w:t>项目涉及河南省自然资源管控一览表</w:t>
            </w:r>
          </w:p>
          <w:tbl>
            <w:tblPr>
              <w:tblStyle w:val="25"/>
              <w:tblW w:w="134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
              <w:gridCol w:w="913"/>
              <w:gridCol w:w="791"/>
              <w:gridCol w:w="532"/>
              <w:gridCol w:w="532"/>
              <w:gridCol w:w="1091"/>
              <w:gridCol w:w="5959"/>
              <w:gridCol w:w="2741"/>
            </w:tblGrid>
            <w:tr w14:paraId="42BB1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894" w:type="dxa"/>
                  <w:vAlign w:val="center"/>
                </w:tcPr>
                <w:p w14:paraId="1E85E89A">
                  <w:pPr>
                    <w:pStyle w:val="68"/>
                    <w:jc w:val="center"/>
                    <w:rPr>
                      <w:rFonts w:eastAsia="宋体"/>
                      <w:b/>
                      <w:bCs/>
                      <w:color w:val="auto"/>
                      <w:kern w:val="0"/>
                      <w:lang w:val="zh-CN" w:eastAsia="zh-CN" w:bidi="ar"/>
                    </w:rPr>
                  </w:pPr>
                  <w:r>
                    <w:rPr>
                      <w:b/>
                      <w:bCs/>
                      <w:color w:val="auto"/>
                      <w:spacing w:val="-5"/>
                    </w:rPr>
                    <w:t>环境管控单元</w:t>
                  </w:r>
                  <w:r>
                    <w:rPr>
                      <w:b/>
                      <w:bCs/>
                      <w:color w:val="auto"/>
                      <w:spacing w:val="-9"/>
                    </w:rPr>
                    <w:t>编码</w:t>
                  </w:r>
                </w:p>
              </w:tc>
              <w:tc>
                <w:tcPr>
                  <w:tcW w:w="913" w:type="dxa"/>
                  <w:vAlign w:val="center"/>
                </w:tcPr>
                <w:p w14:paraId="0CCC4D7D">
                  <w:pPr>
                    <w:pStyle w:val="68"/>
                    <w:jc w:val="center"/>
                    <w:rPr>
                      <w:rFonts w:eastAsia="宋体"/>
                      <w:b/>
                      <w:bCs/>
                      <w:color w:val="auto"/>
                      <w:kern w:val="0"/>
                      <w:lang w:val="zh-CN" w:eastAsia="zh-CN" w:bidi="ar"/>
                    </w:rPr>
                  </w:pPr>
                  <w:r>
                    <w:rPr>
                      <w:b/>
                      <w:bCs/>
                      <w:color w:val="auto"/>
                      <w:spacing w:val="-5"/>
                      <w:lang w:eastAsia="zh-CN"/>
                    </w:rPr>
                    <w:t>自然资源管控单元</w:t>
                  </w:r>
                  <w:r>
                    <w:rPr>
                      <w:b/>
                      <w:bCs/>
                      <w:color w:val="auto"/>
                      <w:spacing w:val="-9"/>
                      <w:lang w:eastAsia="zh-CN"/>
                    </w:rPr>
                    <w:t>名称</w:t>
                  </w:r>
                </w:p>
              </w:tc>
              <w:tc>
                <w:tcPr>
                  <w:tcW w:w="791" w:type="dxa"/>
                  <w:vAlign w:val="center"/>
                </w:tcPr>
                <w:p w14:paraId="14CA8E06">
                  <w:pPr>
                    <w:pStyle w:val="68"/>
                    <w:jc w:val="center"/>
                    <w:rPr>
                      <w:rFonts w:eastAsia="宋体"/>
                      <w:b/>
                      <w:bCs/>
                      <w:color w:val="auto"/>
                      <w:kern w:val="0"/>
                      <w:lang w:val="zh-CN" w:eastAsia="zh-CN" w:bidi="ar"/>
                    </w:rPr>
                  </w:pPr>
                  <w:r>
                    <w:rPr>
                      <w:b/>
                      <w:bCs/>
                      <w:color w:val="auto"/>
                      <w:spacing w:val="-7"/>
                    </w:rPr>
                    <w:t>管控分</w:t>
                  </w:r>
                  <w:r>
                    <w:rPr>
                      <w:b/>
                      <w:bCs/>
                      <w:color w:val="auto"/>
                      <w:spacing w:val="-3"/>
                    </w:rPr>
                    <w:t>类</w:t>
                  </w:r>
                </w:p>
              </w:tc>
              <w:tc>
                <w:tcPr>
                  <w:tcW w:w="532" w:type="dxa"/>
                  <w:vAlign w:val="center"/>
                </w:tcPr>
                <w:p w14:paraId="151EC754">
                  <w:pPr>
                    <w:pStyle w:val="68"/>
                    <w:jc w:val="center"/>
                    <w:rPr>
                      <w:rFonts w:eastAsia="宋体"/>
                      <w:b/>
                      <w:bCs/>
                      <w:color w:val="auto"/>
                      <w:kern w:val="0"/>
                      <w:lang w:val="zh-CN" w:eastAsia="zh-CN" w:bidi="ar"/>
                    </w:rPr>
                  </w:pPr>
                  <w:r>
                    <w:rPr>
                      <w:b/>
                      <w:bCs/>
                      <w:color w:val="auto"/>
                      <w:spacing w:val="-3"/>
                    </w:rPr>
                    <w:t>市</w:t>
                  </w:r>
                </w:p>
              </w:tc>
              <w:tc>
                <w:tcPr>
                  <w:tcW w:w="532" w:type="dxa"/>
                  <w:vAlign w:val="center"/>
                </w:tcPr>
                <w:p w14:paraId="27BB30EC">
                  <w:pPr>
                    <w:pStyle w:val="68"/>
                    <w:jc w:val="center"/>
                    <w:rPr>
                      <w:rFonts w:eastAsia="宋体"/>
                      <w:b/>
                      <w:bCs/>
                      <w:color w:val="auto"/>
                      <w:kern w:val="0"/>
                      <w:lang w:val="zh-CN" w:eastAsia="zh-CN" w:bidi="ar"/>
                    </w:rPr>
                  </w:pPr>
                  <w:r>
                    <w:rPr>
                      <w:b/>
                      <w:bCs/>
                      <w:color w:val="auto"/>
                      <w:spacing w:val="-17"/>
                    </w:rPr>
                    <w:t>区县</w:t>
                  </w:r>
                </w:p>
              </w:tc>
              <w:tc>
                <w:tcPr>
                  <w:tcW w:w="7050" w:type="dxa"/>
                  <w:gridSpan w:val="2"/>
                  <w:vAlign w:val="center"/>
                </w:tcPr>
                <w:p w14:paraId="5048F869">
                  <w:pPr>
                    <w:widowControl/>
                    <w:jc w:val="center"/>
                    <w:textAlignment w:val="center"/>
                    <w:rPr>
                      <w:b/>
                      <w:bCs/>
                      <w:color w:val="auto"/>
                      <w:kern w:val="0"/>
                      <w:szCs w:val="21"/>
                      <w:lang w:val="zh-CN" w:bidi="ar"/>
                    </w:rPr>
                  </w:pPr>
                  <w:r>
                    <w:rPr>
                      <w:b/>
                      <w:bCs/>
                      <w:color w:val="auto"/>
                      <w:kern w:val="0"/>
                      <w:szCs w:val="21"/>
                      <w:lang w:val="zh-CN" w:bidi="ar"/>
                    </w:rPr>
                    <w:t>管控要求</w:t>
                  </w:r>
                </w:p>
              </w:tc>
              <w:tc>
                <w:tcPr>
                  <w:tcW w:w="2741" w:type="dxa"/>
                  <w:vAlign w:val="center"/>
                </w:tcPr>
                <w:p w14:paraId="086B8383">
                  <w:pPr>
                    <w:pStyle w:val="7"/>
                    <w:tabs>
                      <w:tab w:val="left" w:pos="2010"/>
                    </w:tabs>
                    <w:jc w:val="center"/>
                    <w:rPr>
                      <w:b/>
                      <w:bCs/>
                      <w:color w:val="auto"/>
                      <w:szCs w:val="21"/>
                      <w:lang w:val="zh-CN"/>
                    </w:rPr>
                  </w:pPr>
                  <w:r>
                    <w:rPr>
                      <w:b/>
                      <w:bCs/>
                      <w:color w:val="auto"/>
                      <w:szCs w:val="21"/>
                      <w:lang w:val="zh-CN"/>
                    </w:rPr>
                    <w:t>本项目情况</w:t>
                  </w:r>
                </w:p>
              </w:tc>
            </w:tr>
            <w:tr w14:paraId="0FE1E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894" w:type="dxa"/>
                  <w:vMerge w:val="restart"/>
                  <w:vAlign w:val="center"/>
                </w:tcPr>
                <w:p w14:paraId="497AD84C">
                  <w:pPr>
                    <w:pStyle w:val="68"/>
                    <w:jc w:val="center"/>
                    <w:rPr>
                      <w:color w:val="auto"/>
                      <w:spacing w:val="-5"/>
                      <w:lang w:eastAsia="zh-CN"/>
                    </w:rPr>
                  </w:pPr>
                  <w:r>
                    <w:rPr>
                      <w:color w:val="auto"/>
                      <w:spacing w:val="-5"/>
                      <w:lang w:eastAsia="zh-CN"/>
                    </w:rPr>
                    <w:t>YS4109222520039</w:t>
                  </w:r>
                </w:p>
              </w:tc>
              <w:tc>
                <w:tcPr>
                  <w:tcW w:w="913" w:type="dxa"/>
                  <w:vMerge w:val="restart"/>
                  <w:vAlign w:val="center"/>
                </w:tcPr>
                <w:p w14:paraId="5C5DAA36">
                  <w:pPr>
                    <w:pStyle w:val="68"/>
                    <w:jc w:val="center"/>
                    <w:rPr>
                      <w:color w:val="auto"/>
                      <w:spacing w:val="-5"/>
                      <w:lang w:eastAsia="zh-CN"/>
                    </w:rPr>
                  </w:pPr>
                  <w:r>
                    <w:rPr>
                      <w:color w:val="auto"/>
                      <w:spacing w:val="-5"/>
                      <w:lang w:eastAsia="zh-CN"/>
                    </w:rPr>
                    <w:t>河南省濮阳市清丰县地下水开采重点管控区</w:t>
                  </w:r>
                </w:p>
              </w:tc>
              <w:tc>
                <w:tcPr>
                  <w:tcW w:w="791" w:type="dxa"/>
                  <w:vMerge w:val="restart"/>
                  <w:vAlign w:val="center"/>
                </w:tcPr>
                <w:p w14:paraId="5F5AF1B9">
                  <w:pPr>
                    <w:pStyle w:val="68"/>
                    <w:jc w:val="center"/>
                    <w:rPr>
                      <w:color w:val="auto"/>
                      <w:spacing w:val="-5"/>
                      <w:lang w:eastAsia="zh-CN"/>
                    </w:rPr>
                  </w:pPr>
                  <w:r>
                    <w:rPr>
                      <w:color w:val="auto"/>
                      <w:spacing w:val="-5"/>
                    </w:rPr>
                    <w:t>重点</w:t>
                  </w:r>
                </w:p>
              </w:tc>
              <w:tc>
                <w:tcPr>
                  <w:tcW w:w="532" w:type="dxa"/>
                  <w:vMerge w:val="restart"/>
                  <w:vAlign w:val="center"/>
                </w:tcPr>
                <w:p w14:paraId="45387CCD">
                  <w:pPr>
                    <w:pStyle w:val="68"/>
                    <w:jc w:val="center"/>
                    <w:rPr>
                      <w:color w:val="auto"/>
                      <w:spacing w:val="-5"/>
                      <w:lang w:eastAsia="zh-CN"/>
                    </w:rPr>
                  </w:pPr>
                  <w:r>
                    <w:rPr>
                      <w:color w:val="auto"/>
                      <w:spacing w:val="-5"/>
                    </w:rPr>
                    <w:t>濮阳市</w:t>
                  </w:r>
                </w:p>
              </w:tc>
              <w:tc>
                <w:tcPr>
                  <w:tcW w:w="532" w:type="dxa"/>
                  <w:vMerge w:val="restart"/>
                  <w:vAlign w:val="center"/>
                </w:tcPr>
                <w:p w14:paraId="48037DA6">
                  <w:pPr>
                    <w:pStyle w:val="68"/>
                    <w:jc w:val="center"/>
                    <w:rPr>
                      <w:color w:val="auto"/>
                      <w:spacing w:val="-5"/>
                      <w:lang w:eastAsia="zh-CN"/>
                    </w:rPr>
                  </w:pPr>
                  <w:r>
                    <w:rPr>
                      <w:color w:val="auto"/>
                      <w:spacing w:val="-5"/>
                    </w:rPr>
                    <w:t>清丰县</w:t>
                  </w:r>
                </w:p>
              </w:tc>
              <w:tc>
                <w:tcPr>
                  <w:tcW w:w="1091" w:type="dxa"/>
                  <w:vAlign w:val="center"/>
                </w:tcPr>
                <w:p w14:paraId="205BE0E6">
                  <w:pPr>
                    <w:pStyle w:val="68"/>
                    <w:jc w:val="center"/>
                    <w:rPr>
                      <w:rFonts w:eastAsia="宋体"/>
                      <w:color w:val="auto"/>
                      <w:spacing w:val="-5"/>
                      <w:lang w:eastAsia="zh-CN"/>
                    </w:rPr>
                  </w:pPr>
                  <w:r>
                    <w:rPr>
                      <w:rFonts w:eastAsia="宋体"/>
                      <w:color w:val="auto"/>
                      <w:spacing w:val="-5"/>
                      <w:lang w:eastAsia="zh-CN"/>
                    </w:rPr>
                    <w:t>空间布局约束</w:t>
                  </w:r>
                </w:p>
              </w:tc>
              <w:tc>
                <w:tcPr>
                  <w:tcW w:w="5959" w:type="dxa"/>
                  <w:vAlign w:val="center"/>
                </w:tcPr>
                <w:p w14:paraId="270A8367">
                  <w:pPr>
                    <w:pStyle w:val="68"/>
                    <w:jc w:val="center"/>
                    <w:rPr>
                      <w:rFonts w:eastAsia="宋体"/>
                      <w:color w:val="auto"/>
                      <w:spacing w:val="-5"/>
                      <w:lang w:val="zh-CN" w:eastAsia="zh-CN"/>
                    </w:rPr>
                  </w:pPr>
                  <w:r>
                    <w:rPr>
                      <w:rFonts w:hint="eastAsia" w:eastAsia="宋体"/>
                      <w:color w:val="auto"/>
                      <w:spacing w:val="-5"/>
                      <w:lang w:eastAsia="zh-CN"/>
                    </w:rPr>
                    <w:t>/</w:t>
                  </w:r>
                </w:p>
              </w:tc>
              <w:tc>
                <w:tcPr>
                  <w:tcW w:w="2741" w:type="dxa"/>
                  <w:vAlign w:val="center"/>
                </w:tcPr>
                <w:p w14:paraId="20F3E1A3">
                  <w:pPr>
                    <w:pStyle w:val="68"/>
                    <w:jc w:val="center"/>
                    <w:rPr>
                      <w:rFonts w:eastAsia="宋体"/>
                      <w:color w:val="auto"/>
                      <w:spacing w:val="-5"/>
                      <w:lang w:eastAsia="zh-CN"/>
                    </w:rPr>
                  </w:pPr>
                  <w:r>
                    <w:rPr>
                      <w:rFonts w:eastAsia="宋体"/>
                      <w:color w:val="auto"/>
                      <w:spacing w:val="-5"/>
                      <w:lang w:val="zh-CN" w:eastAsia="zh-CN"/>
                    </w:rPr>
                    <w:t>/</w:t>
                  </w:r>
                </w:p>
              </w:tc>
            </w:tr>
            <w:tr w14:paraId="51C95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894" w:type="dxa"/>
                  <w:vMerge w:val="continue"/>
                  <w:vAlign w:val="center"/>
                </w:tcPr>
                <w:p w14:paraId="030C0622">
                  <w:pPr>
                    <w:pStyle w:val="68"/>
                    <w:jc w:val="center"/>
                    <w:rPr>
                      <w:rFonts w:eastAsia="宋体"/>
                      <w:color w:val="auto"/>
                      <w:spacing w:val="-5"/>
                      <w:lang w:val="zh-CN" w:eastAsia="zh-CN"/>
                    </w:rPr>
                  </w:pPr>
                </w:p>
              </w:tc>
              <w:tc>
                <w:tcPr>
                  <w:tcW w:w="913" w:type="dxa"/>
                  <w:vMerge w:val="continue"/>
                  <w:vAlign w:val="center"/>
                </w:tcPr>
                <w:p w14:paraId="54908E9D">
                  <w:pPr>
                    <w:pStyle w:val="68"/>
                    <w:jc w:val="center"/>
                    <w:rPr>
                      <w:rFonts w:eastAsia="宋体"/>
                      <w:color w:val="auto"/>
                      <w:spacing w:val="-5"/>
                      <w:lang w:val="zh-CN" w:eastAsia="zh-CN"/>
                    </w:rPr>
                  </w:pPr>
                </w:p>
              </w:tc>
              <w:tc>
                <w:tcPr>
                  <w:tcW w:w="791" w:type="dxa"/>
                  <w:vMerge w:val="continue"/>
                  <w:vAlign w:val="center"/>
                </w:tcPr>
                <w:p w14:paraId="1FF11B15">
                  <w:pPr>
                    <w:pStyle w:val="68"/>
                    <w:jc w:val="center"/>
                    <w:rPr>
                      <w:rFonts w:eastAsia="宋体"/>
                      <w:color w:val="auto"/>
                      <w:spacing w:val="-5"/>
                      <w:lang w:val="zh-CN" w:eastAsia="zh-CN"/>
                    </w:rPr>
                  </w:pPr>
                </w:p>
              </w:tc>
              <w:tc>
                <w:tcPr>
                  <w:tcW w:w="532" w:type="dxa"/>
                  <w:vMerge w:val="continue"/>
                  <w:vAlign w:val="center"/>
                </w:tcPr>
                <w:p w14:paraId="56BFB878">
                  <w:pPr>
                    <w:pStyle w:val="68"/>
                    <w:jc w:val="center"/>
                    <w:rPr>
                      <w:rFonts w:eastAsia="宋体"/>
                      <w:color w:val="auto"/>
                      <w:spacing w:val="-5"/>
                      <w:lang w:val="zh-CN" w:eastAsia="zh-CN"/>
                    </w:rPr>
                  </w:pPr>
                </w:p>
              </w:tc>
              <w:tc>
                <w:tcPr>
                  <w:tcW w:w="532" w:type="dxa"/>
                  <w:vMerge w:val="continue"/>
                  <w:vAlign w:val="center"/>
                </w:tcPr>
                <w:p w14:paraId="54AB951F">
                  <w:pPr>
                    <w:pStyle w:val="68"/>
                    <w:jc w:val="center"/>
                    <w:rPr>
                      <w:rFonts w:eastAsia="宋体"/>
                      <w:color w:val="auto"/>
                      <w:spacing w:val="-5"/>
                      <w:lang w:val="zh-CN" w:eastAsia="zh-CN"/>
                    </w:rPr>
                  </w:pPr>
                </w:p>
              </w:tc>
              <w:tc>
                <w:tcPr>
                  <w:tcW w:w="1091" w:type="dxa"/>
                  <w:vAlign w:val="center"/>
                </w:tcPr>
                <w:p w14:paraId="4A45C165">
                  <w:pPr>
                    <w:pStyle w:val="68"/>
                    <w:jc w:val="center"/>
                    <w:rPr>
                      <w:rFonts w:eastAsia="宋体"/>
                      <w:color w:val="auto"/>
                      <w:spacing w:val="-5"/>
                      <w:lang w:val="zh-CN" w:eastAsia="zh-CN"/>
                    </w:rPr>
                  </w:pPr>
                  <w:r>
                    <w:rPr>
                      <w:rFonts w:eastAsia="宋体"/>
                      <w:color w:val="auto"/>
                      <w:spacing w:val="-5"/>
                      <w:lang w:eastAsia="zh-CN"/>
                    </w:rPr>
                    <w:t>污染物排放管控</w:t>
                  </w:r>
                </w:p>
              </w:tc>
              <w:tc>
                <w:tcPr>
                  <w:tcW w:w="5959" w:type="dxa"/>
                  <w:vAlign w:val="center"/>
                </w:tcPr>
                <w:p w14:paraId="2F00E6BC">
                  <w:pPr>
                    <w:pStyle w:val="68"/>
                    <w:jc w:val="center"/>
                    <w:rPr>
                      <w:rFonts w:eastAsia="宋体"/>
                      <w:color w:val="auto"/>
                      <w:spacing w:val="-5"/>
                      <w:lang w:eastAsia="zh-CN"/>
                    </w:rPr>
                  </w:pPr>
                  <w:r>
                    <w:rPr>
                      <w:rFonts w:eastAsia="宋体"/>
                      <w:color w:val="auto"/>
                      <w:spacing w:val="-5"/>
                      <w:lang w:val="zh-CN" w:eastAsia="zh-CN"/>
                    </w:rPr>
                    <w:t>/</w:t>
                  </w:r>
                </w:p>
              </w:tc>
              <w:tc>
                <w:tcPr>
                  <w:tcW w:w="2741" w:type="dxa"/>
                  <w:vAlign w:val="center"/>
                </w:tcPr>
                <w:p w14:paraId="69DA0B40">
                  <w:pPr>
                    <w:jc w:val="center"/>
                    <w:rPr>
                      <w:color w:val="auto"/>
                      <w:spacing w:val="-5"/>
                      <w:szCs w:val="21"/>
                    </w:rPr>
                  </w:pPr>
                  <w:r>
                    <w:rPr>
                      <w:color w:val="auto"/>
                      <w:spacing w:val="-5"/>
                      <w:szCs w:val="21"/>
                      <w:lang w:val="zh-CN"/>
                    </w:rPr>
                    <w:t>/</w:t>
                  </w:r>
                </w:p>
              </w:tc>
            </w:tr>
            <w:tr w14:paraId="1DA75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894" w:type="dxa"/>
                  <w:vMerge w:val="continue"/>
                  <w:vAlign w:val="center"/>
                </w:tcPr>
                <w:p w14:paraId="76EC988D">
                  <w:pPr>
                    <w:pStyle w:val="68"/>
                    <w:jc w:val="center"/>
                    <w:rPr>
                      <w:rFonts w:eastAsia="宋体"/>
                      <w:color w:val="auto"/>
                      <w:spacing w:val="-5"/>
                      <w:lang w:val="zh-CN" w:eastAsia="zh-CN"/>
                    </w:rPr>
                  </w:pPr>
                </w:p>
              </w:tc>
              <w:tc>
                <w:tcPr>
                  <w:tcW w:w="913" w:type="dxa"/>
                  <w:vMerge w:val="continue"/>
                  <w:vAlign w:val="center"/>
                </w:tcPr>
                <w:p w14:paraId="61DD948F">
                  <w:pPr>
                    <w:pStyle w:val="68"/>
                    <w:jc w:val="center"/>
                    <w:rPr>
                      <w:rFonts w:eastAsia="宋体"/>
                      <w:color w:val="auto"/>
                      <w:spacing w:val="-5"/>
                      <w:lang w:val="zh-CN" w:eastAsia="zh-CN"/>
                    </w:rPr>
                  </w:pPr>
                </w:p>
              </w:tc>
              <w:tc>
                <w:tcPr>
                  <w:tcW w:w="791" w:type="dxa"/>
                  <w:vMerge w:val="continue"/>
                  <w:vAlign w:val="center"/>
                </w:tcPr>
                <w:p w14:paraId="5E47CCBD">
                  <w:pPr>
                    <w:pStyle w:val="68"/>
                    <w:jc w:val="center"/>
                    <w:rPr>
                      <w:rFonts w:eastAsia="宋体"/>
                      <w:color w:val="auto"/>
                      <w:spacing w:val="-5"/>
                      <w:lang w:val="zh-CN" w:eastAsia="zh-CN"/>
                    </w:rPr>
                  </w:pPr>
                </w:p>
              </w:tc>
              <w:tc>
                <w:tcPr>
                  <w:tcW w:w="532" w:type="dxa"/>
                  <w:vMerge w:val="continue"/>
                  <w:vAlign w:val="center"/>
                </w:tcPr>
                <w:p w14:paraId="7D39FEDF">
                  <w:pPr>
                    <w:pStyle w:val="68"/>
                    <w:jc w:val="center"/>
                    <w:rPr>
                      <w:rFonts w:eastAsia="宋体"/>
                      <w:color w:val="auto"/>
                      <w:spacing w:val="-5"/>
                      <w:lang w:val="zh-CN" w:eastAsia="zh-CN"/>
                    </w:rPr>
                  </w:pPr>
                </w:p>
              </w:tc>
              <w:tc>
                <w:tcPr>
                  <w:tcW w:w="532" w:type="dxa"/>
                  <w:vMerge w:val="continue"/>
                  <w:vAlign w:val="center"/>
                </w:tcPr>
                <w:p w14:paraId="3B8A29D5">
                  <w:pPr>
                    <w:pStyle w:val="68"/>
                    <w:jc w:val="center"/>
                    <w:rPr>
                      <w:rFonts w:eastAsia="宋体"/>
                      <w:color w:val="auto"/>
                      <w:spacing w:val="-5"/>
                      <w:lang w:val="zh-CN" w:eastAsia="zh-CN"/>
                    </w:rPr>
                  </w:pPr>
                </w:p>
              </w:tc>
              <w:tc>
                <w:tcPr>
                  <w:tcW w:w="1091" w:type="dxa"/>
                  <w:vAlign w:val="center"/>
                </w:tcPr>
                <w:p w14:paraId="1A85CCFB">
                  <w:pPr>
                    <w:pStyle w:val="68"/>
                    <w:jc w:val="center"/>
                    <w:rPr>
                      <w:rFonts w:eastAsia="宋体"/>
                      <w:color w:val="auto"/>
                      <w:spacing w:val="-5"/>
                      <w:lang w:val="zh-CN" w:eastAsia="zh-CN"/>
                    </w:rPr>
                  </w:pPr>
                  <w:r>
                    <w:rPr>
                      <w:rFonts w:eastAsia="宋体"/>
                      <w:color w:val="auto"/>
                      <w:spacing w:val="-5"/>
                      <w:lang w:eastAsia="zh-CN"/>
                    </w:rPr>
                    <w:t>环境风险防控</w:t>
                  </w:r>
                </w:p>
              </w:tc>
              <w:tc>
                <w:tcPr>
                  <w:tcW w:w="5959" w:type="dxa"/>
                  <w:vAlign w:val="center"/>
                </w:tcPr>
                <w:p w14:paraId="69D66149">
                  <w:pPr>
                    <w:pStyle w:val="68"/>
                    <w:jc w:val="center"/>
                    <w:rPr>
                      <w:rFonts w:eastAsia="宋体"/>
                      <w:color w:val="auto"/>
                      <w:spacing w:val="-5"/>
                      <w:lang w:eastAsia="zh-CN"/>
                    </w:rPr>
                  </w:pPr>
                  <w:r>
                    <w:rPr>
                      <w:rFonts w:eastAsia="宋体"/>
                      <w:color w:val="auto"/>
                      <w:spacing w:val="-5"/>
                      <w:lang w:val="zh-CN" w:eastAsia="zh-CN"/>
                    </w:rPr>
                    <w:t>/</w:t>
                  </w:r>
                </w:p>
              </w:tc>
              <w:tc>
                <w:tcPr>
                  <w:tcW w:w="2741" w:type="dxa"/>
                  <w:vAlign w:val="center"/>
                </w:tcPr>
                <w:p w14:paraId="4E252D07">
                  <w:pPr>
                    <w:jc w:val="center"/>
                    <w:rPr>
                      <w:color w:val="auto"/>
                      <w:spacing w:val="-5"/>
                      <w:szCs w:val="21"/>
                    </w:rPr>
                  </w:pPr>
                  <w:r>
                    <w:rPr>
                      <w:color w:val="auto"/>
                      <w:spacing w:val="-5"/>
                      <w:szCs w:val="21"/>
                      <w:lang w:val="zh-CN"/>
                    </w:rPr>
                    <w:t>/</w:t>
                  </w:r>
                </w:p>
              </w:tc>
            </w:tr>
            <w:tr w14:paraId="392C9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894" w:type="dxa"/>
                  <w:vMerge w:val="continue"/>
                  <w:vAlign w:val="center"/>
                </w:tcPr>
                <w:p w14:paraId="6D1E879F">
                  <w:pPr>
                    <w:pStyle w:val="68"/>
                    <w:jc w:val="center"/>
                    <w:rPr>
                      <w:rFonts w:eastAsia="宋体"/>
                      <w:color w:val="auto"/>
                      <w:spacing w:val="-5"/>
                      <w:lang w:val="zh-CN" w:eastAsia="zh-CN"/>
                    </w:rPr>
                  </w:pPr>
                </w:p>
              </w:tc>
              <w:tc>
                <w:tcPr>
                  <w:tcW w:w="913" w:type="dxa"/>
                  <w:vMerge w:val="continue"/>
                  <w:vAlign w:val="center"/>
                </w:tcPr>
                <w:p w14:paraId="7D136E2F">
                  <w:pPr>
                    <w:pStyle w:val="68"/>
                    <w:jc w:val="center"/>
                    <w:rPr>
                      <w:rFonts w:eastAsia="宋体"/>
                      <w:color w:val="auto"/>
                      <w:spacing w:val="-5"/>
                      <w:lang w:val="zh-CN" w:eastAsia="zh-CN"/>
                    </w:rPr>
                  </w:pPr>
                </w:p>
              </w:tc>
              <w:tc>
                <w:tcPr>
                  <w:tcW w:w="791" w:type="dxa"/>
                  <w:vMerge w:val="continue"/>
                  <w:vAlign w:val="center"/>
                </w:tcPr>
                <w:p w14:paraId="518943B5">
                  <w:pPr>
                    <w:pStyle w:val="68"/>
                    <w:jc w:val="center"/>
                    <w:rPr>
                      <w:rFonts w:eastAsia="宋体"/>
                      <w:color w:val="auto"/>
                      <w:spacing w:val="-5"/>
                      <w:lang w:val="zh-CN" w:eastAsia="zh-CN"/>
                    </w:rPr>
                  </w:pPr>
                </w:p>
              </w:tc>
              <w:tc>
                <w:tcPr>
                  <w:tcW w:w="532" w:type="dxa"/>
                  <w:vMerge w:val="continue"/>
                  <w:vAlign w:val="center"/>
                </w:tcPr>
                <w:p w14:paraId="14B27E23">
                  <w:pPr>
                    <w:pStyle w:val="68"/>
                    <w:jc w:val="center"/>
                    <w:rPr>
                      <w:rFonts w:eastAsia="宋体"/>
                      <w:color w:val="auto"/>
                      <w:spacing w:val="-5"/>
                      <w:lang w:val="zh-CN" w:eastAsia="zh-CN"/>
                    </w:rPr>
                  </w:pPr>
                </w:p>
              </w:tc>
              <w:tc>
                <w:tcPr>
                  <w:tcW w:w="532" w:type="dxa"/>
                  <w:vMerge w:val="continue"/>
                  <w:vAlign w:val="center"/>
                </w:tcPr>
                <w:p w14:paraId="20925BC0">
                  <w:pPr>
                    <w:pStyle w:val="68"/>
                    <w:jc w:val="center"/>
                    <w:rPr>
                      <w:rFonts w:eastAsia="宋体"/>
                      <w:color w:val="auto"/>
                      <w:spacing w:val="-5"/>
                      <w:lang w:val="zh-CN" w:eastAsia="zh-CN"/>
                    </w:rPr>
                  </w:pPr>
                </w:p>
              </w:tc>
              <w:tc>
                <w:tcPr>
                  <w:tcW w:w="1091" w:type="dxa"/>
                  <w:vAlign w:val="center"/>
                </w:tcPr>
                <w:p w14:paraId="1153DAFF">
                  <w:pPr>
                    <w:pStyle w:val="68"/>
                    <w:jc w:val="center"/>
                    <w:rPr>
                      <w:rFonts w:eastAsia="宋体"/>
                      <w:color w:val="auto"/>
                      <w:spacing w:val="-5"/>
                      <w:lang w:val="zh-CN" w:eastAsia="zh-CN"/>
                    </w:rPr>
                  </w:pPr>
                  <w:r>
                    <w:rPr>
                      <w:rFonts w:eastAsia="宋体"/>
                      <w:color w:val="auto"/>
                      <w:spacing w:val="-5"/>
                      <w:lang w:eastAsia="zh-CN"/>
                    </w:rPr>
                    <w:t>资源开发效率要求</w:t>
                  </w:r>
                </w:p>
              </w:tc>
              <w:tc>
                <w:tcPr>
                  <w:tcW w:w="5959" w:type="dxa"/>
                  <w:vAlign w:val="center"/>
                </w:tcPr>
                <w:p w14:paraId="3E939F95">
                  <w:pPr>
                    <w:pStyle w:val="68"/>
                    <w:snapToGrid w:val="0"/>
                    <w:rPr>
                      <w:rFonts w:eastAsia="宋体"/>
                      <w:color w:val="auto"/>
                      <w:spacing w:val="-5"/>
                      <w:lang w:eastAsia="zh-CN"/>
                    </w:rPr>
                  </w:pPr>
                  <w:r>
                    <w:rPr>
                      <w:color w:val="auto"/>
                      <w:spacing w:val="-10"/>
                      <w:lang w:eastAsia="zh-CN"/>
                    </w:rPr>
                    <w:t>1、到</w:t>
                  </w:r>
                  <w:r>
                    <w:rPr>
                      <w:color w:val="auto"/>
                      <w:spacing w:val="-9"/>
                      <w:lang w:eastAsia="zh-CN"/>
                    </w:rPr>
                    <w:t>2025年，</w:t>
                  </w:r>
                  <w:r>
                    <w:rPr>
                      <w:color w:val="auto"/>
                      <w:spacing w:val="4"/>
                      <w:lang w:eastAsia="zh-CN"/>
                    </w:rPr>
                    <w:t>用水总量</w:t>
                  </w:r>
                  <w:r>
                    <w:rPr>
                      <w:color w:val="auto"/>
                      <w:spacing w:val="-3"/>
                      <w:lang w:eastAsia="zh-CN"/>
                    </w:rPr>
                    <w:t>控制在</w:t>
                  </w:r>
                  <w:r>
                    <w:rPr>
                      <w:color w:val="auto"/>
                      <w:lang w:eastAsia="zh-CN"/>
                    </w:rPr>
                    <w:t>14370万</w:t>
                  </w:r>
                  <w:r>
                    <w:rPr>
                      <w:color w:val="auto"/>
                      <w:spacing w:val="-3"/>
                      <w:lang w:eastAsia="zh-CN"/>
                    </w:rPr>
                    <w:t>立方米以内，万元</w:t>
                  </w:r>
                  <w:r>
                    <w:rPr>
                      <w:color w:val="auto"/>
                      <w:spacing w:val="-4"/>
                      <w:lang w:eastAsia="zh-CN"/>
                    </w:rPr>
                    <w:t>GDP用水</w:t>
                  </w:r>
                  <w:r>
                    <w:rPr>
                      <w:color w:val="auto"/>
                      <w:spacing w:val="-3"/>
                      <w:lang w:eastAsia="zh-CN"/>
                    </w:rPr>
                    <w:t>量、万元</w:t>
                  </w:r>
                  <w:r>
                    <w:rPr>
                      <w:color w:val="auto"/>
                      <w:spacing w:val="-4"/>
                      <w:lang w:eastAsia="zh-CN"/>
                    </w:rPr>
                    <w:t>工业增加</w:t>
                  </w:r>
                  <w:r>
                    <w:rPr>
                      <w:color w:val="auto"/>
                      <w:spacing w:val="-3"/>
                      <w:lang w:eastAsia="zh-CN"/>
                    </w:rPr>
                    <w:t>值用水量</w:t>
                  </w:r>
                  <w:r>
                    <w:rPr>
                      <w:color w:val="auto"/>
                      <w:spacing w:val="-5"/>
                      <w:lang w:eastAsia="zh-CN"/>
                    </w:rPr>
                    <w:t>分别在</w:t>
                  </w:r>
                  <w:r>
                    <w:rPr>
                      <w:color w:val="auto"/>
                      <w:spacing w:val="-4"/>
                      <w:lang w:eastAsia="zh-CN"/>
                    </w:rPr>
                    <w:t>69.8立方</w:t>
                  </w:r>
                  <w:r>
                    <w:rPr>
                      <w:color w:val="auto"/>
                      <w:spacing w:val="-2"/>
                      <w:lang w:eastAsia="zh-CN"/>
                    </w:rPr>
                    <w:t>米、23.0</w:t>
                  </w:r>
                  <w:r>
                    <w:rPr>
                      <w:color w:val="auto"/>
                      <w:spacing w:val="-3"/>
                      <w:lang w:eastAsia="zh-CN"/>
                    </w:rPr>
                    <w:t>立方米以</w:t>
                  </w:r>
                  <w:r>
                    <w:rPr>
                      <w:color w:val="auto"/>
                      <w:spacing w:val="-10"/>
                      <w:lang w:eastAsia="zh-CN"/>
                    </w:rPr>
                    <w:t>内，灌溉</w:t>
                  </w:r>
                  <w:r>
                    <w:rPr>
                      <w:color w:val="auto"/>
                      <w:spacing w:val="-4"/>
                      <w:lang w:eastAsia="zh-CN"/>
                    </w:rPr>
                    <w:t>水有效利</w:t>
                  </w:r>
                  <w:r>
                    <w:rPr>
                      <w:color w:val="auto"/>
                      <w:spacing w:val="-3"/>
                      <w:lang w:eastAsia="zh-CN"/>
                    </w:rPr>
                    <w:t>用系数提</w:t>
                  </w:r>
                  <w:r>
                    <w:rPr>
                      <w:color w:val="auto"/>
                      <w:spacing w:val="-8"/>
                      <w:lang w:eastAsia="zh-CN"/>
                    </w:rPr>
                    <w:t>高到</w:t>
                  </w:r>
                  <w:r>
                    <w:rPr>
                      <w:color w:val="auto"/>
                      <w:spacing w:val="-2"/>
                      <w:lang w:eastAsia="zh-CN"/>
                    </w:rPr>
                    <w:t>0.594以</w:t>
                  </w:r>
                  <w:r>
                    <w:rPr>
                      <w:color w:val="auto"/>
                      <w:spacing w:val="-16"/>
                      <w:lang w:eastAsia="zh-CN"/>
                    </w:rPr>
                    <w:t>上；2、</w:t>
                  </w:r>
                  <w:r>
                    <w:rPr>
                      <w:color w:val="auto"/>
                      <w:spacing w:val="-2"/>
                      <w:lang w:eastAsia="zh-CN"/>
                    </w:rPr>
                    <w:t>加快公共供水管网建设，促进供水管网覆盖范围以外的自备井封</w:t>
                  </w:r>
                  <w:r>
                    <w:rPr>
                      <w:color w:val="auto"/>
                      <w:spacing w:val="-3"/>
                      <w:lang w:eastAsia="zh-CN"/>
                    </w:rPr>
                    <w:t>闭工作</w:t>
                  </w:r>
                  <w:r>
                    <w:rPr>
                      <w:rFonts w:hint="eastAsia" w:eastAsia="宋体"/>
                      <w:color w:val="auto"/>
                      <w:spacing w:val="-3"/>
                      <w:lang w:eastAsia="zh-CN"/>
                    </w:rPr>
                    <w:t>；</w:t>
                  </w:r>
                  <w:r>
                    <w:rPr>
                      <w:color w:val="auto"/>
                      <w:spacing w:val="-3"/>
                      <w:lang w:eastAsia="zh-CN"/>
                    </w:rPr>
                    <w:t>3、开展高耗水工业行业节水</w:t>
                  </w:r>
                  <w:r>
                    <w:rPr>
                      <w:color w:val="auto"/>
                      <w:spacing w:val="37"/>
                      <w:lang w:eastAsia="zh-CN"/>
                    </w:rPr>
                    <w:t>技术改</w:t>
                  </w:r>
                  <w:r>
                    <w:rPr>
                      <w:color w:val="auto"/>
                      <w:spacing w:val="-3"/>
                      <w:lang w:eastAsia="zh-CN"/>
                    </w:rPr>
                    <w:t>造，大力推广工业水循环利用，推进节水型企业、节水型工业园区建设</w:t>
                  </w:r>
                  <w:r>
                    <w:rPr>
                      <w:color w:val="auto"/>
                      <w:spacing w:val="-2"/>
                      <w:lang w:eastAsia="zh-CN"/>
                    </w:rPr>
                    <w:t>4、大力推</w:t>
                  </w:r>
                  <w:r>
                    <w:rPr>
                      <w:color w:val="auto"/>
                      <w:spacing w:val="4"/>
                      <w:lang w:eastAsia="zh-CN"/>
                    </w:rPr>
                    <w:t>进雨水、再生水、</w:t>
                  </w:r>
                  <w:r>
                    <w:rPr>
                      <w:color w:val="auto"/>
                      <w:spacing w:val="-2"/>
                      <w:lang w:eastAsia="zh-CN"/>
                    </w:rPr>
                    <w:t>矿井水等非常规水源利用，将非常规</w:t>
                  </w:r>
                  <w:r>
                    <w:rPr>
                      <w:color w:val="auto"/>
                      <w:spacing w:val="-3"/>
                      <w:lang w:eastAsia="zh-CN"/>
                    </w:rPr>
                    <w:t>水源纳入区域水资源统一配</w:t>
                  </w:r>
                  <w:r>
                    <w:rPr>
                      <w:color w:val="auto"/>
                      <w:lang w:eastAsia="zh-CN"/>
                    </w:rPr>
                    <w:t>置</w:t>
                  </w:r>
                </w:p>
              </w:tc>
              <w:tc>
                <w:tcPr>
                  <w:tcW w:w="2741" w:type="dxa"/>
                  <w:vAlign w:val="center"/>
                </w:tcPr>
                <w:p w14:paraId="151B1C96">
                  <w:pPr>
                    <w:pStyle w:val="68"/>
                    <w:jc w:val="center"/>
                    <w:rPr>
                      <w:rFonts w:eastAsia="宋体"/>
                      <w:color w:val="auto"/>
                      <w:spacing w:val="-5"/>
                      <w:lang w:eastAsia="zh-CN"/>
                    </w:rPr>
                  </w:pPr>
                  <w:r>
                    <w:rPr>
                      <w:rFonts w:eastAsia="宋体"/>
                      <w:color w:val="auto"/>
                      <w:spacing w:val="-5"/>
                      <w:lang w:eastAsia="zh-CN"/>
                    </w:rPr>
                    <w:t>本项目不涉及</w:t>
                  </w:r>
                </w:p>
              </w:tc>
            </w:tr>
            <w:tr w14:paraId="2DB5F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94" w:type="dxa"/>
                  <w:vMerge w:val="restart"/>
                  <w:vAlign w:val="center"/>
                </w:tcPr>
                <w:p w14:paraId="294FB4D0">
                  <w:pPr>
                    <w:pStyle w:val="68"/>
                    <w:jc w:val="center"/>
                    <w:rPr>
                      <w:color w:val="auto"/>
                      <w:spacing w:val="-5"/>
                      <w:lang w:val="zh-CN" w:eastAsia="zh-CN"/>
                    </w:rPr>
                  </w:pPr>
                  <w:r>
                    <w:rPr>
                      <w:color w:val="auto"/>
                      <w:spacing w:val="-5"/>
                      <w:lang w:val="zh-CN" w:eastAsia="zh-CN"/>
                    </w:rPr>
                    <w:t>YS4109222540001</w:t>
                  </w:r>
                </w:p>
              </w:tc>
              <w:tc>
                <w:tcPr>
                  <w:tcW w:w="913" w:type="dxa"/>
                  <w:vMerge w:val="restart"/>
                  <w:vAlign w:val="center"/>
                </w:tcPr>
                <w:p w14:paraId="6D0FFE88">
                  <w:pPr>
                    <w:pStyle w:val="68"/>
                    <w:jc w:val="center"/>
                    <w:rPr>
                      <w:color w:val="auto"/>
                      <w:spacing w:val="-5"/>
                      <w:lang w:val="zh-CN" w:eastAsia="zh-CN"/>
                    </w:rPr>
                  </w:pPr>
                  <w:r>
                    <w:rPr>
                      <w:color w:val="auto"/>
                      <w:spacing w:val="-5"/>
                      <w:lang w:eastAsia="zh-CN"/>
                    </w:rPr>
                    <w:t>河南省濮阳市清丰县高污染燃料禁燃区</w:t>
                  </w:r>
                </w:p>
              </w:tc>
              <w:tc>
                <w:tcPr>
                  <w:tcW w:w="791" w:type="dxa"/>
                  <w:vMerge w:val="restart"/>
                  <w:vAlign w:val="center"/>
                </w:tcPr>
                <w:p w14:paraId="58589730">
                  <w:pPr>
                    <w:pStyle w:val="68"/>
                    <w:jc w:val="center"/>
                    <w:rPr>
                      <w:color w:val="auto"/>
                      <w:spacing w:val="-5"/>
                      <w:lang w:val="zh-CN" w:eastAsia="zh-CN"/>
                    </w:rPr>
                  </w:pPr>
                  <w:r>
                    <w:rPr>
                      <w:color w:val="auto"/>
                      <w:spacing w:val="-5"/>
                    </w:rPr>
                    <w:t>重点</w:t>
                  </w:r>
                </w:p>
              </w:tc>
              <w:tc>
                <w:tcPr>
                  <w:tcW w:w="532" w:type="dxa"/>
                  <w:vMerge w:val="restart"/>
                  <w:vAlign w:val="center"/>
                </w:tcPr>
                <w:p w14:paraId="0F783EE9">
                  <w:pPr>
                    <w:pStyle w:val="68"/>
                    <w:jc w:val="center"/>
                    <w:rPr>
                      <w:color w:val="auto"/>
                      <w:spacing w:val="-5"/>
                      <w:lang w:val="zh-CN" w:eastAsia="zh-CN"/>
                    </w:rPr>
                  </w:pPr>
                  <w:r>
                    <w:rPr>
                      <w:color w:val="auto"/>
                      <w:spacing w:val="-5"/>
                    </w:rPr>
                    <w:t>濮阳市</w:t>
                  </w:r>
                </w:p>
              </w:tc>
              <w:tc>
                <w:tcPr>
                  <w:tcW w:w="532" w:type="dxa"/>
                  <w:vMerge w:val="restart"/>
                  <w:vAlign w:val="center"/>
                </w:tcPr>
                <w:p w14:paraId="19C23FC6">
                  <w:pPr>
                    <w:pStyle w:val="68"/>
                    <w:jc w:val="center"/>
                    <w:rPr>
                      <w:color w:val="auto"/>
                      <w:spacing w:val="-5"/>
                      <w:lang w:val="zh-CN" w:eastAsia="zh-CN"/>
                    </w:rPr>
                  </w:pPr>
                  <w:r>
                    <w:rPr>
                      <w:color w:val="auto"/>
                      <w:spacing w:val="-5"/>
                    </w:rPr>
                    <w:t>清丰县</w:t>
                  </w:r>
                </w:p>
              </w:tc>
              <w:tc>
                <w:tcPr>
                  <w:tcW w:w="1091" w:type="dxa"/>
                  <w:vAlign w:val="center"/>
                </w:tcPr>
                <w:p w14:paraId="4FEBAF06">
                  <w:pPr>
                    <w:pStyle w:val="68"/>
                    <w:jc w:val="center"/>
                    <w:rPr>
                      <w:rFonts w:eastAsia="宋体"/>
                      <w:color w:val="auto"/>
                      <w:spacing w:val="-5"/>
                      <w:lang w:eastAsia="zh-CN"/>
                    </w:rPr>
                  </w:pPr>
                  <w:r>
                    <w:rPr>
                      <w:rFonts w:eastAsia="宋体"/>
                      <w:color w:val="auto"/>
                      <w:spacing w:val="-5"/>
                      <w:lang w:eastAsia="zh-CN"/>
                    </w:rPr>
                    <w:t>空间布局约束</w:t>
                  </w:r>
                </w:p>
              </w:tc>
              <w:tc>
                <w:tcPr>
                  <w:tcW w:w="5959" w:type="dxa"/>
                  <w:vAlign w:val="center"/>
                </w:tcPr>
                <w:p w14:paraId="5B782305">
                  <w:pPr>
                    <w:pStyle w:val="68"/>
                    <w:rPr>
                      <w:rFonts w:eastAsia="宋体"/>
                      <w:color w:val="auto"/>
                      <w:spacing w:val="-5"/>
                      <w:lang w:eastAsia="zh-CN"/>
                    </w:rPr>
                  </w:pPr>
                  <w:r>
                    <w:rPr>
                      <w:color w:val="auto"/>
                      <w:spacing w:val="-4"/>
                      <w:lang w:eastAsia="zh-CN"/>
                    </w:rPr>
                    <w:t>高污染燃</w:t>
                  </w:r>
                  <w:r>
                    <w:rPr>
                      <w:color w:val="auto"/>
                      <w:spacing w:val="-3"/>
                      <w:lang w:eastAsia="zh-CN"/>
                    </w:rPr>
                    <w:t>料禁燃区覆盖全市行政区域</w:t>
                  </w:r>
                </w:p>
              </w:tc>
              <w:tc>
                <w:tcPr>
                  <w:tcW w:w="2741" w:type="dxa"/>
                  <w:vAlign w:val="center"/>
                </w:tcPr>
                <w:p w14:paraId="1FDB9D28">
                  <w:pPr>
                    <w:pStyle w:val="68"/>
                    <w:jc w:val="center"/>
                    <w:rPr>
                      <w:rFonts w:eastAsia="宋体"/>
                      <w:color w:val="auto"/>
                      <w:spacing w:val="-5"/>
                      <w:lang w:eastAsia="zh-CN"/>
                    </w:rPr>
                  </w:pPr>
                  <w:r>
                    <w:rPr>
                      <w:rFonts w:hint="eastAsia" w:eastAsia="宋体"/>
                      <w:color w:val="auto"/>
                      <w:spacing w:val="-5"/>
                      <w:lang w:eastAsia="zh-CN"/>
                    </w:rPr>
                    <w:t>本项目不涉及</w:t>
                  </w:r>
                </w:p>
              </w:tc>
            </w:tr>
            <w:tr w14:paraId="02898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894" w:type="dxa"/>
                  <w:vMerge w:val="continue"/>
                  <w:vAlign w:val="center"/>
                </w:tcPr>
                <w:p w14:paraId="491F887F">
                  <w:pPr>
                    <w:pStyle w:val="68"/>
                    <w:jc w:val="center"/>
                    <w:rPr>
                      <w:rFonts w:eastAsia="宋体"/>
                      <w:color w:val="auto"/>
                      <w:spacing w:val="-5"/>
                      <w:lang w:val="zh-CN" w:eastAsia="zh-CN"/>
                    </w:rPr>
                  </w:pPr>
                </w:p>
              </w:tc>
              <w:tc>
                <w:tcPr>
                  <w:tcW w:w="913" w:type="dxa"/>
                  <w:vMerge w:val="continue"/>
                  <w:vAlign w:val="center"/>
                </w:tcPr>
                <w:p w14:paraId="31E3AE14">
                  <w:pPr>
                    <w:pStyle w:val="68"/>
                    <w:jc w:val="center"/>
                    <w:rPr>
                      <w:rFonts w:eastAsia="宋体"/>
                      <w:color w:val="auto"/>
                      <w:spacing w:val="-5"/>
                      <w:lang w:val="zh-CN" w:eastAsia="zh-CN"/>
                    </w:rPr>
                  </w:pPr>
                </w:p>
              </w:tc>
              <w:tc>
                <w:tcPr>
                  <w:tcW w:w="791" w:type="dxa"/>
                  <w:vMerge w:val="continue"/>
                  <w:vAlign w:val="center"/>
                </w:tcPr>
                <w:p w14:paraId="7F92FD41">
                  <w:pPr>
                    <w:pStyle w:val="68"/>
                    <w:jc w:val="center"/>
                    <w:rPr>
                      <w:rFonts w:eastAsia="宋体"/>
                      <w:color w:val="auto"/>
                      <w:spacing w:val="-5"/>
                      <w:lang w:val="zh-CN" w:eastAsia="zh-CN"/>
                    </w:rPr>
                  </w:pPr>
                </w:p>
              </w:tc>
              <w:tc>
                <w:tcPr>
                  <w:tcW w:w="532" w:type="dxa"/>
                  <w:vMerge w:val="continue"/>
                  <w:vAlign w:val="center"/>
                </w:tcPr>
                <w:p w14:paraId="3EF8357C">
                  <w:pPr>
                    <w:pStyle w:val="68"/>
                    <w:jc w:val="center"/>
                    <w:rPr>
                      <w:rFonts w:eastAsia="宋体"/>
                      <w:color w:val="auto"/>
                      <w:spacing w:val="-5"/>
                      <w:lang w:val="zh-CN" w:eastAsia="zh-CN"/>
                    </w:rPr>
                  </w:pPr>
                </w:p>
              </w:tc>
              <w:tc>
                <w:tcPr>
                  <w:tcW w:w="532" w:type="dxa"/>
                  <w:vMerge w:val="continue"/>
                  <w:vAlign w:val="center"/>
                </w:tcPr>
                <w:p w14:paraId="00D84EE2">
                  <w:pPr>
                    <w:pStyle w:val="68"/>
                    <w:jc w:val="center"/>
                    <w:rPr>
                      <w:rFonts w:eastAsia="宋体"/>
                      <w:color w:val="auto"/>
                      <w:spacing w:val="-5"/>
                      <w:lang w:val="zh-CN" w:eastAsia="zh-CN"/>
                    </w:rPr>
                  </w:pPr>
                </w:p>
              </w:tc>
              <w:tc>
                <w:tcPr>
                  <w:tcW w:w="1091" w:type="dxa"/>
                  <w:vAlign w:val="center"/>
                </w:tcPr>
                <w:p w14:paraId="7F8C2199">
                  <w:pPr>
                    <w:pStyle w:val="68"/>
                    <w:jc w:val="center"/>
                    <w:rPr>
                      <w:rFonts w:eastAsia="宋体"/>
                      <w:color w:val="auto"/>
                      <w:spacing w:val="-5"/>
                      <w:lang w:eastAsia="zh-CN"/>
                    </w:rPr>
                  </w:pPr>
                  <w:r>
                    <w:rPr>
                      <w:rFonts w:eastAsia="宋体"/>
                      <w:color w:val="auto"/>
                      <w:spacing w:val="-5"/>
                      <w:lang w:eastAsia="zh-CN"/>
                    </w:rPr>
                    <w:t>污染物排放管控</w:t>
                  </w:r>
                </w:p>
              </w:tc>
              <w:tc>
                <w:tcPr>
                  <w:tcW w:w="5959" w:type="dxa"/>
                  <w:vAlign w:val="center"/>
                </w:tcPr>
                <w:p w14:paraId="116AA7CC">
                  <w:pPr>
                    <w:pStyle w:val="68"/>
                    <w:jc w:val="center"/>
                    <w:rPr>
                      <w:rFonts w:eastAsia="宋体"/>
                      <w:color w:val="auto"/>
                      <w:spacing w:val="-5"/>
                      <w:lang w:eastAsia="zh-CN"/>
                    </w:rPr>
                  </w:pPr>
                  <w:r>
                    <w:rPr>
                      <w:rFonts w:hint="eastAsia" w:eastAsia="宋体"/>
                      <w:color w:val="auto"/>
                      <w:spacing w:val="-5"/>
                      <w:lang w:eastAsia="zh-CN"/>
                    </w:rPr>
                    <w:t>/</w:t>
                  </w:r>
                </w:p>
              </w:tc>
              <w:tc>
                <w:tcPr>
                  <w:tcW w:w="2741" w:type="dxa"/>
                  <w:vAlign w:val="center"/>
                </w:tcPr>
                <w:p w14:paraId="6F128C50">
                  <w:pPr>
                    <w:pStyle w:val="68"/>
                    <w:jc w:val="center"/>
                    <w:rPr>
                      <w:rFonts w:eastAsia="宋体"/>
                      <w:color w:val="auto"/>
                      <w:spacing w:val="-5"/>
                      <w:lang w:eastAsia="zh-CN"/>
                    </w:rPr>
                  </w:pPr>
                  <w:r>
                    <w:rPr>
                      <w:rFonts w:hint="eastAsia" w:eastAsia="宋体"/>
                      <w:color w:val="auto"/>
                      <w:spacing w:val="-5"/>
                      <w:lang w:eastAsia="zh-CN"/>
                    </w:rPr>
                    <w:t>/</w:t>
                  </w:r>
                </w:p>
              </w:tc>
            </w:tr>
            <w:tr w14:paraId="30288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894" w:type="dxa"/>
                  <w:vMerge w:val="continue"/>
                  <w:vAlign w:val="center"/>
                </w:tcPr>
                <w:p w14:paraId="1A1D170D">
                  <w:pPr>
                    <w:pStyle w:val="68"/>
                    <w:jc w:val="center"/>
                    <w:rPr>
                      <w:rFonts w:eastAsia="宋体"/>
                      <w:color w:val="auto"/>
                      <w:spacing w:val="-5"/>
                      <w:lang w:val="zh-CN" w:eastAsia="zh-CN"/>
                    </w:rPr>
                  </w:pPr>
                </w:p>
              </w:tc>
              <w:tc>
                <w:tcPr>
                  <w:tcW w:w="913" w:type="dxa"/>
                  <w:vMerge w:val="continue"/>
                  <w:vAlign w:val="center"/>
                </w:tcPr>
                <w:p w14:paraId="505DABB2">
                  <w:pPr>
                    <w:pStyle w:val="68"/>
                    <w:jc w:val="center"/>
                    <w:rPr>
                      <w:rFonts w:eastAsia="宋体"/>
                      <w:color w:val="auto"/>
                      <w:spacing w:val="-5"/>
                      <w:lang w:val="zh-CN" w:eastAsia="zh-CN"/>
                    </w:rPr>
                  </w:pPr>
                </w:p>
              </w:tc>
              <w:tc>
                <w:tcPr>
                  <w:tcW w:w="791" w:type="dxa"/>
                  <w:vMerge w:val="continue"/>
                  <w:vAlign w:val="center"/>
                </w:tcPr>
                <w:p w14:paraId="4505AD54">
                  <w:pPr>
                    <w:pStyle w:val="68"/>
                    <w:jc w:val="center"/>
                    <w:rPr>
                      <w:rFonts w:eastAsia="宋体"/>
                      <w:color w:val="auto"/>
                      <w:spacing w:val="-5"/>
                      <w:lang w:val="zh-CN" w:eastAsia="zh-CN"/>
                    </w:rPr>
                  </w:pPr>
                </w:p>
              </w:tc>
              <w:tc>
                <w:tcPr>
                  <w:tcW w:w="532" w:type="dxa"/>
                  <w:vMerge w:val="continue"/>
                  <w:vAlign w:val="center"/>
                </w:tcPr>
                <w:p w14:paraId="278BB808">
                  <w:pPr>
                    <w:pStyle w:val="68"/>
                    <w:jc w:val="center"/>
                    <w:rPr>
                      <w:rFonts w:eastAsia="宋体"/>
                      <w:color w:val="auto"/>
                      <w:spacing w:val="-5"/>
                      <w:lang w:val="zh-CN" w:eastAsia="zh-CN"/>
                    </w:rPr>
                  </w:pPr>
                </w:p>
              </w:tc>
              <w:tc>
                <w:tcPr>
                  <w:tcW w:w="532" w:type="dxa"/>
                  <w:vMerge w:val="continue"/>
                  <w:vAlign w:val="center"/>
                </w:tcPr>
                <w:p w14:paraId="58ADC8A7">
                  <w:pPr>
                    <w:pStyle w:val="68"/>
                    <w:jc w:val="center"/>
                    <w:rPr>
                      <w:rFonts w:eastAsia="宋体"/>
                      <w:color w:val="auto"/>
                      <w:spacing w:val="-5"/>
                      <w:lang w:val="zh-CN" w:eastAsia="zh-CN"/>
                    </w:rPr>
                  </w:pPr>
                </w:p>
              </w:tc>
              <w:tc>
                <w:tcPr>
                  <w:tcW w:w="1091" w:type="dxa"/>
                  <w:vAlign w:val="center"/>
                </w:tcPr>
                <w:p w14:paraId="7707C117">
                  <w:pPr>
                    <w:pStyle w:val="68"/>
                    <w:jc w:val="center"/>
                    <w:rPr>
                      <w:rFonts w:eastAsia="宋体"/>
                      <w:color w:val="auto"/>
                      <w:spacing w:val="-5"/>
                      <w:lang w:eastAsia="zh-CN"/>
                    </w:rPr>
                  </w:pPr>
                  <w:r>
                    <w:rPr>
                      <w:rFonts w:eastAsia="宋体"/>
                      <w:color w:val="auto"/>
                      <w:spacing w:val="-5"/>
                      <w:lang w:eastAsia="zh-CN"/>
                    </w:rPr>
                    <w:t>环境风险防控</w:t>
                  </w:r>
                </w:p>
              </w:tc>
              <w:tc>
                <w:tcPr>
                  <w:tcW w:w="5959" w:type="dxa"/>
                  <w:vAlign w:val="center"/>
                </w:tcPr>
                <w:p w14:paraId="4E53CC01">
                  <w:pPr>
                    <w:pStyle w:val="68"/>
                    <w:jc w:val="center"/>
                    <w:rPr>
                      <w:rFonts w:eastAsia="宋体"/>
                      <w:color w:val="auto"/>
                      <w:spacing w:val="-5"/>
                      <w:lang w:eastAsia="zh-CN"/>
                    </w:rPr>
                  </w:pPr>
                  <w:r>
                    <w:rPr>
                      <w:rFonts w:hint="eastAsia" w:eastAsia="宋体"/>
                      <w:color w:val="auto"/>
                      <w:spacing w:val="-5"/>
                      <w:lang w:eastAsia="zh-CN"/>
                    </w:rPr>
                    <w:t>/</w:t>
                  </w:r>
                </w:p>
              </w:tc>
              <w:tc>
                <w:tcPr>
                  <w:tcW w:w="2741" w:type="dxa"/>
                  <w:vAlign w:val="center"/>
                </w:tcPr>
                <w:p w14:paraId="6C0719F5">
                  <w:pPr>
                    <w:pStyle w:val="68"/>
                    <w:jc w:val="center"/>
                    <w:rPr>
                      <w:rFonts w:eastAsia="宋体"/>
                      <w:color w:val="auto"/>
                      <w:spacing w:val="-5"/>
                      <w:lang w:eastAsia="zh-CN"/>
                    </w:rPr>
                  </w:pPr>
                  <w:r>
                    <w:rPr>
                      <w:rFonts w:hint="eastAsia" w:eastAsia="宋体"/>
                      <w:color w:val="auto"/>
                      <w:spacing w:val="-5"/>
                      <w:lang w:eastAsia="zh-CN"/>
                    </w:rPr>
                    <w:t>/</w:t>
                  </w:r>
                </w:p>
              </w:tc>
            </w:tr>
            <w:tr w14:paraId="74356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894" w:type="dxa"/>
                  <w:vMerge w:val="continue"/>
                  <w:vAlign w:val="center"/>
                </w:tcPr>
                <w:p w14:paraId="5589299D">
                  <w:pPr>
                    <w:pStyle w:val="68"/>
                    <w:jc w:val="center"/>
                    <w:rPr>
                      <w:rFonts w:eastAsia="宋体"/>
                      <w:color w:val="auto"/>
                      <w:spacing w:val="-5"/>
                      <w:lang w:val="zh-CN" w:eastAsia="zh-CN"/>
                    </w:rPr>
                  </w:pPr>
                </w:p>
              </w:tc>
              <w:tc>
                <w:tcPr>
                  <w:tcW w:w="913" w:type="dxa"/>
                  <w:vMerge w:val="continue"/>
                  <w:vAlign w:val="center"/>
                </w:tcPr>
                <w:p w14:paraId="20C0D7D8">
                  <w:pPr>
                    <w:pStyle w:val="68"/>
                    <w:jc w:val="center"/>
                    <w:rPr>
                      <w:rFonts w:eastAsia="宋体"/>
                      <w:color w:val="auto"/>
                      <w:spacing w:val="-5"/>
                      <w:lang w:val="zh-CN" w:eastAsia="zh-CN"/>
                    </w:rPr>
                  </w:pPr>
                </w:p>
              </w:tc>
              <w:tc>
                <w:tcPr>
                  <w:tcW w:w="791" w:type="dxa"/>
                  <w:vMerge w:val="continue"/>
                  <w:vAlign w:val="center"/>
                </w:tcPr>
                <w:p w14:paraId="1CC6C700">
                  <w:pPr>
                    <w:pStyle w:val="68"/>
                    <w:jc w:val="center"/>
                    <w:rPr>
                      <w:rFonts w:eastAsia="宋体"/>
                      <w:color w:val="auto"/>
                      <w:spacing w:val="-5"/>
                      <w:lang w:val="zh-CN" w:eastAsia="zh-CN"/>
                    </w:rPr>
                  </w:pPr>
                </w:p>
              </w:tc>
              <w:tc>
                <w:tcPr>
                  <w:tcW w:w="532" w:type="dxa"/>
                  <w:vMerge w:val="continue"/>
                  <w:vAlign w:val="center"/>
                </w:tcPr>
                <w:p w14:paraId="0B2D48AF">
                  <w:pPr>
                    <w:pStyle w:val="68"/>
                    <w:jc w:val="center"/>
                    <w:rPr>
                      <w:rFonts w:eastAsia="宋体"/>
                      <w:color w:val="auto"/>
                      <w:spacing w:val="-5"/>
                      <w:lang w:val="zh-CN" w:eastAsia="zh-CN"/>
                    </w:rPr>
                  </w:pPr>
                </w:p>
              </w:tc>
              <w:tc>
                <w:tcPr>
                  <w:tcW w:w="532" w:type="dxa"/>
                  <w:vMerge w:val="continue"/>
                  <w:vAlign w:val="center"/>
                </w:tcPr>
                <w:p w14:paraId="52EFE904">
                  <w:pPr>
                    <w:pStyle w:val="68"/>
                    <w:jc w:val="center"/>
                    <w:rPr>
                      <w:rFonts w:eastAsia="宋体"/>
                      <w:color w:val="auto"/>
                      <w:spacing w:val="-5"/>
                      <w:lang w:val="zh-CN" w:eastAsia="zh-CN"/>
                    </w:rPr>
                  </w:pPr>
                </w:p>
              </w:tc>
              <w:tc>
                <w:tcPr>
                  <w:tcW w:w="1091" w:type="dxa"/>
                  <w:vAlign w:val="center"/>
                </w:tcPr>
                <w:p w14:paraId="6C7ECCBA">
                  <w:pPr>
                    <w:pStyle w:val="68"/>
                    <w:jc w:val="center"/>
                    <w:rPr>
                      <w:rFonts w:eastAsia="宋体"/>
                      <w:color w:val="auto"/>
                      <w:spacing w:val="-5"/>
                      <w:lang w:eastAsia="zh-CN"/>
                    </w:rPr>
                  </w:pPr>
                  <w:r>
                    <w:rPr>
                      <w:rFonts w:eastAsia="宋体"/>
                      <w:color w:val="auto"/>
                      <w:spacing w:val="-5"/>
                      <w:lang w:eastAsia="zh-CN"/>
                    </w:rPr>
                    <w:t>资源开发效率要求</w:t>
                  </w:r>
                </w:p>
              </w:tc>
              <w:tc>
                <w:tcPr>
                  <w:tcW w:w="5959" w:type="dxa"/>
                  <w:vAlign w:val="center"/>
                </w:tcPr>
                <w:p w14:paraId="4DFEC937">
                  <w:pPr>
                    <w:pStyle w:val="68"/>
                    <w:spacing w:before="34" w:line="236" w:lineRule="auto"/>
                    <w:ind w:right="91"/>
                    <w:rPr>
                      <w:rFonts w:eastAsia="宋体"/>
                      <w:color w:val="auto"/>
                      <w:spacing w:val="-5"/>
                      <w:lang w:eastAsia="zh-CN"/>
                    </w:rPr>
                  </w:pPr>
                  <w:r>
                    <w:rPr>
                      <w:color w:val="auto"/>
                      <w:spacing w:val="-3"/>
                      <w:lang w:eastAsia="zh-CN"/>
                    </w:rPr>
                    <w:t>全市行政区域内禁止销售、燃用高污染燃料，</w:t>
                  </w:r>
                  <w:r>
                    <w:rPr>
                      <w:color w:val="auto"/>
                      <w:spacing w:val="-4"/>
                      <w:lang w:eastAsia="zh-CN"/>
                    </w:rPr>
                    <w:t>禁止新</w:t>
                  </w:r>
                  <w:r>
                    <w:rPr>
                      <w:color w:val="auto"/>
                      <w:spacing w:val="-3"/>
                      <w:lang w:eastAsia="zh-CN"/>
                    </w:rPr>
                    <w:t>建、扩建燃用高污染燃料的设施（不含集中供热、电厂锅炉燃煤以及工业</w:t>
                  </w:r>
                  <w:r>
                    <w:rPr>
                      <w:color w:val="auto"/>
                      <w:spacing w:val="-4"/>
                      <w:lang w:eastAsia="zh-CN"/>
                    </w:rPr>
                    <w:t>企业原料</w:t>
                  </w:r>
                  <w:r>
                    <w:rPr>
                      <w:color w:val="auto"/>
                      <w:spacing w:val="-6"/>
                      <w:lang w:eastAsia="zh-CN"/>
                    </w:rPr>
                    <w:t>煤）</w:t>
                  </w:r>
                </w:p>
              </w:tc>
              <w:tc>
                <w:tcPr>
                  <w:tcW w:w="2741" w:type="dxa"/>
                  <w:vAlign w:val="center"/>
                </w:tcPr>
                <w:p w14:paraId="779E8E5D">
                  <w:pPr>
                    <w:pStyle w:val="68"/>
                    <w:jc w:val="center"/>
                    <w:rPr>
                      <w:rFonts w:eastAsia="宋体"/>
                      <w:color w:val="auto"/>
                      <w:spacing w:val="-5"/>
                      <w:lang w:eastAsia="zh-CN"/>
                    </w:rPr>
                  </w:pPr>
                  <w:r>
                    <w:rPr>
                      <w:rFonts w:hint="eastAsia" w:eastAsia="宋体"/>
                      <w:color w:val="auto"/>
                      <w:spacing w:val="-5"/>
                      <w:lang w:eastAsia="zh-CN"/>
                    </w:rPr>
                    <w:t>本项目不涉及</w:t>
                  </w:r>
                </w:p>
              </w:tc>
            </w:tr>
          </w:tbl>
          <w:p w14:paraId="3B25EF27">
            <w:pPr>
              <w:spacing w:line="360" w:lineRule="auto"/>
              <w:ind w:firstLine="480" w:firstLineChars="200"/>
              <w:rPr>
                <w:rFonts w:hint="eastAsia"/>
                <w:color w:val="auto"/>
                <w:sz w:val="24"/>
              </w:rPr>
            </w:pPr>
            <w:r>
              <w:rPr>
                <w:rFonts w:hint="eastAsia"/>
                <w:color w:val="auto"/>
                <w:sz w:val="24"/>
              </w:rPr>
              <w:t>综上可知</w:t>
            </w:r>
            <w:r>
              <w:rPr>
                <w:color w:val="auto"/>
                <w:sz w:val="24"/>
              </w:rPr>
              <w:t>，本项目的建设符合</w:t>
            </w:r>
            <w:r>
              <w:rPr>
                <w:rFonts w:hint="eastAsia"/>
                <w:color w:val="auto"/>
                <w:sz w:val="24"/>
              </w:rPr>
              <w:t>濮阳市清丰县</w:t>
            </w:r>
            <w:r>
              <w:rPr>
                <w:color w:val="auto"/>
                <w:sz w:val="24"/>
              </w:rPr>
              <w:t>“三线一单”生态环境分区管控的意见的要求。</w:t>
            </w:r>
          </w:p>
          <w:p w14:paraId="05C996A7">
            <w:pPr>
              <w:spacing w:line="360" w:lineRule="auto"/>
              <w:rPr>
                <w:color w:val="auto"/>
                <w:kern w:val="0"/>
                <w:szCs w:val="21"/>
              </w:rPr>
            </w:pPr>
          </w:p>
          <w:p w14:paraId="22BD7732">
            <w:pPr>
              <w:pStyle w:val="7"/>
              <w:rPr>
                <w:color w:val="auto"/>
                <w:kern w:val="0"/>
                <w:szCs w:val="21"/>
              </w:rPr>
            </w:pPr>
          </w:p>
          <w:p w14:paraId="47302124">
            <w:pPr>
              <w:rPr>
                <w:color w:val="auto"/>
                <w:kern w:val="0"/>
                <w:szCs w:val="21"/>
              </w:rPr>
            </w:pPr>
          </w:p>
          <w:p w14:paraId="62BF83D2">
            <w:pPr>
              <w:pStyle w:val="7"/>
              <w:rPr>
                <w:color w:val="auto"/>
                <w:kern w:val="0"/>
                <w:szCs w:val="21"/>
              </w:rPr>
            </w:pPr>
          </w:p>
          <w:p w14:paraId="349506A3">
            <w:pPr>
              <w:rPr>
                <w:color w:val="auto"/>
                <w:kern w:val="0"/>
                <w:szCs w:val="21"/>
              </w:rPr>
            </w:pPr>
          </w:p>
          <w:p w14:paraId="6CFBCF1A">
            <w:pPr>
              <w:pStyle w:val="7"/>
              <w:rPr>
                <w:color w:val="auto"/>
                <w:kern w:val="0"/>
                <w:szCs w:val="21"/>
              </w:rPr>
            </w:pPr>
          </w:p>
          <w:p w14:paraId="757BF27A">
            <w:pPr>
              <w:rPr>
                <w:color w:val="auto"/>
                <w:kern w:val="0"/>
                <w:szCs w:val="21"/>
              </w:rPr>
            </w:pPr>
          </w:p>
          <w:p w14:paraId="7373622E">
            <w:pPr>
              <w:pStyle w:val="7"/>
              <w:rPr>
                <w:color w:val="auto"/>
                <w:kern w:val="0"/>
                <w:szCs w:val="21"/>
              </w:rPr>
            </w:pPr>
          </w:p>
          <w:p w14:paraId="0207D333">
            <w:pPr>
              <w:rPr>
                <w:color w:val="auto"/>
                <w:kern w:val="0"/>
                <w:szCs w:val="21"/>
              </w:rPr>
            </w:pPr>
          </w:p>
          <w:p w14:paraId="084FD960">
            <w:pPr>
              <w:pStyle w:val="7"/>
              <w:rPr>
                <w:color w:val="auto"/>
                <w:kern w:val="0"/>
                <w:szCs w:val="21"/>
              </w:rPr>
            </w:pPr>
          </w:p>
          <w:p w14:paraId="263B793C">
            <w:pPr>
              <w:rPr>
                <w:color w:val="auto"/>
                <w:kern w:val="0"/>
                <w:szCs w:val="21"/>
              </w:rPr>
            </w:pPr>
          </w:p>
          <w:p w14:paraId="2A0289DC">
            <w:pPr>
              <w:pStyle w:val="7"/>
              <w:rPr>
                <w:color w:val="auto"/>
                <w:kern w:val="0"/>
                <w:szCs w:val="21"/>
              </w:rPr>
            </w:pPr>
          </w:p>
          <w:p w14:paraId="17B1CA68">
            <w:pPr>
              <w:rPr>
                <w:color w:val="auto"/>
                <w:kern w:val="0"/>
                <w:szCs w:val="21"/>
              </w:rPr>
            </w:pPr>
          </w:p>
          <w:p w14:paraId="2E3DB28A">
            <w:pPr>
              <w:rPr>
                <w:color w:val="auto"/>
              </w:rPr>
            </w:pPr>
          </w:p>
        </w:tc>
      </w:tr>
    </w:tbl>
    <w:p w14:paraId="7E512277">
      <w:pPr>
        <w:pStyle w:val="7"/>
        <w:rPr>
          <w:color w:val="auto"/>
        </w:rPr>
        <w:sectPr>
          <w:pgSz w:w="16838" w:h="11905" w:orient="landscape"/>
          <w:pgMar w:top="1417" w:right="1417" w:bottom="1417" w:left="1417" w:header="851" w:footer="1077" w:gutter="0"/>
          <w:pgNumType w:fmt="decimal"/>
          <w:cols w:space="720" w:num="1"/>
          <w:docGrid w:linePitch="312" w:charSpace="0"/>
        </w:sectPr>
      </w:pPr>
    </w:p>
    <w:tbl>
      <w:tblPr>
        <w:tblStyle w:val="25"/>
        <w:tblW w:w="92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40"/>
        <w:gridCol w:w="8941"/>
      </w:tblGrid>
      <w:tr w14:paraId="090EAB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jc w:val="center"/>
        </w:trPr>
        <w:tc>
          <w:tcPr>
            <w:tcW w:w="340" w:type="dxa"/>
            <w:vAlign w:val="center"/>
          </w:tcPr>
          <w:p w14:paraId="6C1B56CA">
            <w:pPr>
              <w:rPr>
                <w:color w:val="auto"/>
              </w:rPr>
            </w:pPr>
          </w:p>
        </w:tc>
        <w:tc>
          <w:tcPr>
            <w:tcW w:w="8941" w:type="dxa"/>
            <w:vAlign w:val="center"/>
          </w:tcPr>
          <w:p w14:paraId="070FFE2C">
            <w:pPr>
              <w:snapToGrid w:val="0"/>
              <w:spacing w:line="360" w:lineRule="auto"/>
              <w:ind w:firstLine="482" w:firstLineChars="200"/>
              <w:rPr>
                <w:b/>
                <w:bCs/>
                <w:color w:val="auto"/>
                <w:sz w:val="24"/>
              </w:rPr>
            </w:pPr>
            <w:r>
              <w:rPr>
                <w:b/>
                <w:bCs/>
                <w:color w:val="auto"/>
                <w:sz w:val="24"/>
              </w:rPr>
              <w:t>4、与《重污染天气重点行业应急减排措施制定技术指南（2020年修订版）》相符性分析</w:t>
            </w:r>
          </w:p>
          <w:p w14:paraId="0D122010">
            <w:pPr>
              <w:spacing w:line="360" w:lineRule="auto"/>
              <w:ind w:firstLine="480" w:firstLineChars="200"/>
              <w:rPr>
                <w:rFonts w:hint="eastAsia"/>
                <w:color w:val="auto"/>
                <w:sz w:val="24"/>
              </w:rPr>
            </w:pPr>
            <w:r>
              <w:rPr>
                <w:rFonts w:hint="eastAsia"/>
                <w:color w:val="auto"/>
                <w:sz w:val="24"/>
              </w:rPr>
              <w:t>对照《关于印发《重污染天气重点行业应急减排措施制定技术指南（2020年修订版）》（环办大气函〔2020〕340号），本项目属于“三十六、家具制造”行业，行业绩效分级A级指标对照见下表。</w:t>
            </w:r>
          </w:p>
          <w:p w14:paraId="3362F181">
            <w:pPr>
              <w:pStyle w:val="46"/>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eastAsia" w:ascii="Times New Roman" w:hAnsi="Arial Unicode MS" w:eastAsia="宋体" w:cs="Times New Roman"/>
                <w:b/>
                <w:color w:val="auto"/>
                <w:kern w:val="2"/>
                <w:sz w:val="24"/>
                <w:szCs w:val="24"/>
                <w:lang w:val="en-US" w:eastAsia="zh-CN" w:bidi="ar-SA"/>
              </w:rPr>
            </w:pPr>
            <w:r>
              <w:rPr>
                <w:rFonts w:hint="eastAsia" w:ascii="Times New Roman" w:hAnsi="Arial Unicode MS" w:eastAsia="宋体" w:cs="Times New Roman"/>
                <w:b/>
                <w:color w:val="auto"/>
                <w:kern w:val="2"/>
                <w:sz w:val="24"/>
                <w:szCs w:val="24"/>
                <w:lang w:val="en-US" w:eastAsia="zh-CN" w:bidi="ar-SA"/>
              </w:rPr>
              <w:t>本项目与家具制造行业绩效分级A级企业指标相符性分析一览表</w:t>
            </w:r>
          </w:p>
          <w:tbl>
            <w:tblPr>
              <w:tblStyle w:val="25"/>
              <w:tblW w:w="87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4920"/>
              <w:gridCol w:w="2400"/>
              <w:gridCol w:w="720"/>
            </w:tblGrid>
            <w:tr w14:paraId="21AFA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672" w:type="dxa"/>
                  <w:vAlign w:val="center"/>
                </w:tcPr>
                <w:p w14:paraId="57636149">
                  <w:pPr>
                    <w:jc w:val="center"/>
                    <w:rPr>
                      <w:b/>
                      <w:bCs/>
                      <w:color w:val="auto"/>
                      <w:szCs w:val="21"/>
                    </w:rPr>
                  </w:pPr>
                  <w:r>
                    <w:rPr>
                      <w:rFonts w:hint="eastAsia"/>
                      <w:b/>
                      <w:bCs/>
                      <w:color w:val="auto"/>
                      <w:szCs w:val="21"/>
                    </w:rPr>
                    <w:t>差异化指标</w:t>
                  </w:r>
                </w:p>
              </w:tc>
              <w:tc>
                <w:tcPr>
                  <w:tcW w:w="4920" w:type="dxa"/>
                  <w:vAlign w:val="center"/>
                </w:tcPr>
                <w:p w14:paraId="5CE62D39">
                  <w:pPr>
                    <w:jc w:val="center"/>
                    <w:rPr>
                      <w:b/>
                      <w:bCs/>
                      <w:color w:val="auto"/>
                      <w:szCs w:val="21"/>
                    </w:rPr>
                  </w:pPr>
                  <w:r>
                    <w:rPr>
                      <w:rFonts w:hint="eastAsia"/>
                      <w:b/>
                      <w:bCs/>
                      <w:color w:val="auto"/>
                    </w:rPr>
                    <w:t>A级企业</w:t>
                  </w:r>
                </w:p>
              </w:tc>
              <w:tc>
                <w:tcPr>
                  <w:tcW w:w="2400" w:type="dxa"/>
                  <w:vAlign w:val="center"/>
                </w:tcPr>
                <w:p w14:paraId="3FAB9ADC">
                  <w:pPr>
                    <w:jc w:val="center"/>
                    <w:rPr>
                      <w:b/>
                      <w:bCs/>
                      <w:color w:val="auto"/>
                      <w:szCs w:val="21"/>
                    </w:rPr>
                  </w:pPr>
                  <w:r>
                    <w:rPr>
                      <w:rFonts w:hint="eastAsia"/>
                      <w:b/>
                      <w:bCs/>
                      <w:color w:val="auto"/>
                      <w:szCs w:val="21"/>
                    </w:rPr>
                    <w:t>本项目情况</w:t>
                  </w:r>
                </w:p>
              </w:tc>
              <w:tc>
                <w:tcPr>
                  <w:tcW w:w="720" w:type="dxa"/>
                  <w:vAlign w:val="center"/>
                </w:tcPr>
                <w:p w14:paraId="5BC70454">
                  <w:pPr>
                    <w:jc w:val="center"/>
                    <w:rPr>
                      <w:b/>
                      <w:bCs/>
                      <w:color w:val="auto"/>
                      <w:szCs w:val="21"/>
                    </w:rPr>
                  </w:pPr>
                  <w:r>
                    <w:rPr>
                      <w:rFonts w:hint="eastAsia"/>
                      <w:b/>
                      <w:bCs/>
                      <w:color w:val="auto"/>
                      <w:szCs w:val="21"/>
                    </w:rPr>
                    <w:t>相符性</w:t>
                  </w:r>
                </w:p>
              </w:tc>
            </w:tr>
            <w:tr w14:paraId="52108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9" w:hRule="atLeast"/>
              </w:trPr>
              <w:tc>
                <w:tcPr>
                  <w:tcW w:w="672" w:type="dxa"/>
                  <w:vAlign w:val="center"/>
                </w:tcPr>
                <w:p w14:paraId="04DCD234">
                  <w:pPr>
                    <w:jc w:val="center"/>
                    <w:rPr>
                      <w:rFonts w:hint="eastAsia"/>
                      <w:color w:val="auto"/>
                      <w:szCs w:val="21"/>
                    </w:rPr>
                  </w:pPr>
                  <w:r>
                    <w:rPr>
                      <w:rFonts w:hint="eastAsia"/>
                      <w:color w:val="auto"/>
                      <w:szCs w:val="21"/>
                    </w:rPr>
                    <w:t>原辅</w:t>
                  </w:r>
                </w:p>
                <w:p w14:paraId="6C13365D">
                  <w:pPr>
                    <w:jc w:val="center"/>
                    <w:rPr>
                      <w:color w:val="auto"/>
                      <w:szCs w:val="21"/>
                    </w:rPr>
                  </w:pPr>
                  <w:r>
                    <w:rPr>
                      <w:rFonts w:hint="eastAsia"/>
                      <w:color w:val="auto"/>
                      <w:szCs w:val="21"/>
                    </w:rPr>
                    <w:t>材料</w:t>
                  </w:r>
                </w:p>
              </w:tc>
              <w:tc>
                <w:tcPr>
                  <w:tcW w:w="4920" w:type="dxa"/>
                  <w:vAlign w:val="center"/>
                </w:tcPr>
                <w:p w14:paraId="0460E434">
                  <w:pPr>
                    <w:snapToGrid w:val="0"/>
                    <w:rPr>
                      <w:color w:val="auto"/>
                      <w:szCs w:val="21"/>
                    </w:rPr>
                  </w:pPr>
                  <w:r>
                    <w:rPr>
                      <w:rFonts w:hint="eastAsia"/>
                      <w:color w:val="auto"/>
                      <w:szCs w:val="21"/>
                    </w:rPr>
                    <w:t>使用的水性涂料（含水性UV、腻子）满足《木器涂料中有害物质限量》（GB18581-2020）要求；使用的无溶剂UV涂料、溶剂型涂料满足《低挥发性有机化合物含量涂料产品技术要求》（GB/T38597-2020）要求；使用的水性和本体胶粘剂满足《胶粘剂挥发性有机化合物限量》（33372-2020）要求：使用的清洗剂满足《清洗剂挥发性有机化合物含量限值》（GB38508-2020）要求。</w:t>
                  </w:r>
                </w:p>
              </w:tc>
              <w:tc>
                <w:tcPr>
                  <w:tcW w:w="2400" w:type="dxa"/>
                  <w:vAlign w:val="center"/>
                </w:tcPr>
                <w:p w14:paraId="4BCAF627">
                  <w:pPr>
                    <w:jc w:val="center"/>
                    <w:rPr>
                      <w:color w:val="auto"/>
                      <w:szCs w:val="21"/>
                    </w:rPr>
                  </w:pPr>
                  <w:r>
                    <w:rPr>
                      <w:rFonts w:hint="eastAsia"/>
                      <w:color w:val="auto"/>
                      <w:szCs w:val="21"/>
                    </w:rPr>
                    <w:t>本项目涉及喷漆涂料，水性油漆占溶剂型油漆的50%以上，所使用的胶粘剂为封边胶、溶剂型涂料，满足《低挥发性有机化合物含量涂料产品技术要求》（GB/T38597-2020）要求，本项目所使用溶剂型漆料属于低挥发性有机化合物含量涂料</w:t>
                  </w:r>
                  <w:r>
                    <w:rPr>
                      <w:rFonts w:hint="eastAsia"/>
                      <w:color w:val="auto"/>
                      <w:szCs w:val="21"/>
                      <w:highlight w:val="none"/>
                    </w:rPr>
                    <w:t>（详见表</w:t>
                  </w:r>
                  <w:r>
                    <w:rPr>
                      <w:rFonts w:hint="eastAsia"/>
                      <w:color w:val="auto"/>
                      <w:szCs w:val="21"/>
                      <w:highlight w:val="none"/>
                      <w:lang w:val="en-US" w:eastAsia="zh-CN"/>
                    </w:rPr>
                    <w:t>17</w:t>
                  </w:r>
                  <w:r>
                    <w:rPr>
                      <w:rFonts w:hint="eastAsia"/>
                      <w:color w:val="auto"/>
                      <w:szCs w:val="21"/>
                      <w:highlight w:val="none"/>
                    </w:rPr>
                    <w:t xml:space="preserve"> 漆料信息）</w:t>
                  </w:r>
                  <w:r>
                    <w:rPr>
                      <w:rFonts w:hint="eastAsia"/>
                      <w:color w:val="auto"/>
                      <w:szCs w:val="21"/>
                    </w:rPr>
                    <w:t>。</w:t>
                  </w:r>
                </w:p>
              </w:tc>
              <w:tc>
                <w:tcPr>
                  <w:tcW w:w="720" w:type="dxa"/>
                  <w:vAlign w:val="center"/>
                </w:tcPr>
                <w:p w14:paraId="31D4BB4C">
                  <w:pPr>
                    <w:jc w:val="center"/>
                    <w:rPr>
                      <w:color w:val="auto"/>
                      <w:szCs w:val="21"/>
                    </w:rPr>
                  </w:pPr>
                  <w:r>
                    <w:rPr>
                      <w:rFonts w:hint="eastAsia"/>
                      <w:color w:val="auto"/>
                      <w:szCs w:val="21"/>
                    </w:rPr>
                    <w:t>相符</w:t>
                  </w:r>
                </w:p>
              </w:tc>
            </w:tr>
            <w:tr w14:paraId="6A225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672" w:type="dxa"/>
                  <w:vAlign w:val="center"/>
                </w:tcPr>
                <w:p w14:paraId="5CE72CA3">
                  <w:pPr>
                    <w:jc w:val="center"/>
                    <w:rPr>
                      <w:rFonts w:hint="eastAsia"/>
                      <w:color w:val="auto"/>
                      <w:szCs w:val="21"/>
                    </w:rPr>
                  </w:pPr>
                  <w:r>
                    <w:rPr>
                      <w:rFonts w:hint="eastAsia"/>
                      <w:color w:val="auto"/>
                      <w:szCs w:val="21"/>
                    </w:rPr>
                    <w:t>生产</w:t>
                  </w:r>
                </w:p>
                <w:p w14:paraId="40D60208">
                  <w:pPr>
                    <w:jc w:val="center"/>
                    <w:rPr>
                      <w:color w:val="auto"/>
                      <w:szCs w:val="21"/>
                    </w:rPr>
                  </w:pPr>
                  <w:r>
                    <w:rPr>
                      <w:rFonts w:hint="eastAsia"/>
                      <w:color w:val="auto"/>
                      <w:szCs w:val="21"/>
                    </w:rPr>
                    <w:t>工艺</w:t>
                  </w:r>
                </w:p>
              </w:tc>
              <w:tc>
                <w:tcPr>
                  <w:tcW w:w="4920" w:type="dxa"/>
                  <w:vAlign w:val="center"/>
                </w:tcPr>
                <w:p w14:paraId="22CFA703">
                  <w:pPr>
                    <w:jc w:val="center"/>
                    <w:rPr>
                      <w:color w:val="auto"/>
                      <w:szCs w:val="21"/>
                    </w:rPr>
                  </w:pPr>
                  <w:r>
                    <w:rPr>
                      <w:rFonts w:hint="eastAsia"/>
                      <w:color w:val="auto"/>
                      <w:szCs w:val="21"/>
                    </w:rPr>
                    <w:t>80%以上的产品使用高效涂装设备，包括往复式喷涂箱、辊涂、淋涂、机械手、经典喷涂等技术</w:t>
                  </w:r>
                </w:p>
              </w:tc>
              <w:tc>
                <w:tcPr>
                  <w:tcW w:w="2400" w:type="dxa"/>
                  <w:vAlign w:val="center"/>
                </w:tcPr>
                <w:p w14:paraId="74DE1FED">
                  <w:pPr>
                    <w:jc w:val="center"/>
                    <w:rPr>
                      <w:color w:val="auto"/>
                      <w:szCs w:val="21"/>
                    </w:rPr>
                  </w:pPr>
                  <w:r>
                    <w:rPr>
                      <w:rFonts w:hint="eastAsia"/>
                      <w:color w:val="auto"/>
                      <w:szCs w:val="21"/>
                    </w:rPr>
                    <w:t>本项目采用辊涂和经典喷涂工艺。</w:t>
                  </w:r>
                </w:p>
              </w:tc>
              <w:tc>
                <w:tcPr>
                  <w:tcW w:w="720" w:type="dxa"/>
                  <w:vAlign w:val="center"/>
                </w:tcPr>
                <w:p w14:paraId="54560B3A">
                  <w:pPr>
                    <w:jc w:val="center"/>
                    <w:rPr>
                      <w:color w:val="auto"/>
                      <w:szCs w:val="21"/>
                    </w:rPr>
                  </w:pPr>
                  <w:r>
                    <w:rPr>
                      <w:rFonts w:hint="eastAsia"/>
                      <w:color w:val="auto"/>
                      <w:szCs w:val="21"/>
                    </w:rPr>
                    <w:t>相符</w:t>
                  </w:r>
                </w:p>
              </w:tc>
            </w:tr>
            <w:tr w14:paraId="220A3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2" w:hRule="atLeast"/>
              </w:trPr>
              <w:tc>
                <w:tcPr>
                  <w:tcW w:w="672" w:type="dxa"/>
                  <w:vMerge w:val="restart"/>
                  <w:vAlign w:val="center"/>
                </w:tcPr>
                <w:p w14:paraId="1D3BFE28">
                  <w:pPr>
                    <w:jc w:val="center"/>
                    <w:rPr>
                      <w:color w:val="auto"/>
                      <w:szCs w:val="21"/>
                    </w:rPr>
                  </w:pPr>
                  <w:r>
                    <w:rPr>
                      <w:rFonts w:hint="eastAsia"/>
                      <w:color w:val="auto"/>
                      <w:szCs w:val="21"/>
                    </w:rPr>
                    <w:t>无组织排放</w:t>
                  </w:r>
                </w:p>
              </w:tc>
              <w:tc>
                <w:tcPr>
                  <w:tcW w:w="4920" w:type="dxa"/>
                  <w:vAlign w:val="center"/>
                </w:tcPr>
                <w:p w14:paraId="301C2BD8">
                  <w:pPr>
                    <w:jc w:val="center"/>
                    <w:rPr>
                      <w:color w:val="auto"/>
                      <w:szCs w:val="21"/>
                    </w:rPr>
                  </w:pPr>
                  <w:r>
                    <w:rPr>
                      <w:rFonts w:hint="eastAsia"/>
                      <w:color w:val="auto"/>
                      <w:szCs w:val="21"/>
                    </w:rPr>
                    <w:t>涂料、稀释剂、清洗剂等原辅材料密闭储存。原辅材料调配、使用、回收等过程采用密闭设备或在密闭空间内操作，采用密闭管道或密闭容器等输送；施胶、调配、喷涂、流平和干燥工序在密闭空间内操作，废气排至VOCs废气收集处理系统</w:t>
                  </w:r>
                </w:p>
              </w:tc>
              <w:tc>
                <w:tcPr>
                  <w:tcW w:w="2400" w:type="dxa"/>
                  <w:vAlign w:val="center"/>
                </w:tcPr>
                <w:p w14:paraId="74FB5724">
                  <w:pPr>
                    <w:jc w:val="center"/>
                    <w:rPr>
                      <w:color w:val="auto"/>
                      <w:szCs w:val="21"/>
                    </w:rPr>
                  </w:pPr>
                  <w:r>
                    <w:rPr>
                      <w:rFonts w:hint="eastAsia"/>
                      <w:color w:val="auto"/>
                      <w:szCs w:val="21"/>
                    </w:rPr>
                    <w:t>本项目涂料、稀释剂、清洗剂等原辅材料密闭储存；调漆、喷涂均在喷漆室内进行，废气收集处理后排放。</w:t>
                  </w:r>
                </w:p>
              </w:tc>
              <w:tc>
                <w:tcPr>
                  <w:tcW w:w="720" w:type="dxa"/>
                  <w:vAlign w:val="center"/>
                </w:tcPr>
                <w:p w14:paraId="37D0207C">
                  <w:pPr>
                    <w:jc w:val="center"/>
                    <w:rPr>
                      <w:color w:val="auto"/>
                      <w:szCs w:val="21"/>
                    </w:rPr>
                  </w:pPr>
                  <w:r>
                    <w:rPr>
                      <w:rFonts w:hint="eastAsia"/>
                      <w:color w:val="auto"/>
                      <w:szCs w:val="21"/>
                    </w:rPr>
                    <w:t>相符</w:t>
                  </w:r>
                </w:p>
              </w:tc>
            </w:tr>
            <w:tr w14:paraId="54756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672" w:type="dxa"/>
                  <w:vMerge w:val="continue"/>
                  <w:vAlign w:val="center"/>
                </w:tcPr>
                <w:p w14:paraId="1A66A579">
                  <w:pPr>
                    <w:jc w:val="center"/>
                    <w:rPr>
                      <w:rFonts w:hint="eastAsia"/>
                      <w:color w:val="auto"/>
                      <w:szCs w:val="21"/>
                    </w:rPr>
                  </w:pPr>
                </w:p>
              </w:tc>
              <w:tc>
                <w:tcPr>
                  <w:tcW w:w="4920" w:type="dxa"/>
                  <w:vAlign w:val="center"/>
                </w:tcPr>
                <w:p w14:paraId="07242AEE">
                  <w:pPr>
                    <w:jc w:val="center"/>
                    <w:rPr>
                      <w:color w:val="auto"/>
                      <w:szCs w:val="21"/>
                    </w:rPr>
                  </w:pPr>
                  <w:r>
                    <w:rPr>
                      <w:rFonts w:hint="eastAsia"/>
                      <w:color w:val="auto"/>
                      <w:szCs w:val="21"/>
                    </w:rPr>
                    <w:t>开料、砂光等工序设置中央除尘系统；机加工、打磨工序设置中央除尘系统或袋式除尘、滤筒除尘等除尘工艺</w:t>
                  </w:r>
                </w:p>
              </w:tc>
              <w:tc>
                <w:tcPr>
                  <w:tcW w:w="2400" w:type="dxa"/>
                  <w:vAlign w:val="center"/>
                </w:tcPr>
                <w:p w14:paraId="1C021D7D">
                  <w:pPr>
                    <w:jc w:val="center"/>
                    <w:rPr>
                      <w:color w:val="auto"/>
                      <w:szCs w:val="21"/>
                    </w:rPr>
                  </w:pPr>
                  <w:r>
                    <w:rPr>
                      <w:rFonts w:hint="eastAsia"/>
                      <w:color w:val="auto"/>
                      <w:szCs w:val="21"/>
                    </w:rPr>
                    <w:t>开料、砂光、打磨工序集中收集处理，采用袋式除尘进行处理。</w:t>
                  </w:r>
                </w:p>
              </w:tc>
              <w:tc>
                <w:tcPr>
                  <w:tcW w:w="720" w:type="dxa"/>
                  <w:vAlign w:val="center"/>
                </w:tcPr>
                <w:p w14:paraId="1B5E593F">
                  <w:pPr>
                    <w:jc w:val="center"/>
                    <w:rPr>
                      <w:color w:val="auto"/>
                      <w:szCs w:val="21"/>
                    </w:rPr>
                  </w:pPr>
                  <w:r>
                    <w:rPr>
                      <w:rFonts w:hint="eastAsia"/>
                      <w:color w:val="auto"/>
                      <w:szCs w:val="21"/>
                    </w:rPr>
                    <w:t>相符</w:t>
                  </w:r>
                </w:p>
              </w:tc>
            </w:tr>
            <w:tr w14:paraId="38DD3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4" w:hRule="atLeast"/>
              </w:trPr>
              <w:tc>
                <w:tcPr>
                  <w:tcW w:w="672" w:type="dxa"/>
                  <w:vAlign w:val="center"/>
                </w:tcPr>
                <w:p w14:paraId="2CA30567">
                  <w:pPr>
                    <w:jc w:val="center"/>
                    <w:rPr>
                      <w:color w:val="auto"/>
                      <w:szCs w:val="21"/>
                    </w:rPr>
                  </w:pPr>
                  <w:r>
                    <w:rPr>
                      <w:rFonts w:hint="eastAsia"/>
                      <w:color w:val="auto"/>
                      <w:szCs w:val="21"/>
                    </w:rPr>
                    <w:t>废气治理工艺</w:t>
                  </w:r>
                </w:p>
              </w:tc>
              <w:tc>
                <w:tcPr>
                  <w:tcW w:w="4920" w:type="dxa"/>
                  <w:vAlign w:val="center"/>
                </w:tcPr>
                <w:p w14:paraId="3164FAE0">
                  <w:pPr>
                    <w:numPr>
                      <w:ilvl w:val="0"/>
                      <w:numId w:val="8"/>
                    </w:numPr>
                    <w:rPr>
                      <w:rFonts w:hint="eastAsia"/>
                      <w:color w:val="auto"/>
                      <w:szCs w:val="21"/>
                    </w:rPr>
                  </w:pPr>
                  <w:r>
                    <w:rPr>
                      <w:rFonts w:hint="eastAsia"/>
                      <w:color w:val="auto"/>
                      <w:szCs w:val="21"/>
                    </w:rPr>
                    <w:t>溶剂型涂料：涂饰（含UV涂料喷涂）、干燥、调配、流平等废气采用漆雾预处理+吸附浓缩+燃烧（蓄热燃烧、催化燃烧）工艺处理；</w:t>
                  </w:r>
                </w:p>
                <w:p w14:paraId="5162FBBC">
                  <w:pPr>
                    <w:numPr>
                      <w:ilvl w:val="0"/>
                      <w:numId w:val="8"/>
                    </w:numPr>
                    <w:rPr>
                      <w:color w:val="auto"/>
                      <w:szCs w:val="21"/>
                    </w:rPr>
                  </w:pPr>
                  <w:r>
                    <w:rPr>
                      <w:rFonts w:hint="eastAsia"/>
                      <w:color w:val="auto"/>
                      <w:szCs w:val="21"/>
                    </w:rPr>
                    <w:t>其他涂料：涂饰、干燥、调配、流平等废气漆雾预处理+吸附浓缩+燃烧（蓄热燃烧、催化燃烧），NMHC排放速率≤2kg/h末端采用漆雾预处理+吸附法等技术工艺处理</w:t>
                  </w:r>
                </w:p>
              </w:tc>
              <w:tc>
                <w:tcPr>
                  <w:tcW w:w="2400" w:type="dxa"/>
                  <w:vAlign w:val="center"/>
                </w:tcPr>
                <w:p w14:paraId="4819AA43">
                  <w:pPr>
                    <w:jc w:val="center"/>
                    <w:rPr>
                      <w:color w:val="auto"/>
                      <w:szCs w:val="21"/>
                    </w:rPr>
                  </w:pPr>
                  <w:r>
                    <w:rPr>
                      <w:rFonts w:hint="eastAsia"/>
                      <w:color w:val="auto"/>
                      <w:szCs w:val="21"/>
                    </w:rPr>
                    <w:t>本项目喷漆在喷漆室进行，废气处理工艺为“</w:t>
                  </w:r>
                  <w:r>
                    <w:rPr>
                      <w:rFonts w:hint="eastAsia"/>
                      <w:color w:val="auto"/>
                      <w:szCs w:val="21"/>
                      <w:lang w:val="en-US" w:eastAsia="zh-CN"/>
                    </w:rPr>
                    <w:t>过滤棉+</w:t>
                  </w:r>
                  <w:r>
                    <w:rPr>
                      <w:rFonts w:hint="eastAsia"/>
                      <w:color w:val="auto"/>
                      <w:szCs w:val="21"/>
                    </w:rPr>
                    <w:t>活性炭吸附</w:t>
                  </w:r>
                  <w:r>
                    <w:rPr>
                      <w:rFonts w:hint="eastAsia"/>
                      <w:color w:val="auto"/>
                      <w:szCs w:val="21"/>
                      <w:lang w:eastAsia="zh-CN"/>
                    </w:rPr>
                    <w:t>、</w:t>
                  </w:r>
                  <w:r>
                    <w:rPr>
                      <w:rFonts w:hint="eastAsia"/>
                      <w:color w:val="auto"/>
                      <w:szCs w:val="21"/>
                    </w:rPr>
                    <w:t>脱附+</w:t>
                  </w:r>
                  <w:r>
                    <w:rPr>
                      <w:rFonts w:hint="eastAsia"/>
                      <w:color w:val="auto"/>
                      <w:szCs w:val="21"/>
                      <w:lang w:val="en-US" w:eastAsia="zh-CN"/>
                    </w:rPr>
                    <w:t>催化燃烧</w:t>
                  </w:r>
                  <w:r>
                    <w:rPr>
                      <w:rFonts w:hint="eastAsia"/>
                      <w:color w:val="auto"/>
                      <w:szCs w:val="21"/>
                    </w:rPr>
                    <w:t>”。</w:t>
                  </w:r>
                </w:p>
              </w:tc>
              <w:tc>
                <w:tcPr>
                  <w:tcW w:w="720" w:type="dxa"/>
                  <w:vAlign w:val="center"/>
                </w:tcPr>
                <w:p w14:paraId="30541F56">
                  <w:pPr>
                    <w:jc w:val="center"/>
                    <w:rPr>
                      <w:color w:val="auto"/>
                      <w:szCs w:val="21"/>
                    </w:rPr>
                  </w:pPr>
                  <w:r>
                    <w:rPr>
                      <w:rFonts w:hint="eastAsia"/>
                      <w:color w:val="auto"/>
                      <w:szCs w:val="21"/>
                    </w:rPr>
                    <w:t>相符</w:t>
                  </w:r>
                </w:p>
              </w:tc>
            </w:tr>
            <w:tr w14:paraId="05AB2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72" w:type="dxa"/>
                  <w:vAlign w:val="center"/>
                </w:tcPr>
                <w:p w14:paraId="01DC7368">
                  <w:pPr>
                    <w:jc w:val="center"/>
                    <w:rPr>
                      <w:rFonts w:hint="eastAsia"/>
                      <w:color w:val="auto"/>
                      <w:szCs w:val="21"/>
                    </w:rPr>
                  </w:pPr>
                  <w:r>
                    <w:rPr>
                      <w:rFonts w:hint="eastAsia"/>
                      <w:color w:val="auto"/>
                      <w:szCs w:val="21"/>
                    </w:rPr>
                    <w:t>排放</w:t>
                  </w:r>
                </w:p>
                <w:p w14:paraId="14895074">
                  <w:pPr>
                    <w:jc w:val="center"/>
                    <w:rPr>
                      <w:color w:val="auto"/>
                      <w:szCs w:val="21"/>
                    </w:rPr>
                  </w:pPr>
                  <w:r>
                    <w:rPr>
                      <w:rFonts w:hint="eastAsia"/>
                      <w:color w:val="auto"/>
                      <w:szCs w:val="21"/>
                    </w:rPr>
                    <w:t>限值</w:t>
                  </w:r>
                </w:p>
              </w:tc>
              <w:tc>
                <w:tcPr>
                  <w:tcW w:w="4920" w:type="dxa"/>
                  <w:vAlign w:val="center"/>
                </w:tcPr>
                <w:p w14:paraId="19983C81">
                  <w:pPr>
                    <w:jc w:val="center"/>
                    <w:rPr>
                      <w:color w:val="auto"/>
                      <w:szCs w:val="21"/>
                    </w:rPr>
                  </w:pPr>
                  <w:r>
                    <w:rPr>
                      <w:rFonts w:hint="eastAsia"/>
                      <w:color w:val="auto"/>
                      <w:szCs w:val="21"/>
                    </w:rPr>
                    <w:t>PM、NMHC排放浓度分别不高于10、20mg/m</w:t>
                  </w:r>
                  <w:r>
                    <w:rPr>
                      <w:rFonts w:hint="eastAsia"/>
                      <w:color w:val="auto"/>
                      <w:szCs w:val="21"/>
                      <w:vertAlign w:val="superscript"/>
                    </w:rPr>
                    <w:t>3</w:t>
                  </w:r>
                  <w:r>
                    <w:rPr>
                      <w:rFonts w:hint="eastAsia"/>
                      <w:color w:val="auto"/>
                      <w:szCs w:val="21"/>
                    </w:rPr>
                    <w:t>；且所有污染物稳定达到地标排放限值</w:t>
                  </w:r>
                </w:p>
              </w:tc>
              <w:tc>
                <w:tcPr>
                  <w:tcW w:w="2400" w:type="dxa"/>
                  <w:vAlign w:val="center"/>
                </w:tcPr>
                <w:p w14:paraId="3AC3CF9B">
                  <w:pPr>
                    <w:jc w:val="center"/>
                    <w:rPr>
                      <w:color w:val="auto"/>
                      <w:szCs w:val="21"/>
                    </w:rPr>
                  </w:pPr>
                  <w:r>
                    <w:rPr>
                      <w:rFonts w:hint="eastAsia"/>
                      <w:color w:val="auto"/>
                      <w:szCs w:val="21"/>
                    </w:rPr>
                    <w:t>本项目PM、NMHC排放浓度满足要求。</w:t>
                  </w:r>
                </w:p>
              </w:tc>
              <w:tc>
                <w:tcPr>
                  <w:tcW w:w="720" w:type="dxa"/>
                  <w:vAlign w:val="center"/>
                </w:tcPr>
                <w:p w14:paraId="37242443">
                  <w:pPr>
                    <w:jc w:val="center"/>
                    <w:rPr>
                      <w:color w:val="auto"/>
                      <w:szCs w:val="21"/>
                    </w:rPr>
                  </w:pPr>
                  <w:r>
                    <w:rPr>
                      <w:rFonts w:hint="eastAsia"/>
                      <w:color w:val="auto"/>
                      <w:szCs w:val="21"/>
                    </w:rPr>
                    <w:t>相符</w:t>
                  </w:r>
                </w:p>
              </w:tc>
            </w:tr>
            <w:tr w14:paraId="63D31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672" w:type="dxa"/>
                  <w:vAlign w:val="center"/>
                </w:tcPr>
                <w:p w14:paraId="633E2038">
                  <w:pPr>
                    <w:jc w:val="center"/>
                    <w:rPr>
                      <w:color w:val="auto"/>
                      <w:szCs w:val="21"/>
                    </w:rPr>
                  </w:pPr>
                  <w:r>
                    <w:rPr>
                      <w:rFonts w:hint="eastAsia"/>
                      <w:color w:val="auto"/>
                      <w:szCs w:val="21"/>
                    </w:rPr>
                    <w:t>监测监控水平</w:t>
                  </w:r>
                </w:p>
              </w:tc>
              <w:tc>
                <w:tcPr>
                  <w:tcW w:w="4920" w:type="dxa"/>
                  <w:vAlign w:val="center"/>
                </w:tcPr>
                <w:p w14:paraId="40C53BE4">
                  <w:pPr>
                    <w:jc w:val="center"/>
                    <w:rPr>
                      <w:color w:val="auto"/>
                      <w:szCs w:val="21"/>
                    </w:rPr>
                  </w:pPr>
                  <w:r>
                    <w:rPr>
                      <w:rFonts w:hint="eastAsia"/>
                      <w:color w:val="auto"/>
                      <w:szCs w:val="21"/>
                    </w:rPr>
                    <w:t>重点排污企业风量大于</w:t>
                  </w:r>
                  <w:r>
                    <w:rPr>
                      <w:rFonts w:hint="eastAsia"/>
                      <w:b/>
                      <w:bCs/>
                      <w:color w:val="auto"/>
                      <w:szCs w:val="21"/>
                      <w:u w:val="single"/>
                    </w:rPr>
                    <w:t>1000</w:t>
                  </w:r>
                  <w:r>
                    <w:rPr>
                      <w:rFonts w:hint="eastAsia"/>
                      <w:b/>
                      <w:bCs/>
                      <w:color w:val="auto"/>
                      <w:szCs w:val="21"/>
                      <w:u w:val="single"/>
                      <w:lang w:val="en-US" w:eastAsia="zh-CN"/>
                    </w:rPr>
                    <w:t>0</w:t>
                  </w:r>
                  <w:r>
                    <w:rPr>
                      <w:rFonts w:hint="eastAsia"/>
                      <w:b/>
                      <w:bCs/>
                      <w:color w:val="auto"/>
                      <w:szCs w:val="21"/>
                      <w:u w:val="single"/>
                    </w:rPr>
                    <w:t>m</w:t>
                  </w:r>
                  <w:r>
                    <w:rPr>
                      <w:rFonts w:hint="eastAsia"/>
                      <w:b/>
                      <w:bCs/>
                      <w:color w:val="auto"/>
                      <w:szCs w:val="21"/>
                      <w:u w:val="single"/>
                      <w:vertAlign w:val="superscript"/>
                    </w:rPr>
                    <w:t>3</w:t>
                  </w:r>
                  <w:r>
                    <w:rPr>
                      <w:rFonts w:hint="eastAsia"/>
                      <w:b/>
                      <w:bCs/>
                      <w:color w:val="auto"/>
                      <w:szCs w:val="21"/>
                      <w:u w:val="single"/>
                    </w:rPr>
                    <w:t>/h</w:t>
                  </w:r>
                  <w:r>
                    <w:rPr>
                      <w:rFonts w:hint="eastAsia"/>
                      <w:color w:val="auto"/>
                      <w:szCs w:val="21"/>
                    </w:rPr>
                    <w:t>的主要排放口安装NMHC自动检测设施（FID检测器），自动监控数据保存一年以上</w:t>
                  </w:r>
                </w:p>
              </w:tc>
              <w:tc>
                <w:tcPr>
                  <w:tcW w:w="2400" w:type="dxa"/>
                  <w:vAlign w:val="center"/>
                </w:tcPr>
                <w:p w14:paraId="58F55681">
                  <w:pPr>
                    <w:jc w:val="center"/>
                    <w:rPr>
                      <w:color w:val="auto"/>
                      <w:szCs w:val="21"/>
                    </w:rPr>
                  </w:pPr>
                  <w:r>
                    <w:rPr>
                      <w:rFonts w:hint="eastAsia"/>
                      <w:color w:val="auto"/>
                      <w:szCs w:val="21"/>
                      <w:highlight w:val="none"/>
                    </w:rPr>
                    <w:t>本企业不属于重点排污企业。</w:t>
                  </w:r>
                </w:p>
              </w:tc>
              <w:tc>
                <w:tcPr>
                  <w:tcW w:w="720" w:type="dxa"/>
                  <w:vAlign w:val="center"/>
                </w:tcPr>
                <w:p w14:paraId="1F510008">
                  <w:pPr>
                    <w:jc w:val="center"/>
                    <w:rPr>
                      <w:color w:val="auto"/>
                      <w:szCs w:val="21"/>
                    </w:rPr>
                  </w:pPr>
                  <w:r>
                    <w:rPr>
                      <w:rFonts w:hint="eastAsia"/>
                      <w:color w:val="auto"/>
                      <w:szCs w:val="21"/>
                    </w:rPr>
                    <w:t>相符</w:t>
                  </w:r>
                </w:p>
              </w:tc>
            </w:tr>
            <w:tr w14:paraId="02C1A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2" w:type="dxa"/>
                  <w:vMerge w:val="restart"/>
                  <w:vAlign w:val="center"/>
                </w:tcPr>
                <w:p w14:paraId="45F3095C">
                  <w:pPr>
                    <w:jc w:val="center"/>
                    <w:rPr>
                      <w:color w:val="auto"/>
                      <w:szCs w:val="21"/>
                    </w:rPr>
                  </w:pPr>
                  <w:r>
                    <w:rPr>
                      <w:rFonts w:hint="eastAsia"/>
                      <w:color w:val="auto"/>
                      <w:szCs w:val="21"/>
                    </w:rPr>
                    <w:t>环境管理水平</w:t>
                  </w:r>
                </w:p>
              </w:tc>
              <w:tc>
                <w:tcPr>
                  <w:tcW w:w="4920" w:type="dxa"/>
                  <w:vAlign w:val="center"/>
                </w:tcPr>
                <w:p w14:paraId="6805320A">
                  <w:pPr>
                    <w:jc w:val="center"/>
                    <w:rPr>
                      <w:color w:val="auto"/>
                      <w:szCs w:val="21"/>
                    </w:rPr>
                  </w:pPr>
                  <w:r>
                    <w:rPr>
                      <w:color w:val="auto"/>
                      <w:szCs w:val="21"/>
                    </w:rPr>
                    <w:t>环保档案齐全：1、环评批复文件；2、排污许可证及季度、年度执行报告；3、竣工验收文件；4、废气治理设施运行管理规程；5、一年内废气监测报告；6、涂料、胶黏剂、清洗剂中VOCs含量检测报告</w:t>
                  </w:r>
                  <w:r>
                    <w:rPr>
                      <w:rFonts w:hint="eastAsia"/>
                      <w:color w:val="auto"/>
                      <w:szCs w:val="21"/>
                    </w:rPr>
                    <w:t>（</w:t>
                  </w:r>
                  <w:r>
                    <w:rPr>
                      <w:color w:val="auto"/>
                      <w:szCs w:val="21"/>
                    </w:rPr>
                    <w:t>包括密度、含水率等</w:t>
                  </w:r>
                  <w:r>
                    <w:rPr>
                      <w:rFonts w:hint="eastAsia"/>
                      <w:color w:val="auto"/>
                      <w:szCs w:val="21"/>
                    </w:rPr>
                    <w:t>）</w:t>
                  </w:r>
                </w:p>
              </w:tc>
              <w:tc>
                <w:tcPr>
                  <w:tcW w:w="2400" w:type="dxa"/>
                  <w:vMerge w:val="restart"/>
                  <w:vAlign w:val="center"/>
                </w:tcPr>
                <w:p w14:paraId="562D02BC">
                  <w:pPr>
                    <w:jc w:val="center"/>
                    <w:rPr>
                      <w:color w:val="auto"/>
                      <w:szCs w:val="21"/>
                    </w:rPr>
                  </w:pPr>
                  <w:r>
                    <w:rPr>
                      <w:rFonts w:hint="eastAsia"/>
                      <w:color w:val="auto"/>
                      <w:szCs w:val="21"/>
                    </w:rPr>
                    <w:t>本项目拟按照要求建立完整的环保档案及台账记录，并配备专职环保人员</w:t>
                  </w:r>
                </w:p>
              </w:tc>
              <w:tc>
                <w:tcPr>
                  <w:tcW w:w="720" w:type="dxa"/>
                  <w:vAlign w:val="center"/>
                </w:tcPr>
                <w:p w14:paraId="7C05B2D0">
                  <w:pPr>
                    <w:jc w:val="center"/>
                    <w:rPr>
                      <w:color w:val="auto"/>
                      <w:szCs w:val="21"/>
                    </w:rPr>
                  </w:pPr>
                  <w:r>
                    <w:rPr>
                      <w:rFonts w:hint="eastAsia"/>
                      <w:color w:val="auto"/>
                      <w:szCs w:val="21"/>
                    </w:rPr>
                    <w:t>相符</w:t>
                  </w:r>
                </w:p>
              </w:tc>
            </w:tr>
            <w:tr w14:paraId="0118A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4" w:hRule="atLeast"/>
              </w:trPr>
              <w:tc>
                <w:tcPr>
                  <w:tcW w:w="672" w:type="dxa"/>
                  <w:vMerge w:val="continue"/>
                  <w:vAlign w:val="center"/>
                </w:tcPr>
                <w:p w14:paraId="0F24AA2F">
                  <w:pPr>
                    <w:jc w:val="center"/>
                    <w:rPr>
                      <w:rFonts w:hint="eastAsia"/>
                      <w:color w:val="auto"/>
                      <w:szCs w:val="21"/>
                    </w:rPr>
                  </w:pPr>
                </w:p>
              </w:tc>
              <w:tc>
                <w:tcPr>
                  <w:tcW w:w="4920" w:type="dxa"/>
                  <w:vAlign w:val="center"/>
                </w:tcPr>
                <w:p w14:paraId="309D6CC3">
                  <w:pPr>
                    <w:jc w:val="center"/>
                    <w:rPr>
                      <w:color w:val="auto"/>
                      <w:szCs w:val="21"/>
                    </w:rPr>
                  </w:pPr>
                  <w:r>
                    <w:rPr>
                      <w:color w:val="auto"/>
                      <w:szCs w:val="21"/>
                    </w:rPr>
                    <w:t>台账记录：1、生产设施运行管理信息(生产时间、运行负荷、产品产量等)；2、废气污染治理设施运行營理信息(除尘滤料更换量和时间。吸附剂更换频次、催化剂更换频次等)；3、监测记录信息(主要污染排放口废气排放记录(手工监测和在线监测)等)；4、主要原辅材料消耗记最(一年内涂料、胶黏剂、清洗剂用量记录》；5、燃料(天然气)消耗记录</w:t>
                  </w:r>
                </w:p>
              </w:tc>
              <w:tc>
                <w:tcPr>
                  <w:tcW w:w="2400" w:type="dxa"/>
                  <w:vMerge w:val="continue"/>
                  <w:vAlign w:val="center"/>
                </w:tcPr>
                <w:p w14:paraId="099E01F8">
                  <w:pPr>
                    <w:jc w:val="center"/>
                    <w:rPr>
                      <w:color w:val="auto"/>
                      <w:szCs w:val="21"/>
                    </w:rPr>
                  </w:pPr>
                </w:p>
              </w:tc>
              <w:tc>
                <w:tcPr>
                  <w:tcW w:w="720" w:type="dxa"/>
                  <w:vAlign w:val="center"/>
                </w:tcPr>
                <w:p w14:paraId="6569804B">
                  <w:pPr>
                    <w:jc w:val="center"/>
                    <w:rPr>
                      <w:color w:val="auto"/>
                      <w:szCs w:val="21"/>
                    </w:rPr>
                  </w:pPr>
                  <w:r>
                    <w:rPr>
                      <w:rFonts w:hint="eastAsia"/>
                      <w:color w:val="auto"/>
                      <w:szCs w:val="21"/>
                    </w:rPr>
                    <w:t>相符</w:t>
                  </w:r>
                </w:p>
              </w:tc>
            </w:tr>
            <w:tr w14:paraId="7B340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672" w:type="dxa"/>
                  <w:vMerge w:val="continue"/>
                  <w:vAlign w:val="center"/>
                </w:tcPr>
                <w:p w14:paraId="68A88053">
                  <w:pPr>
                    <w:jc w:val="center"/>
                    <w:rPr>
                      <w:rFonts w:hint="eastAsia"/>
                      <w:color w:val="auto"/>
                      <w:szCs w:val="21"/>
                    </w:rPr>
                  </w:pPr>
                </w:p>
              </w:tc>
              <w:tc>
                <w:tcPr>
                  <w:tcW w:w="4920" w:type="dxa"/>
                  <w:vAlign w:val="center"/>
                </w:tcPr>
                <w:p w14:paraId="4CC6A2BE">
                  <w:pPr>
                    <w:jc w:val="center"/>
                    <w:rPr>
                      <w:color w:val="auto"/>
                      <w:szCs w:val="21"/>
                    </w:rPr>
                  </w:pPr>
                  <w:r>
                    <w:rPr>
                      <w:color w:val="auto"/>
                      <w:szCs w:val="21"/>
                    </w:rPr>
                    <w:t>人员配置：设置环保部门，配备专职环保人员，并具备相应的环境管理能力</w:t>
                  </w:r>
                </w:p>
              </w:tc>
              <w:tc>
                <w:tcPr>
                  <w:tcW w:w="2400" w:type="dxa"/>
                  <w:vMerge w:val="continue"/>
                  <w:vAlign w:val="center"/>
                </w:tcPr>
                <w:p w14:paraId="25B31CC3">
                  <w:pPr>
                    <w:jc w:val="center"/>
                    <w:rPr>
                      <w:color w:val="auto"/>
                      <w:szCs w:val="21"/>
                    </w:rPr>
                  </w:pPr>
                </w:p>
              </w:tc>
              <w:tc>
                <w:tcPr>
                  <w:tcW w:w="720" w:type="dxa"/>
                  <w:vAlign w:val="center"/>
                </w:tcPr>
                <w:p w14:paraId="326B771F">
                  <w:pPr>
                    <w:jc w:val="center"/>
                    <w:rPr>
                      <w:color w:val="auto"/>
                      <w:szCs w:val="21"/>
                    </w:rPr>
                  </w:pPr>
                  <w:r>
                    <w:rPr>
                      <w:rFonts w:hint="eastAsia"/>
                      <w:color w:val="auto"/>
                      <w:szCs w:val="21"/>
                    </w:rPr>
                    <w:t>相符</w:t>
                  </w:r>
                </w:p>
              </w:tc>
            </w:tr>
            <w:tr w14:paraId="7F59D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3" w:hRule="atLeast"/>
              </w:trPr>
              <w:tc>
                <w:tcPr>
                  <w:tcW w:w="672" w:type="dxa"/>
                  <w:vAlign w:val="center"/>
                </w:tcPr>
                <w:p w14:paraId="09DD36D4">
                  <w:pPr>
                    <w:jc w:val="center"/>
                    <w:rPr>
                      <w:rFonts w:hint="eastAsia"/>
                      <w:color w:val="auto"/>
                      <w:szCs w:val="21"/>
                    </w:rPr>
                  </w:pPr>
                  <w:r>
                    <w:rPr>
                      <w:rFonts w:hint="eastAsia"/>
                      <w:color w:val="auto"/>
                      <w:szCs w:val="21"/>
                    </w:rPr>
                    <w:t>运输</w:t>
                  </w:r>
                </w:p>
                <w:p w14:paraId="363F54DB">
                  <w:pPr>
                    <w:jc w:val="center"/>
                    <w:rPr>
                      <w:rFonts w:hint="eastAsia"/>
                      <w:color w:val="auto"/>
                      <w:szCs w:val="21"/>
                    </w:rPr>
                  </w:pPr>
                  <w:r>
                    <w:rPr>
                      <w:rFonts w:hint="eastAsia"/>
                      <w:color w:val="auto"/>
                      <w:szCs w:val="21"/>
                    </w:rPr>
                    <w:t>方式</w:t>
                  </w:r>
                </w:p>
              </w:tc>
              <w:tc>
                <w:tcPr>
                  <w:tcW w:w="4920" w:type="dxa"/>
                  <w:vAlign w:val="center"/>
                </w:tcPr>
                <w:p w14:paraId="284408F1">
                  <w:pPr>
                    <w:jc w:val="center"/>
                    <w:rPr>
                      <w:color w:val="auto"/>
                      <w:szCs w:val="21"/>
                    </w:rPr>
                  </w:pPr>
                  <w:r>
                    <w:rPr>
                      <w:color w:val="auto"/>
                      <w:szCs w:val="21"/>
                    </w:rPr>
                    <w:t>1、物料公路运输全部使用达到国五及以上排放标准重型载货车辆（含燃气）或新能源车辆；2、厂内运输车辆全部达到国五及以上排放标准（含燃气）或使用新能源车辆；</w:t>
                  </w:r>
                </w:p>
                <w:p w14:paraId="32DF608D">
                  <w:pPr>
                    <w:jc w:val="center"/>
                    <w:rPr>
                      <w:color w:val="auto"/>
                      <w:szCs w:val="21"/>
                    </w:rPr>
                  </w:pPr>
                  <w:r>
                    <w:rPr>
                      <w:color w:val="auto"/>
                      <w:szCs w:val="21"/>
                    </w:rPr>
                    <w:t>3、厂内非道路移动机械全部达到国三及以上排放标准或使用新能源机械</w:t>
                  </w:r>
                </w:p>
              </w:tc>
              <w:tc>
                <w:tcPr>
                  <w:tcW w:w="2400" w:type="dxa"/>
                  <w:vAlign w:val="center"/>
                </w:tcPr>
                <w:p w14:paraId="4CE8B80F">
                  <w:pPr>
                    <w:jc w:val="center"/>
                    <w:rPr>
                      <w:color w:val="auto"/>
                      <w:szCs w:val="21"/>
                    </w:rPr>
                  </w:pPr>
                  <w:r>
                    <w:rPr>
                      <w:rFonts w:hint="eastAsia"/>
                      <w:color w:val="auto"/>
                      <w:szCs w:val="21"/>
                    </w:rPr>
                    <w:t>本项目运输采用</w:t>
                  </w:r>
                  <w:r>
                    <w:rPr>
                      <w:color w:val="auto"/>
                      <w:szCs w:val="21"/>
                    </w:rPr>
                    <w:t>达到国五及以上排放标准车辆</w:t>
                  </w:r>
                </w:p>
              </w:tc>
              <w:tc>
                <w:tcPr>
                  <w:tcW w:w="720" w:type="dxa"/>
                  <w:vAlign w:val="center"/>
                </w:tcPr>
                <w:p w14:paraId="4467A781">
                  <w:pPr>
                    <w:jc w:val="center"/>
                    <w:rPr>
                      <w:color w:val="auto"/>
                      <w:szCs w:val="21"/>
                    </w:rPr>
                  </w:pPr>
                  <w:r>
                    <w:rPr>
                      <w:rFonts w:hint="eastAsia"/>
                      <w:color w:val="auto"/>
                      <w:szCs w:val="21"/>
                    </w:rPr>
                    <w:t>相符</w:t>
                  </w:r>
                </w:p>
              </w:tc>
            </w:tr>
            <w:tr w14:paraId="549D2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trPr>
              <w:tc>
                <w:tcPr>
                  <w:tcW w:w="672" w:type="dxa"/>
                  <w:vAlign w:val="center"/>
                </w:tcPr>
                <w:p w14:paraId="1313E95C">
                  <w:pPr>
                    <w:jc w:val="center"/>
                    <w:rPr>
                      <w:rFonts w:hint="eastAsia"/>
                      <w:color w:val="auto"/>
                      <w:szCs w:val="21"/>
                    </w:rPr>
                  </w:pPr>
                  <w:r>
                    <w:rPr>
                      <w:rFonts w:hint="eastAsia"/>
                      <w:color w:val="auto"/>
                      <w:szCs w:val="21"/>
                    </w:rPr>
                    <w:t>运输</w:t>
                  </w:r>
                </w:p>
                <w:p w14:paraId="7AF8B1E6">
                  <w:pPr>
                    <w:jc w:val="center"/>
                    <w:rPr>
                      <w:rFonts w:hint="eastAsia"/>
                      <w:color w:val="auto"/>
                      <w:szCs w:val="21"/>
                    </w:rPr>
                  </w:pPr>
                  <w:r>
                    <w:rPr>
                      <w:rFonts w:hint="eastAsia"/>
                      <w:color w:val="auto"/>
                      <w:szCs w:val="21"/>
                    </w:rPr>
                    <w:t>监管</w:t>
                  </w:r>
                </w:p>
              </w:tc>
              <w:tc>
                <w:tcPr>
                  <w:tcW w:w="4920" w:type="dxa"/>
                  <w:vAlign w:val="center"/>
                </w:tcPr>
                <w:p w14:paraId="001868BC">
                  <w:pPr>
                    <w:jc w:val="center"/>
                    <w:rPr>
                      <w:color w:val="auto"/>
                      <w:szCs w:val="21"/>
                    </w:rPr>
                  </w:pPr>
                  <w:r>
                    <w:rPr>
                      <w:color w:val="auto"/>
                      <w:szCs w:val="21"/>
                    </w:rPr>
                    <w:t>参照《重污染天气重点行业移动源应急管理技术指南》建立门禁系统和电子台账</w:t>
                  </w:r>
                </w:p>
              </w:tc>
              <w:tc>
                <w:tcPr>
                  <w:tcW w:w="2400" w:type="dxa"/>
                  <w:vAlign w:val="center"/>
                </w:tcPr>
                <w:p w14:paraId="35C9A946">
                  <w:pPr>
                    <w:jc w:val="center"/>
                    <w:rPr>
                      <w:color w:val="auto"/>
                      <w:szCs w:val="21"/>
                    </w:rPr>
                  </w:pPr>
                  <w:r>
                    <w:rPr>
                      <w:rFonts w:hint="eastAsia"/>
                      <w:color w:val="auto"/>
                      <w:szCs w:val="21"/>
                    </w:rPr>
                    <w:t>本项目为租赁的厂房，厂区大门设置有门禁</w:t>
                  </w:r>
                </w:p>
              </w:tc>
              <w:tc>
                <w:tcPr>
                  <w:tcW w:w="720" w:type="dxa"/>
                  <w:vAlign w:val="center"/>
                </w:tcPr>
                <w:p w14:paraId="2B29F9CD">
                  <w:pPr>
                    <w:jc w:val="center"/>
                    <w:rPr>
                      <w:color w:val="auto"/>
                      <w:szCs w:val="21"/>
                    </w:rPr>
                  </w:pPr>
                  <w:r>
                    <w:rPr>
                      <w:rFonts w:hint="eastAsia"/>
                      <w:color w:val="auto"/>
                      <w:szCs w:val="21"/>
                    </w:rPr>
                    <w:t>相符</w:t>
                  </w:r>
                </w:p>
              </w:tc>
            </w:tr>
          </w:tbl>
          <w:p w14:paraId="246D2C02">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2" w:firstLineChars="200"/>
              <w:textAlignment w:val="auto"/>
              <w:rPr>
                <w:rFonts w:hint="default" w:ascii="Times New Roman" w:hAnsi="Times New Roman" w:eastAsia="宋体" w:cs="Times New Roman"/>
                <w:b/>
                <w:bCs/>
                <w:color w:val="auto"/>
                <w:sz w:val="24"/>
                <w:u w:val="single"/>
                <w:lang w:val="en-US" w:eastAsia="zh-CN"/>
              </w:rPr>
            </w:pPr>
            <w:r>
              <w:rPr>
                <w:rFonts w:hint="eastAsia" w:cs="Times New Roman"/>
                <w:b/>
                <w:bCs/>
                <w:color w:val="auto"/>
                <w:sz w:val="24"/>
                <w:u w:val="single"/>
                <w:lang w:val="en-US" w:eastAsia="zh-CN"/>
              </w:rPr>
              <w:t>另外，根据《河南省重污染天气 行业的监测监控安装要求，即重点排污单位风量大于10000m</w:t>
            </w:r>
            <w:r>
              <w:rPr>
                <w:rFonts w:hint="eastAsia" w:cs="Times New Roman"/>
                <w:b/>
                <w:bCs/>
                <w:color w:val="auto"/>
                <w:sz w:val="24"/>
                <w:u w:val="single"/>
                <w:vertAlign w:val="superscript"/>
                <w:lang w:val="en-US" w:eastAsia="zh-CN"/>
              </w:rPr>
              <w:t>3</w:t>
            </w:r>
            <w:r>
              <w:rPr>
                <w:rFonts w:hint="eastAsia" w:cs="Times New Roman"/>
                <w:b/>
                <w:bCs/>
                <w:color w:val="auto"/>
                <w:sz w:val="24"/>
                <w:u w:val="single"/>
                <w:lang w:val="en-US" w:eastAsia="zh-CN"/>
              </w:rPr>
              <w:t>/h的主要排放口安装NMHC在线监测设施，其他企业NMHC初始排放速率大于2kg/h且排放口风量大于20000m</w:t>
            </w:r>
            <w:r>
              <w:rPr>
                <w:rFonts w:hint="eastAsia" w:cs="Times New Roman"/>
                <w:b/>
                <w:bCs/>
                <w:color w:val="auto"/>
                <w:sz w:val="24"/>
                <w:u w:val="single"/>
                <w:vertAlign w:val="superscript"/>
                <w:lang w:val="en-US" w:eastAsia="zh-CN"/>
              </w:rPr>
              <w:t>3</w:t>
            </w:r>
            <w:r>
              <w:rPr>
                <w:rFonts w:hint="eastAsia" w:cs="Times New Roman"/>
                <w:b/>
                <w:bCs/>
                <w:color w:val="auto"/>
                <w:sz w:val="24"/>
                <w:u w:val="single"/>
                <w:lang w:val="en-US" w:eastAsia="zh-CN"/>
              </w:rPr>
              <w:t>/h的废气排放口安装NMHC在线监测设施”，本企业不属于重点排污企业，且初始排放速率小于2kg/h，无需安装NMHC在线监测设施。</w:t>
            </w:r>
          </w:p>
          <w:p w14:paraId="3BBD1FB7">
            <w:pPr>
              <w:numPr>
                <w:ilvl w:val="0"/>
                <w:numId w:val="9"/>
              </w:numPr>
              <w:snapToGrid w:val="0"/>
              <w:spacing w:line="360" w:lineRule="auto"/>
              <w:rPr>
                <w:b/>
                <w:bCs/>
                <w:color w:val="auto"/>
              </w:rPr>
            </w:pPr>
            <w:r>
              <w:rPr>
                <w:b/>
                <w:bCs/>
                <w:color w:val="auto"/>
                <w:sz w:val="24"/>
              </w:rPr>
              <w:t>与《濮阳市2024年蓝天保卫战实施方案》</w:t>
            </w:r>
            <w:r>
              <w:rPr>
                <w:rFonts w:hint="eastAsia"/>
                <w:b/>
                <w:bCs/>
                <w:color w:val="auto"/>
                <w:sz w:val="24"/>
              </w:rPr>
              <w:t>、</w:t>
            </w:r>
            <w:r>
              <w:rPr>
                <w:b/>
                <w:bCs/>
                <w:color w:val="auto"/>
                <w:sz w:val="24"/>
              </w:rPr>
              <w:t>《濮阳市2024年碧水保卫战实施方案》</w:t>
            </w:r>
            <w:r>
              <w:rPr>
                <w:rFonts w:hint="eastAsia"/>
                <w:b/>
                <w:bCs/>
                <w:color w:val="auto"/>
                <w:sz w:val="24"/>
              </w:rPr>
              <w:t>、</w:t>
            </w:r>
            <w:r>
              <w:rPr>
                <w:b/>
                <w:bCs/>
                <w:color w:val="auto"/>
                <w:sz w:val="24"/>
              </w:rPr>
              <w:t>《濮阳市2024年净土保卫战实施方案》（濮环委办〔2024〕11号）相符性分析</w:t>
            </w:r>
          </w:p>
          <w:p w14:paraId="7EDA4002">
            <w:pPr>
              <w:pStyle w:val="46"/>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eastAsia" w:ascii="Times New Roman" w:hAnsi="Arial Unicode MS" w:eastAsia="宋体" w:cs="Times New Roman"/>
                <w:b/>
                <w:color w:val="auto"/>
                <w:kern w:val="2"/>
                <w:sz w:val="24"/>
                <w:szCs w:val="24"/>
                <w:lang w:val="en-US" w:eastAsia="zh-CN" w:bidi="ar-SA"/>
              </w:rPr>
            </w:pPr>
            <w:r>
              <w:rPr>
                <w:rFonts w:hint="eastAsia" w:ascii="Times New Roman" w:hAnsi="Arial Unicode MS" w:eastAsia="宋体" w:cs="Times New Roman"/>
                <w:b/>
                <w:color w:val="auto"/>
                <w:kern w:val="2"/>
                <w:sz w:val="24"/>
                <w:szCs w:val="24"/>
                <w:lang w:val="en-US" w:eastAsia="zh-CN" w:bidi="ar-SA"/>
              </w:rPr>
              <w:t>与濮环委办〔2024〕11号相符性分析</w:t>
            </w:r>
          </w:p>
          <w:tbl>
            <w:tblPr>
              <w:tblStyle w:val="25"/>
              <w:tblW w:w="87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64"/>
              <w:gridCol w:w="5707"/>
              <w:gridCol w:w="1661"/>
              <w:gridCol w:w="583"/>
            </w:tblGrid>
            <w:tr w14:paraId="5FD3B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1" w:hRule="atLeast"/>
                <w:jc w:val="center"/>
              </w:trPr>
              <w:tc>
                <w:tcPr>
                  <w:tcW w:w="764" w:type="dxa"/>
                  <w:vAlign w:val="center"/>
                </w:tcPr>
                <w:p w14:paraId="59C1CB9E">
                  <w:pPr>
                    <w:pStyle w:val="24"/>
                    <w:adjustRightInd w:val="0"/>
                    <w:snapToGrid w:val="0"/>
                    <w:spacing w:after="0"/>
                    <w:ind w:left="0" w:leftChars="0" w:firstLine="0"/>
                    <w:jc w:val="center"/>
                    <w:rPr>
                      <w:b/>
                      <w:iCs/>
                      <w:color w:val="auto"/>
                      <w:szCs w:val="21"/>
                    </w:rPr>
                  </w:pPr>
                  <w:r>
                    <w:rPr>
                      <w:b/>
                      <w:iCs/>
                      <w:color w:val="auto"/>
                      <w:szCs w:val="21"/>
                    </w:rPr>
                    <w:t>文件</w:t>
                  </w:r>
                </w:p>
                <w:p w14:paraId="46505C5E">
                  <w:pPr>
                    <w:pStyle w:val="24"/>
                    <w:adjustRightInd w:val="0"/>
                    <w:snapToGrid w:val="0"/>
                    <w:spacing w:after="0"/>
                    <w:ind w:left="0" w:leftChars="0" w:firstLine="0"/>
                    <w:jc w:val="center"/>
                    <w:rPr>
                      <w:b/>
                      <w:iCs/>
                      <w:color w:val="auto"/>
                      <w:szCs w:val="21"/>
                    </w:rPr>
                  </w:pPr>
                  <w:r>
                    <w:rPr>
                      <w:b/>
                      <w:iCs/>
                      <w:color w:val="auto"/>
                      <w:szCs w:val="21"/>
                    </w:rPr>
                    <w:t>名称</w:t>
                  </w:r>
                </w:p>
              </w:tc>
              <w:tc>
                <w:tcPr>
                  <w:tcW w:w="5707" w:type="dxa"/>
                  <w:vAlign w:val="center"/>
                </w:tcPr>
                <w:p w14:paraId="28979F93">
                  <w:pPr>
                    <w:jc w:val="center"/>
                    <w:rPr>
                      <w:b/>
                      <w:iCs/>
                      <w:color w:val="auto"/>
                      <w:szCs w:val="21"/>
                    </w:rPr>
                  </w:pPr>
                  <w:r>
                    <w:rPr>
                      <w:b/>
                      <w:iCs/>
                      <w:color w:val="auto"/>
                      <w:szCs w:val="21"/>
                    </w:rPr>
                    <w:t>相关要求</w:t>
                  </w:r>
                </w:p>
              </w:tc>
              <w:tc>
                <w:tcPr>
                  <w:tcW w:w="1661" w:type="dxa"/>
                  <w:vAlign w:val="center"/>
                </w:tcPr>
                <w:p w14:paraId="44450080">
                  <w:pPr>
                    <w:pStyle w:val="24"/>
                    <w:adjustRightInd w:val="0"/>
                    <w:snapToGrid w:val="0"/>
                    <w:spacing w:after="0"/>
                    <w:ind w:left="0" w:leftChars="0" w:firstLine="0"/>
                    <w:jc w:val="center"/>
                    <w:rPr>
                      <w:b/>
                      <w:iCs/>
                      <w:color w:val="auto"/>
                      <w:szCs w:val="21"/>
                    </w:rPr>
                  </w:pPr>
                  <w:r>
                    <w:rPr>
                      <w:b/>
                      <w:iCs/>
                      <w:color w:val="auto"/>
                      <w:szCs w:val="21"/>
                    </w:rPr>
                    <w:t>本项目建设情况</w:t>
                  </w:r>
                </w:p>
              </w:tc>
              <w:tc>
                <w:tcPr>
                  <w:tcW w:w="583" w:type="dxa"/>
                  <w:vAlign w:val="center"/>
                </w:tcPr>
                <w:p w14:paraId="7F1EE64F">
                  <w:pPr>
                    <w:pStyle w:val="24"/>
                    <w:adjustRightInd w:val="0"/>
                    <w:snapToGrid w:val="0"/>
                    <w:spacing w:after="0"/>
                    <w:ind w:left="0" w:leftChars="0" w:firstLine="0"/>
                    <w:jc w:val="center"/>
                    <w:rPr>
                      <w:b/>
                      <w:iCs/>
                      <w:color w:val="auto"/>
                      <w:szCs w:val="21"/>
                    </w:rPr>
                  </w:pPr>
                  <w:r>
                    <w:rPr>
                      <w:b/>
                      <w:iCs/>
                      <w:color w:val="auto"/>
                      <w:szCs w:val="21"/>
                    </w:rPr>
                    <w:t>相符性</w:t>
                  </w:r>
                </w:p>
              </w:tc>
            </w:tr>
            <w:tr w14:paraId="580C7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8" w:hRule="atLeast"/>
                <w:jc w:val="center"/>
              </w:trPr>
              <w:tc>
                <w:tcPr>
                  <w:tcW w:w="764" w:type="dxa"/>
                  <w:vMerge w:val="restart"/>
                  <w:vAlign w:val="center"/>
                </w:tcPr>
                <w:p w14:paraId="2BE16994">
                  <w:pPr>
                    <w:pStyle w:val="24"/>
                    <w:adjustRightInd w:val="0"/>
                    <w:snapToGrid w:val="0"/>
                    <w:spacing w:after="0"/>
                    <w:ind w:left="0" w:leftChars="0" w:firstLine="0"/>
                    <w:jc w:val="center"/>
                    <w:rPr>
                      <w:bCs/>
                      <w:iCs/>
                      <w:color w:val="auto"/>
                      <w:szCs w:val="21"/>
                    </w:rPr>
                  </w:pPr>
                  <w:r>
                    <w:rPr>
                      <w:bCs/>
                      <w:iCs/>
                      <w:color w:val="auto"/>
                      <w:szCs w:val="21"/>
                    </w:rPr>
                    <w:t>濮阳市2024年蓝天保卫战实施方案</w:t>
                  </w:r>
                </w:p>
              </w:tc>
              <w:tc>
                <w:tcPr>
                  <w:tcW w:w="5707" w:type="dxa"/>
                  <w:vAlign w:val="center"/>
                </w:tcPr>
                <w:p w14:paraId="48811F24">
                  <w:pPr>
                    <w:rPr>
                      <w:rFonts w:hint="eastAsia"/>
                      <w:bCs/>
                      <w:iCs/>
                      <w:color w:val="auto"/>
                      <w:szCs w:val="21"/>
                    </w:rPr>
                  </w:pPr>
                  <w:r>
                    <w:rPr>
                      <w:bCs/>
                      <w:iCs/>
                      <w:color w:val="auto"/>
                      <w:szCs w:val="21"/>
                    </w:rPr>
                    <w:t>依法依规淘汰落后低效产能。各</w:t>
                  </w:r>
                  <w:r>
                    <w:rPr>
                      <w:rFonts w:hint="eastAsia" w:ascii="宋体" w:hAnsi="宋体" w:cs="宋体"/>
                      <w:bCs/>
                      <w:iCs/>
                      <w:color w:val="auto"/>
                      <w:szCs w:val="21"/>
                    </w:rPr>
                    <w:t>县(区)</w:t>
                  </w:r>
                  <w:r>
                    <w:rPr>
                      <w:bCs/>
                      <w:iCs/>
                      <w:color w:val="auto"/>
                      <w:szCs w:val="21"/>
                    </w:rPr>
                    <w:t>结合辖区内产业集群特点，2024年6月底前，制定涉气产业集群发展规划和专项整治方案，排查不符合城市建设规划、行业发展规划、生态环境功能定位的重污染企业，通过关停淘汰、搬迁入园、就地改造提升等措施，推动清丰县家具制造行业涉气产业集群升级改造，提升企业环保治理水平，</w:t>
                  </w:r>
                  <w:r>
                    <w:rPr>
                      <w:rFonts w:hint="eastAsia" w:ascii="宋体" w:hAnsi="宋体" w:cs="宋体"/>
                      <w:bCs/>
                      <w:iCs/>
                      <w:color w:val="auto"/>
                      <w:szCs w:val="21"/>
                    </w:rPr>
                    <w:t>严防“散乱污”企</w:t>
                  </w:r>
                  <w:r>
                    <w:rPr>
                      <w:bCs/>
                      <w:iCs/>
                      <w:color w:val="auto"/>
                      <w:szCs w:val="21"/>
                    </w:rPr>
                    <w:t>业死灰复燃、异地转移。推进园区和产业集群涉VOCs</w:t>
                  </w:r>
                  <w:r>
                    <w:rPr>
                      <w:rFonts w:hint="eastAsia" w:ascii="宋体" w:hAnsi="宋体" w:cs="宋体"/>
                      <w:bCs/>
                      <w:iCs/>
                      <w:color w:val="auto"/>
                      <w:szCs w:val="21"/>
                    </w:rPr>
                    <w:t>“绿岛”</w:t>
                  </w:r>
                  <w:r>
                    <w:rPr>
                      <w:bCs/>
                      <w:iCs/>
                      <w:color w:val="auto"/>
                      <w:szCs w:val="21"/>
                    </w:rPr>
                    <w:t>项目建设，规划建设集中喷涂中心、活性炭再生中心和溶剂回收置中心，2024年9月底前完成濮阳百东汽车钣喷中心建设，实现VOCs集中高效处理</w:t>
                  </w:r>
                  <w:r>
                    <w:rPr>
                      <w:rFonts w:hint="eastAsia"/>
                      <w:bCs/>
                      <w:iCs/>
                      <w:color w:val="auto"/>
                      <w:szCs w:val="21"/>
                    </w:rPr>
                    <w:t>。</w:t>
                  </w:r>
                </w:p>
              </w:tc>
              <w:tc>
                <w:tcPr>
                  <w:tcW w:w="1661" w:type="dxa"/>
                  <w:vAlign w:val="center"/>
                </w:tcPr>
                <w:p w14:paraId="03DB6C84">
                  <w:pPr>
                    <w:adjustRightInd w:val="0"/>
                    <w:snapToGrid w:val="0"/>
                    <w:jc w:val="center"/>
                    <w:rPr>
                      <w:bCs/>
                      <w:iCs/>
                      <w:color w:val="auto"/>
                      <w:szCs w:val="21"/>
                    </w:rPr>
                  </w:pPr>
                  <w:r>
                    <w:rPr>
                      <w:rFonts w:hint="eastAsia"/>
                      <w:bCs/>
                      <w:iCs/>
                      <w:color w:val="auto"/>
                      <w:szCs w:val="21"/>
                    </w:rPr>
                    <w:t>本项目属于家具制造业，挥发性有机物</w:t>
                  </w:r>
                  <w:r>
                    <w:rPr>
                      <w:rFonts w:hint="eastAsia"/>
                      <w:color w:val="auto"/>
                      <w:szCs w:val="21"/>
                    </w:rPr>
                    <w:t>处理工艺为“活性炭吸附</w:t>
                  </w:r>
                  <w:r>
                    <w:rPr>
                      <w:rFonts w:hint="eastAsia"/>
                      <w:color w:val="auto"/>
                      <w:szCs w:val="21"/>
                      <w:lang w:eastAsia="zh-CN"/>
                    </w:rPr>
                    <w:t>、</w:t>
                  </w:r>
                  <w:r>
                    <w:rPr>
                      <w:rFonts w:hint="eastAsia"/>
                      <w:color w:val="auto"/>
                      <w:szCs w:val="21"/>
                    </w:rPr>
                    <w:t>脱附+</w:t>
                  </w:r>
                  <w:r>
                    <w:rPr>
                      <w:rFonts w:hint="eastAsia"/>
                      <w:color w:val="auto"/>
                      <w:szCs w:val="21"/>
                      <w:lang w:val="en-US" w:eastAsia="zh-CN"/>
                    </w:rPr>
                    <w:t>催化燃烧</w:t>
                  </w:r>
                  <w:r>
                    <w:rPr>
                      <w:rFonts w:hint="eastAsia"/>
                      <w:color w:val="auto"/>
                      <w:szCs w:val="21"/>
                    </w:rPr>
                    <w:t>”</w:t>
                  </w:r>
                  <w:r>
                    <w:rPr>
                      <w:rFonts w:hint="eastAsia"/>
                      <w:color w:val="auto"/>
                      <w:szCs w:val="21"/>
                      <w:lang w:eastAsia="zh-CN"/>
                    </w:rPr>
                    <w:t>（</w:t>
                  </w:r>
                  <w:r>
                    <w:rPr>
                      <w:rFonts w:hint="eastAsia"/>
                      <w:color w:val="auto"/>
                      <w:szCs w:val="21"/>
                      <w:lang w:val="en-US" w:eastAsia="zh-CN"/>
                    </w:rPr>
                    <w:t>喷漆房设过滤棉</w:t>
                  </w:r>
                  <w:r>
                    <w:rPr>
                      <w:rFonts w:hint="eastAsia"/>
                      <w:color w:val="auto"/>
                      <w:szCs w:val="21"/>
                      <w:lang w:eastAsia="zh-CN"/>
                    </w:rPr>
                    <w:t>）</w:t>
                  </w:r>
                  <w:r>
                    <w:rPr>
                      <w:rFonts w:hint="eastAsia"/>
                      <w:color w:val="auto"/>
                      <w:szCs w:val="21"/>
                    </w:rPr>
                    <w:t>，定期更换的活性炭由园区集中处置中心进行处置</w:t>
                  </w:r>
                </w:p>
              </w:tc>
              <w:tc>
                <w:tcPr>
                  <w:tcW w:w="583" w:type="dxa"/>
                  <w:vAlign w:val="center"/>
                </w:tcPr>
                <w:p w14:paraId="77D3F5FA">
                  <w:pPr>
                    <w:pStyle w:val="24"/>
                    <w:adjustRightInd w:val="0"/>
                    <w:snapToGrid w:val="0"/>
                    <w:spacing w:after="0"/>
                    <w:ind w:left="0" w:leftChars="0" w:firstLine="0"/>
                    <w:jc w:val="center"/>
                    <w:rPr>
                      <w:bCs/>
                      <w:iCs/>
                      <w:color w:val="auto"/>
                      <w:szCs w:val="21"/>
                    </w:rPr>
                  </w:pPr>
                  <w:r>
                    <w:rPr>
                      <w:bCs/>
                      <w:iCs/>
                      <w:color w:val="auto"/>
                      <w:szCs w:val="21"/>
                    </w:rPr>
                    <w:t>相符</w:t>
                  </w:r>
                </w:p>
              </w:tc>
            </w:tr>
            <w:tr w14:paraId="0A56A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7" w:hRule="atLeast"/>
                <w:jc w:val="center"/>
              </w:trPr>
              <w:tc>
                <w:tcPr>
                  <w:tcW w:w="764" w:type="dxa"/>
                  <w:vMerge w:val="continue"/>
                  <w:vAlign w:val="center"/>
                </w:tcPr>
                <w:p w14:paraId="3541978D">
                  <w:pPr>
                    <w:pStyle w:val="24"/>
                    <w:adjustRightInd w:val="0"/>
                    <w:snapToGrid w:val="0"/>
                    <w:spacing w:after="0"/>
                    <w:ind w:left="0" w:leftChars="0" w:firstLine="0"/>
                    <w:jc w:val="center"/>
                    <w:rPr>
                      <w:bCs/>
                      <w:iCs/>
                      <w:color w:val="auto"/>
                      <w:szCs w:val="21"/>
                    </w:rPr>
                  </w:pPr>
                </w:p>
              </w:tc>
              <w:tc>
                <w:tcPr>
                  <w:tcW w:w="5707" w:type="dxa"/>
                  <w:vAlign w:val="center"/>
                </w:tcPr>
                <w:p w14:paraId="056E2C70">
                  <w:pPr>
                    <w:rPr>
                      <w:bCs/>
                      <w:iCs/>
                      <w:color w:val="auto"/>
                      <w:szCs w:val="21"/>
                    </w:rPr>
                  </w:pPr>
                  <w:r>
                    <w:rPr>
                      <w:bCs/>
                      <w:iCs/>
                      <w:color w:val="auto"/>
                      <w:szCs w:val="21"/>
                    </w:rPr>
                    <w:t>开展低效失效设施排查整治。对工业炉窑、锅炉、涉VOCs等重点行业全面开展低效失效大气污染理设施排查整治,按</w:t>
                  </w:r>
                  <w:r>
                    <w:rPr>
                      <w:rFonts w:hint="eastAsia" w:ascii="宋体" w:hAnsi="宋体" w:cs="宋体"/>
                      <w:bCs/>
                      <w:iCs/>
                      <w:color w:val="auto"/>
                      <w:szCs w:val="21"/>
                    </w:rPr>
                    <w:t>照“淘汰一批、整治一批、提升一批”的要求,制定排查整治方案,建立整治提升企业清单,重点关注水喷淋脱硫、简易碱法脱硫、简易氨法脱硫脱硝、微生物脱硝、单一水膜(浴)除尘、湿法脱硝除尘一体化等脱硫脱硝除尘工艺,单一低温等离子、光氧化、光催化、</w:t>
                  </w:r>
                  <w:r>
                    <w:rPr>
                      <w:bCs/>
                      <w:iCs/>
                      <w:color w:val="auto"/>
                      <w:szCs w:val="21"/>
                    </w:rPr>
                    <w:t>非水溶性VOCs废气采用单一水喷淋吸收等VOCs治理工艺及上述工艺的组合</w:t>
                  </w:r>
                  <w:r>
                    <w:rPr>
                      <w:rFonts w:hint="eastAsia" w:ascii="宋体" w:hAnsi="宋体" w:cs="宋体"/>
                      <w:bCs/>
                      <w:iCs/>
                      <w:color w:val="auto"/>
                      <w:szCs w:val="21"/>
                    </w:rPr>
                    <w:t>(异味治理除外)，处理机制不明、无法通过药剂或副产物进行污染物脱除效果评估的治理工艺，对无法稳定达标排放的，通过更换适</w:t>
                  </w:r>
                  <w:r>
                    <w:rPr>
                      <w:bCs/>
                      <w:iCs/>
                      <w:color w:val="auto"/>
                      <w:szCs w:val="21"/>
                    </w:rPr>
                    <w:t>宜高效治理工艺、清洁能源替代、原辅材料源头替代、关停淘汰等方式实施分类整治。对人工投加脱硫脱硝剂的简易设施实施自动化改造，取缔直接向烟道内喷洒脱硫脱硝剂等敷衍式治理工艺。2024年10月底前完成排查，对于能立行立改的问题，督促企业尽快整改</w:t>
                  </w:r>
                  <w:r>
                    <w:rPr>
                      <w:rFonts w:hint="eastAsia" w:ascii="宋体" w:hAnsi="宋体" w:cs="宋体"/>
                      <w:bCs/>
                      <w:iCs/>
                      <w:color w:val="auto"/>
                      <w:szCs w:val="21"/>
                    </w:rPr>
                    <w:t>到位；确需一定整改周期的，明确提升改造措施和时限，未按时完成提</w:t>
                  </w:r>
                  <w:r>
                    <w:rPr>
                      <w:bCs/>
                      <w:iCs/>
                      <w:color w:val="auto"/>
                      <w:szCs w:val="21"/>
                    </w:rPr>
                    <w:t>升改造的纳入秋冬季生产调控范围。</w:t>
                  </w:r>
                </w:p>
              </w:tc>
              <w:tc>
                <w:tcPr>
                  <w:tcW w:w="1661" w:type="dxa"/>
                  <w:vAlign w:val="center"/>
                </w:tcPr>
                <w:p w14:paraId="53669D01">
                  <w:pPr>
                    <w:pStyle w:val="24"/>
                    <w:adjustRightInd w:val="0"/>
                    <w:snapToGrid w:val="0"/>
                    <w:spacing w:after="0"/>
                    <w:ind w:left="0" w:leftChars="0" w:firstLine="0"/>
                    <w:jc w:val="center"/>
                    <w:rPr>
                      <w:bCs/>
                      <w:iCs/>
                      <w:color w:val="auto"/>
                      <w:szCs w:val="21"/>
                    </w:rPr>
                  </w:pPr>
                  <w:r>
                    <w:rPr>
                      <w:rFonts w:hint="eastAsia"/>
                      <w:bCs/>
                      <w:iCs/>
                      <w:color w:val="auto"/>
                      <w:szCs w:val="21"/>
                    </w:rPr>
                    <w:t>本项目属于家具制造业，挥发性有机物</w:t>
                  </w:r>
                  <w:r>
                    <w:rPr>
                      <w:rFonts w:hint="eastAsia"/>
                      <w:color w:val="auto"/>
                      <w:szCs w:val="21"/>
                    </w:rPr>
                    <w:t>处理工艺为“活性炭吸附</w:t>
                  </w:r>
                  <w:r>
                    <w:rPr>
                      <w:rFonts w:hint="eastAsia"/>
                      <w:color w:val="auto"/>
                      <w:szCs w:val="21"/>
                      <w:lang w:eastAsia="zh-CN"/>
                    </w:rPr>
                    <w:t>、</w:t>
                  </w:r>
                  <w:r>
                    <w:rPr>
                      <w:rFonts w:hint="eastAsia"/>
                      <w:color w:val="auto"/>
                      <w:szCs w:val="21"/>
                    </w:rPr>
                    <w:t>脱附+</w:t>
                  </w:r>
                  <w:r>
                    <w:rPr>
                      <w:rFonts w:hint="eastAsia"/>
                      <w:color w:val="auto"/>
                      <w:szCs w:val="21"/>
                      <w:lang w:val="en-US" w:eastAsia="zh-CN"/>
                    </w:rPr>
                    <w:t>催化燃烧</w:t>
                  </w:r>
                  <w:r>
                    <w:rPr>
                      <w:rFonts w:hint="eastAsia"/>
                      <w:color w:val="auto"/>
                      <w:szCs w:val="21"/>
                    </w:rPr>
                    <w:t>”</w:t>
                  </w:r>
                  <w:r>
                    <w:rPr>
                      <w:rFonts w:hint="eastAsia"/>
                      <w:color w:val="auto"/>
                      <w:szCs w:val="21"/>
                      <w:lang w:eastAsia="zh-CN"/>
                    </w:rPr>
                    <w:t>（</w:t>
                  </w:r>
                  <w:r>
                    <w:rPr>
                      <w:rFonts w:hint="eastAsia"/>
                      <w:color w:val="auto"/>
                      <w:szCs w:val="21"/>
                      <w:lang w:val="en-US" w:eastAsia="zh-CN"/>
                    </w:rPr>
                    <w:t>喷漆房设过滤棉</w:t>
                  </w:r>
                  <w:r>
                    <w:rPr>
                      <w:rFonts w:hint="eastAsia"/>
                      <w:color w:val="auto"/>
                      <w:szCs w:val="21"/>
                      <w:lang w:eastAsia="zh-CN"/>
                    </w:rPr>
                    <w:t>）</w:t>
                  </w:r>
                  <w:r>
                    <w:rPr>
                      <w:rFonts w:hint="eastAsia"/>
                      <w:color w:val="auto"/>
                      <w:szCs w:val="21"/>
                    </w:rPr>
                    <w:t>，不属于单一的</w:t>
                  </w:r>
                  <w:r>
                    <w:rPr>
                      <w:bCs/>
                      <w:iCs/>
                      <w:color w:val="auto"/>
                      <w:szCs w:val="21"/>
                    </w:rPr>
                    <w:t>VOCs治理工艺</w:t>
                  </w:r>
                </w:p>
              </w:tc>
              <w:tc>
                <w:tcPr>
                  <w:tcW w:w="583" w:type="dxa"/>
                  <w:vMerge w:val="restart"/>
                  <w:vAlign w:val="center"/>
                </w:tcPr>
                <w:p w14:paraId="2F79432E">
                  <w:pPr>
                    <w:jc w:val="center"/>
                    <w:rPr>
                      <w:bCs/>
                      <w:iCs/>
                      <w:color w:val="auto"/>
                      <w:szCs w:val="21"/>
                    </w:rPr>
                  </w:pPr>
                  <w:r>
                    <w:rPr>
                      <w:bCs/>
                      <w:iCs/>
                      <w:color w:val="auto"/>
                      <w:szCs w:val="21"/>
                    </w:rPr>
                    <w:t>相符</w:t>
                  </w:r>
                </w:p>
              </w:tc>
            </w:tr>
            <w:tr w14:paraId="6F4DD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jc w:val="center"/>
              </w:trPr>
              <w:tc>
                <w:tcPr>
                  <w:tcW w:w="764" w:type="dxa"/>
                  <w:vMerge w:val="continue"/>
                  <w:vAlign w:val="center"/>
                </w:tcPr>
                <w:p w14:paraId="6E456909">
                  <w:pPr>
                    <w:pStyle w:val="24"/>
                    <w:adjustRightInd w:val="0"/>
                    <w:snapToGrid w:val="0"/>
                    <w:spacing w:after="0"/>
                    <w:ind w:left="0" w:leftChars="0" w:firstLine="0"/>
                    <w:jc w:val="center"/>
                    <w:rPr>
                      <w:bCs/>
                      <w:iCs/>
                      <w:color w:val="auto"/>
                      <w:szCs w:val="21"/>
                    </w:rPr>
                  </w:pPr>
                </w:p>
              </w:tc>
              <w:tc>
                <w:tcPr>
                  <w:tcW w:w="5707" w:type="dxa"/>
                  <w:vAlign w:val="center"/>
                </w:tcPr>
                <w:p w14:paraId="455FCC21">
                  <w:pPr>
                    <w:rPr>
                      <w:bCs/>
                      <w:iCs/>
                      <w:color w:val="auto"/>
                      <w:szCs w:val="21"/>
                    </w:rPr>
                  </w:pPr>
                  <w:r>
                    <w:rPr>
                      <w:color w:val="auto"/>
                    </w:rPr>
                    <w:t>实施挥发性有机物综合治理。按</w:t>
                  </w:r>
                  <w:r>
                    <w:rPr>
                      <w:rFonts w:hint="eastAsia" w:ascii="宋体" w:hAnsi="宋体" w:cs="宋体"/>
                      <w:color w:val="auto"/>
                    </w:rPr>
                    <w:t>照“可替尽替、应代尽代”</w:t>
                  </w:r>
                  <w:r>
                    <w:rPr>
                      <w:color w:val="auto"/>
                    </w:rPr>
                    <w:t>的原则，加快推进低VOCs含量原辅材料替代，加强VOCs全流程综合治理，加大蓄热式氧化燃烧(RTO)、蓄热式催化燃烧(RCO)、催化燃烧(CO)、沸石转轮吸附浓缩等高效治理技术推广力度</w:t>
                  </w:r>
                  <w:r>
                    <w:rPr>
                      <w:rFonts w:hint="eastAsia"/>
                      <w:color w:val="auto"/>
                    </w:rPr>
                    <w:t>；</w:t>
                  </w:r>
                  <w:r>
                    <w:rPr>
                      <w:color w:val="auto"/>
                    </w:rPr>
                    <w:t>对企业含VOCs有机废水储罐、装置区集水井(池)完成有机废气收集密闭化改造</w:t>
                  </w:r>
                  <w:r>
                    <w:rPr>
                      <w:rFonts w:hint="eastAsia" w:ascii="宋体" w:hAnsi="宋体" w:cs="宋体"/>
                      <w:color w:val="auto"/>
                    </w:rPr>
                    <w:t>；对企业活性炭装填量、更换周期实施编码登记，实现从购买、更换到处置的全过程可回溯管理；对污水处理场排放的高浓度有机废气实施单独收集处理；具备改造条件的挥发性有机液体储罐改用低泄漏的储罐呼吸阀、紧急泄压阀，汽车罐车改用自封式快速接头；加强火炬燃烧装置监管，</w:t>
                  </w:r>
                  <w:r>
                    <w:rPr>
                      <w:color w:val="auto"/>
                    </w:rPr>
                    <w:t>火炬系统、煤气放散管安装温度监控、废气流量计、助燃气体流量计，相关数据接入DCS系统</w:t>
                  </w:r>
                  <w:r>
                    <w:rPr>
                      <w:rFonts w:hint="eastAsia"/>
                      <w:color w:val="auto"/>
                    </w:rPr>
                    <w:t>；</w:t>
                  </w:r>
                  <w:r>
                    <w:rPr>
                      <w:color w:val="auto"/>
                    </w:rPr>
                    <w:t>督促46家企业按规定开展VOCs泄漏检测与修复工作，针对石化、化工行业建立统一的泄漏检测与修复信息管理平台。结合日常监管情况，动态管理涉VOCs企业综合治理清单台账，12月底前完成9家涉VOCs企业综合治理，全面提升企业VOCs治理水平。</w:t>
                  </w:r>
                </w:p>
              </w:tc>
              <w:tc>
                <w:tcPr>
                  <w:tcW w:w="1661" w:type="dxa"/>
                  <w:vAlign w:val="center"/>
                </w:tcPr>
                <w:p w14:paraId="4F30089B">
                  <w:pPr>
                    <w:pStyle w:val="24"/>
                    <w:adjustRightInd w:val="0"/>
                    <w:snapToGrid w:val="0"/>
                    <w:spacing w:after="0"/>
                    <w:ind w:left="0" w:leftChars="0" w:firstLine="0"/>
                    <w:jc w:val="center"/>
                    <w:rPr>
                      <w:bCs/>
                      <w:iCs/>
                      <w:color w:val="auto"/>
                      <w:szCs w:val="21"/>
                    </w:rPr>
                  </w:pPr>
                  <w:r>
                    <w:rPr>
                      <w:bCs/>
                      <w:color w:val="auto"/>
                      <w:szCs w:val="21"/>
                    </w:rPr>
                    <w:t>本项目</w:t>
                  </w:r>
                  <w:r>
                    <w:rPr>
                      <w:rFonts w:hint="eastAsia"/>
                      <w:bCs/>
                      <w:color w:val="auto"/>
                      <w:szCs w:val="21"/>
                    </w:rPr>
                    <w:t>使用低</w:t>
                  </w:r>
                  <w:r>
                    <w:rPr>
                      <w:color w:val="auto"/>
                    </w:rPr>
                    <w:t>VOCs含量原辅材料</w:t>
                  </w:r>
                  <w:r>
                    <w:rPr>
                      <w:rFonts w:hint="eastAsia"/>
                      <w:color w:val="auto"/>
                    </w:rPr>
                    <w:t>，废气采用</w:t>
                  </w:r>
                  <w:r>
                    <w:rPr>
                      <w:color w:val="auto"/>
                    </w:rPr>
                    <w:t>蓄热式催化燃烧(RCO)</w:t>
                  </w:r>
                  <w:r>
                    <w:rPr>
                      <w:rFonts w:hint="eastAsia"/>
                      <w:color w:val="auto"/>
                    </w:rPr>
                    <w:t>进行处理</w:t>
                  </w:r>
                </w:p>
              </w:tc>
              <w:tc>
                <w:tcPr>
                  <w:tcW w:w="583" w:type="dxa"/>
                  <w:vMerge w:val="continue"/>
                  <w:vAlign w:val="center"/>
                </w:tcPr>
                <w:p w14:paraId="6CE33633">
                  <w:pPr>
                    <w:jc w:val="center"/>
                    <w:rPr>
                      <w:bCs/>
                      <w:iCs/>
                      <w:color w:val="auto"/>
                      <w:szCs w:val="21"/>
                    </w:rPr>
                  </w:pPr>
                </w:p>
              </w:tc>
            </w:tr>
            <w:tr w14:paraId="20632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5" w:hRule="atLeast"/>
                <w:jc w:val="center"/>
              </w:trPr>
              <w:tc>
                <w:tcPr>
                  <w:tcW w:w="764" w:type="dxa"/>
                  <w:vAlign w:val="center"/>
                </w:tcPr>
                <w:p w14:paraId="5F6E7602">
                  <w:pPr>
                    <w:pStyle w:val="24"/>
                    <w:adjustRightInd w:val="0"/>
                    <w:snapToGrid w:val="0"/>
                    <w:spacing w:after="0"/>
                    <w:ind w:left="0" w:leftChars="0" w:firstLine="0"/>
                    <w:jc w:val="center"/>
                    <w:rPr>
                      <w:bCs/>
                      <w:iCs/>
                      <w:color w:val="auto"/>
                      <w:szCs w:val="21"/>
                    </w:rPr>
                  </w:pPr>
                  <w:r>
                    <w:rPr>
                      <w:bCs/>
                      <w:iCs/>
                      <w:color w:val="auto"/>
                      <w:szCs w:val="21"/>
                    </w:rPr>
                    <w:t>濮阳市2024年碧水保卫战实施方案</w:t>
                  </w:r>
                </w:p>
              </w:tc>
              <w:tc>
                <w:tcPr>
                  <w:tcW w:w="5707" w:type="dxa"/>
                  <w:vAlign w:val="center"/>
                </w:tcPr>
                <w:p w14:paraId="5A6C4036">
                  <w:pPr>
                    <w:rPr>
                      <w:bCs/>
                      <w:iCs/>
                      <w:color w:val="auto"/>
                      <w:szCs w:val="21"/>
                    </w:rPr>
                  </w:pPr>
                  <w:r>
                    <w:rPr>
                      <w:bCs/>
                      <w:iCs/>
                      <w:color w:val="auto"/>
                      <w:szCs w:val="21"/>
                    </w:rPr>
                    <w:t>深化工业园区水污染整治。开展工业园区污水收集处理能力、污水资源化利用能力、监测监管能力提升行动和化工园区“污水零直排”建设行动</w:t>
                  </w:r>
                  <w:r>
                    <w:rPr>
                      <w:rFonts w:hint="eastAsia"/>
                      <w:bCs/>
                      <w:iCs/>
                      <w:color w:val="auto"/>
                      <w:szCs w:val="21"/>
                    </w:rPr>
                    <w:t>，</w:t>
                  </w:r>
                  <w:r>
                    <w:rPr>
                      <w:bCs/>
                      <w:iCs/>
                      <w:color w:val="auto"/>
                      <w:szCs w:val="21"/>
                    </w:rPr>
                    <w:t>补齐园区污水收集处理设施短板。到2024年年底</w:t>
                  </w:r>
                  <w:r>
                    <w:rPr>
                      <w:rFonts w:hint="eastAsia"/>
                      <w:bCs/>
                      <w:iCs/>
                      <w:color w:val="auto"/>
                      <w:szCs w:val="21"/>
                    </w:rPr>
                    <w:t>，</w:t>
                  </w:r>
                  <w:r>
                    <w:rPr>
                      <w:bCs/>
                      <w:iCs/>
                      <w:color w:val="auto"/>
                      <w:szCs w:val="21"/>
                    </w:rPr>
                    <w:t>化工园区基本建成独立专业化工生产废水集中处理设施(或依托骨干企业)</w:t>
                  </w:r>
                  <w:r>
                    <w:rPr>
                      <w:rFonts w:hint="eastAsia"/>
                      <w:bCs/>
                      <w:iCs/>
                      <w:color w:val="auto"/>
                      <w:szCs w:val="21"/>
                    </w:rPr>
                    <w:t>；</w:t>
                  </w:r>
                  <w:r>
                    <w:rPr>
                      <w:bCs/>
                      <w:iCs/>
                      <w:color w:val="auto"/>
                      <w:szCs w:val="21"/>
                    </w:rPr>
                    <w:t>国家级工业园区配套的污水管网质量和污水收集效能明显提升。根据中央生态环境保护督察整改要求</w:t>
                  </w:r>
                  <w:r>
                    <w:rPr>
                      <w:rFonts w:hint="eastAsia"/>
                      <w:bCs/>
                      <w:iCs/>
                      <w:color w:val="auto"/>
                      <w:szCs w:val="21"/>
                    </w:rPr>
                    <w:t>，</w:t>
                  </w:r>
                  <w:r>
                    <w:rPr>
                      <w:bCs/>
                      <w:iCs/>
                      <w:color w:val="auto"/>
                      <w:szCs w:val="21"/>
                    </w:rPr>
                    <w:t>重点推动濮阳工业园区污水处理厂建设</w:t>
                  </w:r>
                  <w:r>
                    <w:rPr>
                      <w:rFonts w:hint="eastAsia"/>
                      <w:bCs/>
                      <w:iCs/>
                      <w:color w:val="auto"/>
                      <w:szCs w:val="21"/>
                    </w:rPr>
                    <w:t>，</w:t>
                  </w:r>
                  <w:r>
                    <w:rPr>
                      <w:bCs/>
                      <w:iCs/>
                      <w:color w:val="auto"/>
                      <w:szCs w:val="21"/>
                    </w:rPr>
                    <w:t>实现工业废水应收尽收集中处置。</w:t>
                  </w:r>
                </w:p>
              </w:tc>
              <w:tc>
                <w:tcPr>
                  <w:tcW w:w="1661" w:type="dxa"/>
                  <w:vAlign w:val="center"/>
                </w:tcPr>
                <w:p w14:paraId="195EBE9E">
                  <w:pPr>
                    <w:pStyle w:val="24"/>
                    <w:adjustRightInd w:val="0"/>
                    <w:snapToGrid w:val="0"/>
                    <w:spacing w:after="0"/>
                    <w:ind w:left="0" w:leftChars="0" w:firstLine="0"/>
                    <w:jc w:val="center"/>
                    <w:rPr>
                      <w:bCs/>
                      <w:iCs/>
                      <w:color w:val="auto"/>
                      <w:szCs w:val="21"/>
                    </w:rPr>
                  </w:pPr>
                  <w:r>
                    <w:rPr>
                      <w:bCs/>
                      <w:iCs/>
                      <w:color w:val="auto"/>
                      <w:szCs w:val="21"/>
                    </w:rPr>
                    <w:t>本项目</w:t>
                  </w:r>
                  <w:r>
                    <w:rPr>
                      <w:rFonts w:hint="eastAsia"/>
                      <w:bCs/>
                      <w:iCs/>
                      <w:color w:val="auto"/>
                      <w:szCs w:val="21"/>
                      <w:lang w:val="en-US" w:eastAsia="zh-CN"/>
                    </w:rPr>
                    <w:t>制备废水和</w:t>
                  </w:r>
                  <w:r>
                    <w:rPr>
                      <w:rFonts w:hint="eastAsia"/>
                      <w:bCs/>
                      <w:iCs/>
                      <w:color w:val="auto"/>
                      <w:szCs w:val="21"/>
                    </w:rPr>
                    <w:t>生活污水</w:t>
                  </w:r>
                  <w:r>
                    <w:rPr>
                      <w:rFonts w:hint="eastAsia"/>
                      <w:bCs/>
                      <w:iCs/>
                      <w:color w:val="auto"/>
                      <w:szCs w:val="21"/>
                      <w:lang w:val="en-US" w:eastAsia="zh-CN"/>
                    </w:rPr>
                    <w:t>一起</w:t>
                  </w:r>
                  <w:r>
                    <w:rPr>
                      <w:rFonts w:hint="eastAsia"/>
                      <w:bCs/>
                      <w:iCs/>
                      <w:color w:val="auto"/>
                      <w:szCs w:val="21"/>
                    </w:rPr>
                    <w:t>经</w:t>
                  </w:r>
                  <w:r>
                    <w:rPr>
                      <w:rFonts w:hint="eastAsia"/>
                      <w:bCs/>
                      <w:iCs/>
                      <w:color w:val="auto"/>
                      <w:szCs w:val="21"/>
                      <w:lang w:val="en-US" w:eastAsia="zh-CN"/>
                    </w:rPr>
                    <w:t>自建化粪池（12m</w:t>
                  </w:r>
                  <w:r>
                    <w:rPr>
                      <w:rFonts w:hint="eastAsia"/>
                      <w:bCs/>
                      <w:iCs/>
                      <w:color w:val="auto"/>
                      <w:szCs w:val="21"/>
                      <w:vertAlign w:val="superscript"/>
                      <w:lang w:val="en-US" w:eastAsia="zh-CN"/>
                    </w:rPr>
                    <w:t>3</w:t>
                  </w:r>
                  <w:r>
                    <w:rPr>
                      <w:rFonts w:hint="eastAsia"/>
                      <w:bCs/>
                      <w:iCs/>
                      <w:color w:val="auto"/>
                      <w:szCs w:val="21"/>
                      <w:lang w:val="en-US" w:eastAsia="zh-CN"/>
                    </w:rPr>
                    <w:t>）</w:t>
                  </w:r>
                  <w:r>
                    <w:rPr>
                      <w:rFonts w:hint="eastAsia"/>
                      <w:bCs/>
                      <w:iCs/>
                      <w:color w:val="auto"/>
                      <w:szCs w:val="21"/>
                    </w:rPr>
                    <w:t>处理后清丰中州水务有限公司第二污水处理厂</w:t>
                  </w:r>
                </w:p>
              </w:tc>
              <w:tc>
                <w:tcPr>
                  <w:tcW w:w="583" w:type="dxa"/>
                  <w:vAlign w:val="center"/>
                </w:tcPr>
                <w:p w14:paraId="30BF22C2">
                  <w:pPr>
                    <w:jc w:val="center"/>
                    <w:rPr>
                      <w:bCs/>
                      <w:iCs/>
                      <w:color w:val="auto"/>
                      <w:szCs w:val="21"/>
                    </w:rPr>
                  </w:pPr>
                  <w:r>
                    <w:rPr>
                      <w:bCs/>
                      <w:iCs/>
                      <w:color w:val="auto"/>
                      <w:szCs w:val="21"/>
                    </w:rPr>
                    <w:t>相符</w:t>
                  </w:r>
                </w:p>
              </w:tc>
            </w:tr>
            <w:tr w14:paraId="2FBEB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 w:hRule="atLeast"/>
                <w:jc w:val="center"/>
              </w:trPr>
              <w:tc>
                <w:tcPr>
                  <w:tcW w:w="764" w:type="dxa"/>
                  <w:vMerge w:val="restart"/>
                  <w:vAlign w:val="center"/>
                </w:tcPr>
                <w:p w14:paraId="543EC73E">
                  <w:pPr>
                    <w:pStyle w:val="24"/>
                    <w:adjustRightInd w:val="0"/>
                    <w:snapToGrid w:val="0"/>
                    <w:spacing w:after="0"/>
                    <w:ind w:left="0" w:leftChars="0" w:firstLine="0"/>
                    <w:jc w:val="center"/>
                    <w:rPr>
                      <w:bCs/>
                      <w:iCs/>
                      <w:color w:val="auto"/>
                      <w:szCs w:val="21"/>
                    </w:rPr>
                  </w:pPr>
                  <w:r>
                    <w:rPr>
                      <w:bCs/>
                      <w:iCs/>
                      <w:color w:val="auto"/>
                      <w:szCs w:val="21"/>
                    </w:rPr>
                    <w:t>濮阳市2024年净土保卫战实施方案</w:t>
                  </w:r>
                </w:p>
              </w:tc>
              <w:tc>
                <w:tcPr>
                  <w:tcW w:w="5707" w:type="dxa"/>
                  <w:vAlign w:val="top"/>
                </w:tcPr>
                <w:p w14:paraId="05E889D3">
                  <w:pPr>
                    <w:rPr>
                      <w:bCs/>
                      <w:iCs/>
                      <w:color w:val="auto"/>
                      <w:szCs w:val="21"/>
                    </w:rPr>
                  </w:pPr>
                  <w:r>
                    <w:rPr>
                      <w:bCs/>
                      <w:iCs/>
                      <w:color w:val="auto"/>
                      <w:szCs w:val="21"/>
                    </w:rPr>
                    <w:t>强化在产企业土壤污染源头防控。完成土壤污染重点监管单位名录更新,并向社会公开。指导新纳入的重点监管单位本年度内开展一次隐患排查、自行监测。做好土壤污染重点监管单位隐患排查“回头看”工作,并将隐患排查报告及相关材料上传至重点监管单位土壤和地下水环境管理信息系统,6月底前完成市级抽查,抽查比例不低于20%。重点对石油加工、化工、铅蓄电池制造、危险废物处置等行业企业组织开展隐患排查监督检查。</w:t>
                  </w:r>
                </w:p>
              </w:tc>
              <w:tc>
                <w:tcPr>
                  <w:tcW w:w="1661" w:type="dxa"/>
                  <w:vAlign w:val="center"/>
                </w:tcPr>
                <w:p w14:paraId="45E53999">
                  <w:pPr>
                    <w:pStyle w:val="24"/>
                    <w:adjustRightInd w:val="0"/>
                    <w:snapToGrid w:val="0"/>
                    <w:spacing w:after="0"/>
                    <w:ind w:left="0" w:leftChars="0" w:firstLine="0"/>
                    <w:jc w:val="center"/>
                    <w:rPr>
                      <w:bCs/>
                      <w:iCs/>
                      <w:color w:val="auto"/>
                      <w:szCs w:val="21"/>
                    </w:rPr>
                  </w:pPr>
                  <w:r>
                    <w:rPr>
                      <w:bCs/>
                      <w:iCs/>
                      <w:color w:val="auto"/>
                      <w:szCs w:val="21"/>
                    </w:rPr>
                    <w:t>本项目</w:t>
                  </w:r>
                  <w:r>
                    <w:rPr>
                      <w:rFonts w:hint="eastAsia"/>
                      <w:bCs/>
                      <w:iCs/>
                      <w:color w:val="auto"/>
                      <w:szCs w:val="21"/>
                    </w:rPr>
                    <w:t>地面全部进行硬化处理，厂区内进行分区防渗，从源头防控土壤污染。</w:t>
                  </w:r>
                </w:p>
              </w:tc>
              <w:tc>
                <w:tcPr>
                  <w:tcW w:w="583" w:type="dxa"/>
                  <w:vAlign w:val="center"/>
                </w:tcPr>
                <w:p w14:paraId="6958DFFA">
                  <w:pPr>
                    <w:pStyle w:val="24"/>
                    <w:adjustRightInd w:val="0"/>
                    <w:snapToGrid w:val="0"/>
                    <w:spacing w:after="0"/>
                    <w:ind w:left="0" w:leftChars="0" w:firstLine="0"/>
                    <w:jc w:val="center"/>
                    <w:rPr>
                      <w:bCs/>
                      <w:iCs/>
                      <w:color w:val="auto"/>
                      <w:szCs w:val="21"/>
                    </w:rPr>
                  </w:pPr>
                  <w:r>
                    <w:rPr>
                      <w:bCs/>
                      <w:iCs/>
                      <w:color w:val="auto"/>
                      <w:szCs w:val="21"/>
                    </w:rPr>
                    <w:t>相符</w:t>
                  </w:r>
                </w:p>
              </w:tc>
            </w:tr>
            <w:tr w14:paraId="59E0B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0" w:hRule="atLeast"/>
                <w:jc w:val="center"/>
              </w:trPr>
              <w:tc>
                <w:tcPr>
                  <w:tcW w:w="764" w:type="dxa"/>
                  <w:vMerge w:val="continue"/>
                  <w:vAlign w:val="center"/>
                </w:tcPr>
                <w:p w14:paraId="61281512">
                  <w:pPr>
                    <w:pStyle w:val="24"/>
                    <w:adjustRightInd w:val="0"/>
                    <w:snapToGrid w:val="0"/>
                    <w:spacing w:after="0"/>
                    <w:ind w:left="0" w:leftChars="0" w:firstLine="0"/>
                    <w:jc w:val="center"/>
                    <w:rPr>
                      <w:bCs/>
                      <w:iCs/>
                      <w:color w:val="auto"/>
                      <w:szCs w:val="21"/>
                    </w:rPr>
                  </w:pPr>
                </w:p>
              </w:tc>
              <w:tc>
                <w:tcPr>
                  <w:tcW w:w="5707" w:type="dxa"/>
                  <w:vAlign w:val="top"/>
                </w:tcPr>
                <w:p w14:paraId="2E716371">
                  <w:pPr>
                    <w:rPr>
                      <w:bCs/>
                      <w:iCs/>
                      <w:color w:val="auto"/>
                      <w:szCs w:val="21"/>
                    </w:rPr>
                  </w:pPr>
                  <w:r>
                    <w:rPr>
                      <w:bCs/>
                      <w:iCs/>
                      <w:color w:val="auto"/>
                      <w:szCs w:val="21"/>
                    </w:rPr>
                    <w:t>持续创新危险废物环境监管方式,建立健全危险废物监管责任制度。探索建立综合处置企业行业自律机制。选取3家典型危险废物利用、处置企业作为市级危险废物安全生产标杆企业,引领示范全市危险废物安全生产。提升危险废物规范化管理水平,实施危险废物规范化环境管理评估。开展危险废物自行利用处置专项整治行动。加强废弃电器电子产品拆解监管。</w:t>
                  </w:r>
                </w:p>
              </w:tc>
              <w:tc>
                <w:tcPr>
                  <w:tcW w:w="1661" w:type="dxa"/>
                  <w:vAlign w:val="center"/>
                </w:tcPr>
                <w:p w14:paraId="3AF8F238">
                  <w:pPr>
                    <w:pStyle w:val="24"/>
                    <w:adjustRightInd w:val="0"/>
                    <w:snapToGrid w:val="0"/>
                    <w:spacing w:after="0"/>
                    <w:ind w:left="0" w:leftChars="0" w:firstLine="0"/>
                    <w:jc w:val="center"/>
                    <w:rPr>
                      <w:bCs/>
                      <w:iCs/>
                      <w:color w:val="auto"/>
                      <w:szCs w:val="21"/>
                    </w:rPr>
                  </w:pPr>
                  <w:r>
                    <w:rPr>
                      <w:rFonts w:hint="eastAsia"/>
                      <w:bCs/>
                      <w:iCs/>
                      <w:color w:val="auto"/>
                      <w:szCs w:val="21"/>
                    </w:rPr>
                    <w:t>本项目产生的危险废物应严格按照危险废物管理制度执行</w:t>
                  </w:r>
                </w:p>
              </w:tc>
              <w:tc>
                <w:tcPr>
                  <w:tcW w:w="583" w:type="dxa"/>
                  <w:vAlign w:val="center"/>
                </w:tcPr>
                <w:p w14:paraId="1F155102">
                  <w:pPr>
                    <w:pStyle w:val="24"/>
                    <w:adjustRightInd w:val="0"/>
                    <w:snapToGrid w:val="0"/>
                    <w:spacing w:after="0"/>
                    <w:ind w:left="0" w:leftChars="0" w:firstLine="0"/>
                    <w:jc w:val="center"/>
                    <w:rPr>
                      <w:bCs/>
                      <w:iCs/>
                      <w:color w:val="auto"/>
                      <w:szCs w:val="21"/>
                    </w:rPr>
                  </w:pPr>
                  <w:r>
                    <w:rPr>
                      <w:bCs/>
                      <w:iCs/>
                      <w:color w:val="auto"/>
                      <w:szCs w:val="21"/>
                    </w:rPr>
                    <w:t>相符</w:t>
                  </w:r>
                </w:p>
              </w:tc>
            </w:tr>
          </w:tbl>
          <w:p w14:paraId="2E5C9810">
            <w:pPr>
              <w:spacing w:line="360" w:lineRule="auto"/>
              <w:ind w:firstLine="480" w:firstLineChars="200"/>
              <w:rPr>
                <w:color w:val="auto"/>
                <w:sz w:val="24"/>
              </w:rPr>
            </w:pPr>
            <w:r>
              <w:rPr>
                <w:color w:val="auto"/>
                <w:sz w:val="24"/>
              </w:rPr>
              <w:t>由上表</w:t>
            </w:r>
            <w:r>
              <w:rPr>
                <w:rFonts w:hint="eastAsia"/>
                <w:color w:val="auto"/>
                <w:sz w:val="24"/>
              </w:rPr>
              <w:t>可知</w:t>
            </w:r>
            <w:r>
              <w:rPr>
                <w:color w:val="auto"/>
                <w:sz w:val="24"/>
              </w:rPr>
              <w:t>，本项目</w:t>
            </w:r>
            <w:r>
              <w:rPr>
                <w:rFonts w:hint="eastAsia"/>
                <w:color w:val="auto"/>
                <w:sz w:val="24"/>
              </w:rPr>
              <w:t>符合</w:t>
            </w:r>
            <w:r>
              <w:rPr>
                <w:color w:val="auto"/>
                <w:sz w:val="24"/>
              </w:rPr>
              <w:t>《濮阳市2024年蓝天保卫战实施方案》</w:t>
            </w:r>
            <w:r>
              <w:rPr>
                <w:rFonts w:hint="eastAsia"/>
                <w:color w:val="auto"/>
                <w:sz w:val="24"/>
              </w:rPr>
              <w:t>、</w:t>
            </w:r>
            <w:r>
              <w:rPr>
                <w:color w:val="auto"/>
                <w:sz w:val="24"/>
              </w:rPr>
              <w:t>《濮阳市2024年碧水保卫战实施方案》</w:t>
            </w:r>
            <w:r>
              <w:rPr>
                <w:rFonts w:hint="eastAsia"/>
                <w:color w:val="auto"/>
                <w:sz w:val="24"/>
              </w:rPr>
              <w:t>、</w:t>
            </w:r>
            <w:r>
              <w:rPr>
                <w:color w:val="auto"/>
                <w:sz w:val="24"/>
              </w:rPr>
              <w:t>《濮阳市2024年净土保卫战实施方案》</w:t>
            </w:r>
            <w:r>
              <w:rPr>
                <w:rFonts w:hint="eastAsia"/>
                <w:color w:val="auto"/>
                <w:sz w:val="24"/>
              </w:rPr>
              <w:t>相关要求</w:t>
            </w:r>
            <w:r>
              <w:rPr>
                <w:color w:val="auto"/>
                <w:sz w:val="24"/>
              </w:rPr>
              <w:t>。</w:t>
            </w:r>
          </w:p>
          <w:p w14:paraId="14E317FA">
            <w:pPr>
              <w:keepNext/>
              <w:keepLines/>
              <w:tabs>
                <w:tab w:val="left" w:pos="420"/>
              </w:tabs>
              <w:snapToGrid w:val="0"/>
              <w:spacing w:line="360" w:lineRule="auto"/>
              <w:rPr>
                <w:b/>
                <w:bCs/>
                <w:color w:val="auto"/>
                <w:sz w:val="24"/>
              </w:rPr>
            </w:pPr>
            <w:r>
              <w:rPr>
                <w:rFonts w:hint="eastAsia"/>
                <w:b/>
                <w:bCs/>
                <w:color w:val="auto"/>
                <w:sz w:val="24"/>
                <w:lang w:val="en-US" w:eastAsia="zh-CN"/>
              </w:rPr>
              <w:t>7</w:t>
            </w:r>
            <w:r>
              <w:rPr>
                <w:b/>
                <w:bCs/>
                <w:color w:val="auto"/>
                <w:sz w:val="24"/>
              </w:rPr>
              <w:t>、与《关于全面加强挥发性有机物污染治理的通知》（豫环办〔2022〕24号）相符性分析</w:t>
            </w:r>
          </w:p>
          <w:p w14:paraId="5817E613">
            <w:pPr>
              <w:pStyle w:val="46"/>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eastAsia" w:ascii="Times New Roman" w:hAnsi="Arial Unicode MS" w:eastAsia="宋体" w:cs="Times New Roman"/>
                <w:b/>
                <w:color w:val="auto"/>
                <w:kern w:val="2"/>
                <w:sz w:val="24"/>
                <w:szCs w:val="24"/>
                <w:lang w:val="en-US" w:eastAsia="zh-CN" w:bidi="ar-SA"/>
              </w:rPr>
            </w:pPr>
            <w:r>
              <w:rPr>
                <w:rFonts w:hint="eastAsia" w:ascii="Times New Roman" w:hAnsi="Arial Unicode MS" w:eastAsia="宋体" w:cs="Times New Roman"/>
                <w:b/>
                <w:color w:val="auto"/>
                <w:kern w:val="2"/>
                <w:sz w:val="24"/>
                <w:szCs w:val="24"/>
                <w:lang w:val="en-US" w:eastAsia="zh-CN" w:bidi="ar-SA"/>
              </w:rPr>
              <w:t>与豫环办〔2022〕24号相符性分析</w:t>
            </w:r>
          </w:p>
          <w:tbl>
            <w:tblPr>
              <w:tblStyle w:val="25"/>
              <w:tblW w:w="87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7"/>
              <w:gridCol w:w="5540"/>
              <w:gridCol w:w="2158"/>
            </w:tblGrid>
            <w:tr w14:paraId="30DD7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017" w:type="dxa"/>
                  <w:vAlign w:val="center"/>
                </w:tcPr>
                <w:p w14:paraId="1F7AACB8">
                  <w:pPr>
                    <w:jc w:val="center"/>
                    <w:rPr>
                      <w:b/>
                      <w:bCs/>
                      <w:color w:val="auto"/>
                      <w:szCs w:val="21"/>
                    </w:rPr>
                  </w:pPr>
                  <w:r>
                    <w:rPr>
                      <w:b/>
                      <w:bCs/>
                      <w:color w:val="auto"/>
                      <w:szCs w:val="21"/>
                    </w:rPr>
                    <w:t>类别</w:t>
                  </w:r>
                </w:p>
              </w:tc>
              <w:tc>
                <w:tcPr>
                  <w:tcW w:w="5540" w:type="dxa"/>
                  <w:vAlign w:val="center"/>
                </w:tcPr>
                <w:p w14:paraId="2FE44AEC">
                  <w:pPr>
                    <w:jc w:val="center"/>
                    <w:rPr>
                      <w:b/>
                      <w:bCs/>
                      <w:color w:val="auto"/>
                      <w:szCs w:val="21"/>
                    </w:rPr>
                  </w:pPr>
                  <w:r>
                    <w:rPr>
                      <w:b/>
                      <w:bCs/>
                      <w:color w:val="auto"/>
                      <w:szCs w:val="21"/>
                    </w:rPr>
                    <w:t>要求</w:t>
                  </w:r>
                </w:p>
              </w:tc>
              <w:tc>
                <w:tcPr>
                  <w:tcW w:w="2158" w:type="dxa"/>
                  <w:vAlign w:val="center"/>
                </w:tcPr>
                <w:p w14:paraId="060CEDC7">
                  <w:pPr>
                    <w:jc w:val="center"/>
                    <w:rPr>
                      <w:b/>
                      <w:bCs/>
                      <w:color w:val="auto"/>
                      <w:szCs w:val="21"/>
                    </w:rPr>
                  </w:pPr>
                  <w:r>
                    <w:rPr>
                      <w:b/>
                      <w:bCs/>
                      <w:color w:val="auto"/>
                      <w:szCs w:val="21"/>
                    </w:rPr>
                    <w:t>本项目情况</w:t>
                  </w:r>
                </w:p>
              </w:tc>
            </w:tr>
            <w:tr w14:paraId="0E673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jc w:val="center"/>
              </w:trPr>
              <w:tc>
                <w:tcPr>
                  <w:tcW w:w="1017" w:type="dxa"/>
                  <w:vAlign w:val="center"/>
                </w:tcPr>
                <w:p w14:paraId="41362902">
                  <w:pPr>
                    <w:jc w:val="center"/>
                    <w:rPr>
                      <w:color w:val="auto"/>
                      <w:szCs w:val="21"/>
                    </w:rPr>
                  </w:pPr>
                  <w:r>
                    <w:rPr>
                      <w:color w:val="auto"/>
                      <w:szCs w:val="21"/>
                    </w:rPr>
                    <w:t>加强源头控制，推进绿色生产</w:t>
                  </w:r>
                </w:p>
              </w:tc>
              <w:tc>
                <w:tcPr>
                  <w:tcW w:w="5540" w:type="dxa"/>
                  <w:vAlign w:val="top"/>
                </w:tcPr>
                <w:p w14:paraId="31A393F7">
                  <w:pPr>
                    <w:rPr>
                      <w:color w:val="auto"/>
                      <w:szCs w:val="21"/>
                    </w:rPr>
                  </w:pPr>
                  <w:r>
                    <w:rPr>
                      <w:color w:val="auto"/>
                      <w:szCs w:val="21"/>
                    </w:rPr>
                    <w:t>2022年5月底前，全面排查使用粉末涂料、水性涂料、无溶剂涂料、辐射固化涂料等企业，核实原辅材料VOCs含量限值与《低挥发性有机化合物含量涂料产品技术要求》相符性，并建立台账，记录原辅材料的使用量、废弃量、去向以及VOCs含量。</w:t>
                  </w:r>
                </w:p>
              </w:tc>
              <w:tc>
                <w:tcPr>
                  <w:tcW w:w="2158" w:type="dxa"/>
                  <w:vAlign w:val="center"/>
                </w:tcPr>
                <w:p w14:paraId="46ECC984">
                  <w:pPr>
                    <w:jc w:val="left"/>
                    <w:rPr>
                      <w:color w:val="auto"/>
                      <w:szCs w:val="21"/>
                    </w:rPr>
                  </w:pPr>
                  <w:r>
                    <w:rPr>
                      <w:bCs/>
                      <w:color w:val="auto"/>
                      <w:szCs w:val="21"/>
                    </w:rPr>
                    <w:t>本项目</w:t>
                  </w:r>
                  <w:r>
                    <w:rPr>
                      <w:rFonts w:hint="eastAsia"/>
                      <w:bCs/>
                      <w:color w:val="auto"/>
                      <w:szCs w:val="21"/>
                    </w:rPr>
                    <w:t>使用低</w:t>
                  </w:r>
                  <w:r>
                    <w:rPr>
                      <w:color w:val="auto"/>
                    </w:rPr>
                    <w:t>VOCs含量原辅材料</w:t>
                  </w:r>
                  <w:r>
                    <w:rPr>
                      <w:rFonts w:hint="eastAsia"/>
                      <w:color w:val="auto"/>
                    </w:rPr>
                    <w:t>，拟建立对应台账。</w:t>
                  </w:r>
                </w:p>
              </w:tc>
            </w:tr>
            <w:tr w14:paraId="24816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 w:hRule="atLeast"/>
                <w:jc w:val="center"/>
              </w:trPr>
              <w:tc>
                <w:tcPr>
                  <w:tcW w:w="1017" w:type="dxa"/>
                  <w:vAlign w:val="center"/>
                </w:tcPr>
                <w:p w14:paraId="31E758B9">
                  <w:pPr>
                    <w:jc w:val="center"/>
                    <w:rPr>
                      <w:color w:val="auto"/>
                      <w:szCs w:val="21"/>
                    </w:rPr>
                  </w:pPr>
                  <w:r>
                    <w:rPr>
                      <w:color w:val="auto"/>
                      <w:szCs w:val="21"/>
                    </w:rPr>
                    <w:t>强化收集效果，减少无组织排放</w:t>
                  </w:r>
                </w:p>
              </w:tc>
              <w:tc>
                <w:tcPr>
                  <w:tcW w:w="5540" w:type="dxa"/>
                  <w:vAlign w:val="top"/>
                </w:tcPr>
                <w:p w14:paraId="794AF48D">
                  <w:pPr>
                    <w:pStyle w:val="24"/>
                    <w:spacing w:after="0"/>
                    <w:ind w:left="0" w:leftChars="0" w:firstLine="0"/>
                    <w:rPr>
                      <w:color w:val="auto"/>
                      <w:szCs w:val="21"/>
                    </w:rPr>
                  </w:pPr>
                  <w:r>
                    <w:rPr>
                      <w:color w:val="auto"/>
                      <w:szCs w:val="21"/>
                    </w:rPr>
                    <w:t>产生VOCs的生产环节优先采用密闭设备、在密闭空间中操作等密闭收集方式，并保持负压运行；采用集气罩、侧吸风等措施收集无组织VOCs废气企业，距集气罩开口面最远处的VOCs无组织排放位置，控制风速不低于0.3米/秒；含VOCs物料输送应采用重力流或泵送方式，有机液体进料鼓励采用底部、浸入管给料方式。</w:t>
                  </w:r>
                </w:p>
              </w:tc>
              <w:tc>
                <w:tcPr>
                  <w:tcW w:w="2158" w:type="dxa"/>
                  <w:vAlign w:val="center"/>
                </w:tcPr>
                <w:p w14:paraId="09C8F339">
                  <w:pPr>
                    <w:jc w:val="left"/>
                    <w:rPr>
                      <w:color w:val="auto"/>
                      <w:szCs w:val="21"/>
                    </w:rPr>
                  </w:pPr>
                  <w:r>
                    <w:rPr>
                      <w:bCs/>
                      <w:iCs/>
                      <w:color w:val="auto"/>
                      <w:szCs w:val="21"/>
                    </w:rPr>
                    <w:t>本项目</w:t>
                  </w:r>
                  <w:r>
                    <w:rPr>
                      <w:rFonts w:hint="eastAsia"/>
                      <w:color w:val="auto"/>
                      <w:szCs w:val="21"/>
                    </w:rPr>
                    <w:t>喷涂</w:t>
                  </w:r>
                  <w:r>
                    <w:rPr>
                      <w:color w:val="auto"/>
                      <w:szCs w:val="21"/>
                    </w:rPr>
                    <w:t>在密闭</w:t>
                  </w:r>
                  <w:r>
                    <w:rPr>
                      <w:rFonts w:hint="eastAsia"/>
                      <w:color w:val="auto"/>
                      <w:szCs w:val="21"/>
                    </w:rPr>
                    <w:t>喷漆房内</w:t>
                  </w:r>
                  <w:r>
                    <w:rPr>
                      <w:color w:val="auto"/>
                      <w:szCs w:val="21"/>
                    </w:rPr>
                    <w:t>进行，采用负压收集</w:t>
                  </w:r>
                  <w:r>
                    <w:rPr>
                      <w:rFonts w:hint="eastAsia"/>
                      <w:color w:val="auto"/>
                      <w:szCs w:val="21"/>
                    </w:rPr>
                    <w:t>。</w:t>
                  </w:r>
                </w:p>
              </w:tc>
            </w:tr>
            <w:tr w14:paraId="7EBCB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2" w:hRule="atLeast"/>
                <w:jc w:val="center"/>
              </w:trPr>
              <w:tc>
                <w:tcPr>
                  <w:tcW w:w="1017" w:type="dxa"/>
                  <w:vAlign w:val="center"/>
                </w:tcPr>
                <w:p w14:paraId="56892DB5">
                  <w:pPr>
                    <w:jc w:val="center"/>
                    <w:rPr>
                      <w:color w:val="auto"/>
                      <w:szCs w:val="21"/>
                    </w:rPr>
                  </w:pPr>
                  <w:r>
                    <w:rPr>
                      <w:color w:val="auto"/>
                      <w:szCs w:val="21"/>
                    </w:rPr>
                    <w:t>提升治理水平，全面达标排放</w:t>
                  </w:r>
                </w:p>
              </w:tc>
              <w:tc>
                <w:tcPr>
                  <w:tcW w:w="5540" w:type="dxa"/>
                  <w:vAlign w:val="top"/>
                </w:tcPr>
                <w:p w14:paraId="67F5D207">
                  <w:pPr>
                    <w:snapToGrid w:val="0"/>
                    <w:rPr>
                      <w:color w:val="auto"/>
                      <w:szCs w:val="21"/>
                    </w:rPr>
                  </w:pPr>
                  <w:r>
                    <w:rPr>
                      <w:color w:val="auto"/>
                      <w:szCs w:val="21"/>
                    </w:rPr>
                    <w:t>各地在2022年5月15日前全面梳理辖区内采用单一UV光氧催化、低温等离子、碱液喷淋等低效VOCs治理工艺企业，6月10日前在单一工艺基础上增加活性炭吸附工艺（颗粒状、柱状活性炭碘值不低于800毫克/克，蜂窝状活性炭碘值不低于650毫克/克），或建设RCO、RTO等高效处理工艺，确保废气污染物稳定达标排放。各地要在5月底前全面排查采用活性炭吸附工艺企业，活性炭装填量、更换时间、废活性炭暂存转运情况、活性炭购买发票、活性炭碘值等，无法提供活性炭更换记录、碘值报告或活性炭碘值不满足要求的，一周内按要求更换新活性炭；根据废气量、活性炭箱截面积及长度核算废气停留时间及风速，不满足《吸附法工业有机废气治理工程技术规范》（HJ2026-2013）要求的，一周内更换活性炭箱；严禁露天堆存废活性炭，废活性炭厂内暂存时间不得超过一个月</w:t>
                  </w:r>
                </w:p>
              </w:tc>
              <w:tc>
                <w:tcPr>
                  <w:tcW w:w="2158" w:type="dxa"/>
                  <w:vAlign w:val="center"/>
                </w:tcPr>
                <w:p w14:paraId="39787BFD">
                  <w:pPr>
                    <w:jc w:val="left"/>
                    <w:rPr>
                      <w:color w:val="auto"/>
                      <w:szCs w:val="21"/>
                    </w:rPr>
                  </w:pPr>
                  <w:r>
                    <w:rPr>
                      <w:bCs/>
                      <w:iCs/>
                      <w:color w:val="auto"/>
                      <w:szCs w:val="21"/>
                    </w:rPr>
                    <w:t>本项目</w:t>
                  </w:r>
                  <w:r>
                    <w:rPr>
                      <w:rFonts w:hint="eastAsia"/>
                      <w:bCs/>
                      <w:iCs/>
                      <w:color w:val="auto"/>
                      <w:szCs w:val="21"/>
                    </w:rPr>
                    <w:t>挥发性有机物</w:t>
                  </w:r>
                  <w:r>
                    <w:rPr>
                      <w:rFonts w:hint="eastAsia"/>
                      <w:color w:val="auto"/>
                      <w:szCs w:val="21"/>
                    </w:rPr>
                    <w:t>处理工艺为“活性炭吸附</w:t>
                  </w:r>
                  <w:r>
                    <w:rPr>
                      <w:rFonts w:hint="eastAsia"/>
                      <w:color w:val="auto"/>
                      <w:szCs w:val="21"/>
                      <w:lang w:eastAsia="zh-CN"/>
                    </w:rPr>
                    <w:t>、</w:t>
                  </w:r>
                  <w:r>
                    <w:rPr>
                      <w:rFonts w:hint="eastAsia"/>
                      <w:color w:val="auto"/>
                      <w:szCs w:val="21"/>
                    </w:rPr>
                    <w:t>脱附+</w:t>
                  </w:r>
                  <w:r>
                    <w:rPr>
                      <w:rFonts w:hint="eastAsia"/>
                      <w:color w:val="auto"/>
                      <w:szCs w:val="21"/>
                      <w:lang w:val="en-US" w:eastAsia="zh-CN"/>
                    </w:rPr>
                    <w:t>催化燃烧</w:t>
                  </w:r>
                  <w:r>
                    <w:rPr>
                      <w:rFonts w:hint="eastAsia"/>
                      <w:color w:val="auto"/>
                      <w:szCs w:val="21"/>
                    </w:rPr>
                    <w:t>”</w:t>
                  </w:r>
                  <w:r>
                    <w:rPr>
                      <w:rFonts w:hint="eastAsia"/>
                      <w:color w:val="auto"/>
                      <w:szCs w:val="21"/>
                      <w:lang w:eastAsia="zh-CN"/>
                    </w:rPr>
                    <w:t>（</w:t>
                  </w:r>
                  <w:r>
                    <w:rPr>
                      <w:rFonts w:hint="eastAsia"/>
                      <w:color w:val="auto"/>
                      <w:szCs w:val="21"/>
                      <w:lang w:val="en-US" w:eastAsia="zh-CN"/>
                    </w:rPr>
                    <w:t>喷漆房设过滤棉</w:t>
                  </w:r>
                  <w:r>
                    <w:rPr>
                      <w:rFonts w:hint="eastAsia"/>
                      <w:color w:val="auto"/>
                      <w:szCs w:val="21"/>
                      <w:lang w:eastAsia="zh-CN"/>
                    </w:rPr>
                    <w:t>）</w:t>
                  </w:r>
                  <w:r>
                    <w:rPr>
                      <w:rFonts w:hint="eastAsia"/>
                      <w:color w:val="auto"/>
                      <w:szCs w:val="21"/>
                    </w:rPr>
                    <w:t>，定期更换的活性炭由园区集中处置中心进行处置。</w:t>
                  </w:r>
                </w:p>
              </w:tc>
            </w:tr>
          </w:tbl>
          <w:p w14:paraId="40D6DCEA">
            <w:pPr>
              <w:pStyle w:val="4"/>
              <w:numPr>
                <w:ilvl w:val="0"/>
                <w:numId w:val="0"/>
              </w:numPr>
              <w:rPr>
                <w:bCs/>
                <w:color w:val="auto"/>
                <w:szCs w:val="24"/>
              </w:rPr>
            </w:pPr>
            <w:bookmarkStart w:id="56" w:name="_Toc25461"/>
            <w:r>
              <w:rPr>
                <w:rFonts w:hint="eastAsia"/>
                <w:bCs/>
                <w:color w:val="auto"/>
                <w:szCs w:val="24"/>
                <w:lang w:val="en-US" w:eastAsia="zh-CN"/>
              </w:rPr>
              <w:t>8</w:t>
            </w:r>
            <w:r>
              <w:rPr>
                <w:rFonts w:hint="eastAsia"/>
                <w:bCs/>
                <w:color w:val="auto"/>
                <w:szCs w:val="24"/>
              </w:rPr>
              <w:t>、</w:t>
            </w:r>
            <w:r>
              <w:rPr>
                <w:bCs/>
                <w:color w:val="auto"/>
                <w:szCs w:val="24"/>
              </w:rPr>
              <w:t>与《工业涂装工序挥发性有机物污染防治技术规范》（DB41/T1946-2020）相符性分析</w:t>
            </w:r>
            <w:bookmarkEnd w:id="56"/>
          </w:p>
          <w:p w14:paraId="242BEA9D">
            <w:pPr>
              <w:pStyle w:val="46"/>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eastAsia" w:ascii="Times New Roman" w:hAnsi="Arial Unicode MS" w:eastAsia="宋体" w:cs="Times New Roman"/>
                <w:b/>
                <w:color w:val="auto"/>
                <w:kern w:val="2"/>
                <w:sz w:val="24"/>
                <w:szCs w:val="24"/>
                <w:lang w:val="en-US" w:eastAsia="zh-CN" w:bidi="ar-SA"/>
              </w:rPr>
            </w:pPr>
            <w:r>
              <w:rPr>
                <w:rFonts w:hint="eastAsia" w:ascii="Times New Roman" w:hAnsi="Arial Unicode MS" w:eastAsia="宋体" w:cs="Times New Roman"/>
                <w:b/>
                <w:color w:val="auto"/>
                <w:kern w:val="2"/>
                <w:sz w:val="24"/>
                <w:szCs w:val="24"/>
                <w:lang w:val="en-US" w:eastAsia="zh-CN" w:bidi="ar-SA"/>
              </w:rPr>
              <w:t>与（DB41/T1946-2020）相符性分析</w:t>
            </w:r>
          </w:p>
          <w:tbl>
            <w:tblPr>
              <w:tblStyle w:val="25"/>
              <w:tblW w:w="87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5750"/>
              <w:gridCol w:w="2309"/>
            </w:tblGrid>
            <w:tr w14:paraId="1951F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656" w:type="dxa"/>
                  <w:vAlign w:val="center"/>
                </w:tcPr>
                <w:p w14:paraId="60BB920C">
                  <w:pPr>
                    <w:jc w:val="center"/>
                    <w:rPr>
                      <w:b/>
                      <w:color w:val="auto"/>
                      <w:szCs w:val="21"/>
                    </w:rPr>
                  </w:pPr>
                  <w:r>
                    <w:rPr>
                      <w:b/>
                      <w:color w:val="auto"/>
                      <w:szCs w:val="21"/>
                    </w:rPr>
                    <w:t>类别</w:t>
                  </w:r>
                </w:p>
              </w:tc>
              <w:tc>
                <w:tcPr>
                  <w:tcW w:w="5750" w:type="dxa"/>
                  <w:vAlign w:val="center"/>
                </w:tcPr>
                <w:p w14:paraId="595B1C2C">
                  <w:pPr>
                    <w:jc w:val="center"/>
                    <w:rPr>
                      <w:b/>
                      <w:color w:val="auto"/>
                      <w:szCs w:val="21"/>
                    </w:rPr>
                  </w:pPr>
                  <w:r>
                    <w:rPr>
                      <w:b/>
                      <w:color w:val="auto"/>
                      <w:szCs w:val="21"/>
                    </w:rPr>
                    <w:t>有关技污染防治技术规范</w:t>
                  </w:r>
                </w:p>
              </w:tc>
              <w:tc>
                <w:tcPr>
                  <w:tcW w:w="2309" w:type="dxa"/>
                  <w:vAlign w:val="center"/>
                </w:tcPr>
                <w:p w14:paraId="7192A5B3">
                  <w:pPr>
                    <w:jc w:val="center"/>
                    <w:rPr>
                      <w:b/>
                      <w:color w:val="auto"/>
                      <w:szCs w:val="21"/>
                    </w:rPr>
                  </w:pPr>
                  <w:r>
                    <w:rPr>
                      <w:b/>
                      <w:color w:val="auto"/>
                      <w:szCs w:val="21"/>
                    </w:rPr>
                    <w:t>本项目措施</w:t>
                  </w:r>
                </w:p>
              </w:tc>
            </w:tr>
            <w:tr w14:paraId="5C0BD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656" w:type="dxa"/>
                  <w:vAlign w:val="center"/>
                </w:tcPr>
                <w:p w14:paraId="273B4D6F">
                  <w:pPr>
                    <w:jc w:val="center"/>
                    <w:rPr>
                      <w:bCs/>
                      <w:color w:val="auto"/>
                      <w:szCs w:val="21"/>
                    </w:rPr>
                  </w:pPr>
                  <w:r>
                    <w:rPr>
                      <w:bCs/>
                      <w:color w:val="auto"/>
                      <w:szCs w:val="21"/>
                    </w:rPr>
                    <w:t>1、总体要求</w:t>
                  </w:r>
                </w:p>
              </w:tc>
              <w:tc>
                <w:tcPr>
                  <w:tcW w:w="5750" w:type="dxa"/>
                  <w:vAlign w:val="center"/>
                </w:tcPr>
                <w:p w14:paraId="0DFC1D01">
                  <w:pPr>
                    <w:rPr>
                      <w:bCs/>
                      <w:color w:val="auto"/>
                      <w:szCs w:val="21"/>
                    </w:rPr>
                  </w:pPr>
                  <w:r>
                    <w:rPr>
                      <w:bCs/>
                      <w:color w:val="auto"/>
                      <w:szCs w:val="21"/>
                    </w:rPr>
                    <w:t>1.1新建企业原则上应进入园区，并符合规划及政策要求，涂装工序的设置应满足环境防护距离要求。1.2坚持源头控制、过程管理、末端治理和环境管理相结合并防止二次污染的全过程VOCs综合防治原则。1.3VOCs污染治理应满足达标排放、总量控制要求。1.4涉涂装工序企业集中的工业园区和产业集群宜建设集中喷涂中心，配备高效废气处理设施。1.5活性炭使用量大的工业园区和产业集群宜建设区域性活性炭集中再生基地，集中回收、再生利用。</w:t>
                  </w:r>
                </w:p>
              </w:tc>
              <w:tc>
                <w:tcPr>
                  <w:tcW w:w="2309" w:type="dxa"/>
                  <w:vAlign w:val="center"/>
                </w:tcPr>
                <w:p w14:paraId="630AD8FA">
                  <w:pPr>
                    <w:jc w:val="center"/>
                    <w:rPr>
                      <w:bCs/>
                      <w:color w:val="auto"/>
                      <w:szCs w:val="21"/>
                    </w:rPr>
                  </w:pPr>
                  <w:r>
                    <w:rPr>
                      <w:bCs/>
                      <w:color w:val="auto"/>
                      <w:szCs w:val="21"/>
                    </w:rPr>
                    <w:t>本项目位于</w:t>
                  </w:r>
                  <w:r>
                    <w:rPr>
                      <w:rFonts w:hint="eastAsia"/>
                      <w:bCs/>
                      <w:color w:val="auto"/>
                      <w:szCs w:val="21"/>
                    </w:rPr>
                    <w:t>清丰县先进制造业开发区</w:t>
                  </w:r>
                  <w:r>
                    <w:rPr>
                      <w:bCs/>
                      <w:color w:val="auto"/>
                      <w:szCs w:val="21"/>
                    </w:rPr>
                    <w:t>，</w:t>
                  </w:r>
                  <w:r>
                    <w:rPr>
                      <w:rFonts w:hint="eastAsia"/>
                      <w:bCs/>
                      <w:color w:val="auto"/>
                      <w:szCs w:val="21"/>
                    </w:rPr>
                    <w:t>目前无集中喷涂中心，项目产生的VOCs</w:t>
                  </w:r>
                  <w:r>
                    <w:rPr>
                      <w:rFonts w:hint="eastAsia"/>
                      <w:color w:val="auto"/>
                    </w:rPr>
                    <w:t>采用</w:t>
                  </w:r>
                  <w:r>
                    <w:rPr>
                      <w:color w:val="auto"/>
                    </w:rPr>
                    <w:t>蓄热式催化燃烧(RCO)</w:t>
                  </w:r>
                  <w:r>
                    <w:rPr>
                      <w:rFonts w:hint="eastAsia"/>
                      <w:color w:val="auto"/>
                    </w:rPr>
                    <w:t>进行处理</w:t>
                  </w:r>
                  <w:r>
                    <w:rPr>
                      <w:rFonts w:hint="eastAsia"/>
                      <w:color w:val="auto"/>
                      <w:szCs w:val="21"/>
                    </w:rPr>
                    <w:t>后通过15m高排气筒排放”，定期更换的活性炭由园区</w:t>
                  </w:r>
                  <w:r>
                    <w:rPr>
                      <w:rFonts w:hint="eastAsia"/>
                      <w:b/>
                      <w:bCs/>
                      <w:color w:val="auto"/>
                      <w:szCs w:val="21"/>
                    </w:rPr>
                    <w:t>河南省碳足迹再生资源有限公司</w:t>
                  </w:r>
                  <w:r>
                    <w:rPr>
                      <w:rFonts w:hint="eastAsia"/>
                      <w:color w:val="auto"/>
                      <w:szCs w:val="21"/>
                    </w:rPr>
                    <w:t>集中处置中心进行处置</w:t>
                  </w:r>
                  <w:r>
                    <w:rPr>
                      <w:bCs/>
                      <w:color w:val="auto"/>
                      <w:szCs w:val="21"/>
                    </w:rPr>
                    <w:t>，可以满足相应排放标准。</w:t>
                  </w:r>
                </w:p>
              </w:tc>
            </w:tr>
            <w:tr w14:paraId="7AA03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6" w:type="dxa"/>
                  <w:vAlign w:val="center"/>
                </w:tcPr>
                <w:p w14:paraId="089B7CF4">
                  <w:pPr>
                    <w:jc w:val="center"/>
                    <w:rPr>
                      <w:bCs/>
                      <w:color w:val="auto"/>
                      <w:szCs w:val="21"/>
                    </w:rPr>
                  </w:pPr>
                  <w:r>
                    <w:rPr>
                      <w:bCs/>
                      <w:color w:val="auto"/>
                      <w:szCs w:val="21"/>
                    </w:rPr>
                    <w:t>2、源头控制</w:t>
                  </w:r>
                </w:p>
              </w:tc>
              <w:tc>
                <w:tcPr>
                  <w:tcW w:w="5750" w:type="dxa"/>
                  <w:vAlign w:val="center"/>
                </w:tcPr>
                <w:p w14:paraId="267B06EF">
                  <w:pPr>
                    <w:rPr>
                      <w:bCs/>
                      <w:color w:val="auto"/>
                      <w:szCs w:val="21"/>
                    </w:rPr>
                  </w:pPr>
                  <w:r>
                    <w:rPr>
                      <w:bCs/>
                      <w:color w:val="auto"/>
                      <w:szCs w:val="21"/>
                    </w:rPr>
                    <w:t>2.1强化源头替代。宜采用粉末、水性、高固体分、辐射固化等低VOCs含量涂料，以及低VOCs含量、低反应活性的清洗剂，替代溶剂型涂料、清洗剂。2.2使用的低VOCs含量原辅材料应符合相应标准要求。2.3涂装工艺、设备选择推广紧凑式涂装工艺，减少涂覆、</w:t>
                  </w:r>
                  <w:r>
                    <w:rPr>
                      <w:rFonts w:hint="eastAsia"/>
                      <w:bCs/>
                      <w:color w:val="auto"/>
                      <w:szCs w:val="21"/>
                    </w:rPr>
                    <w:t>晾干</w:t>
                  </w:r>
                  <w:r>
                    <w:rPr>
                      <w:bCs/>
                      <w:color w:val="auto"/>
                      <w:szCs w:val="21"/>
                    </w:rPr>
                    <w:t>次数。2.4采用高效涂装设备，提高涂覆效率。采用静电喷涂、高压无气喷涂、辊涂等技术，减少空气喷涂的应用；推广自动化、智能化喷涂替代人工喷涂。</w:t>
                  </w:r>
                </w:p>
              </w:tc>
              <w:tc>
                <w:tcPr>
                  <w:tcW w:w="2309" w:type="dxa"/>
                  <w:vAlign w:val="center"/>
                </w:tcPr>
                <w:p w14:paraId="446FDC9B">
                  <w:pPr>
                    <w:jc w:val="center"/>
                    <w:rPr>
                      <w:bCs/>
                      <w:color w:val="auto"/>
                      <w:szCs w:val="21"/>
                    </w:rPr>
                  </w:pPr>
                  <w:r>
                    <w:rPr>
                      <w:bCs/>
                      <w:color w:val="auto"/>
                      <w:szCs w:val="21"/>
                    </w:rPr>
                    <w:t>本项目所使用</w:t>
                  </w:r>
                  <w:r>
                    <w:rPr>
                      <w:rFonts w:hint="eastAsia"/>
                      <w:bCs/>
                      <w:color w:val="auto"/>
                      <w:szCs w:val="21"/>
                    </w:rPr>
                    <w:t>油漆、胶黏剂全部为</w:t>
                  </w:r>
                  <w:r>
                    <w:rPr>
                      <w:bCs/>
                      <w:color w:val="auto"/>
                      <w:szCs w:val="21"/>
                    </w:rPr>
                    <w:t>低VOCs含量</w:t>
                  </w:r>
                  <w:r>
                    <w:rPr>
                      <w:rFonts w:hint="eastAsia"/>
                      <w:bCs/>
                      <w:color w:val="auto"/>
                      <w:szCs w:val="21"/>
                    </w:rPr>
                    <w:t>辅料</w:t>
                  </w:r>
                  <w:r>
                    <w:rPr>
                      <w:bCs/>
                      <w:color w:val="auto"/>
                      <w:szCs w:val="21"/>
                    </w:rPr>
                    <w:t>。</w:t>
                  </w:r>
                </w:p>
              </w:tc>
            </w:tr>
            <w:tr w14:paraId="3297C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7" w:hRule="atLeast"/>
                <w:jc w:val="center"/>
              </w:trPr>
              <w:tc>
                <w:tcPr>
                  <w:tcW w:w="656" w:type="dxa"/>
                  <w:vAlign w:val="center"/>
                </w:tcPr>
                <w:p w14:paraId="3C00BB65">
                  <w:pPr>
                    <w:jc w:val="center"/>
                    <w:rPr>
                      <w:bCs/>
                      <w:color w:val="auto"/>
                      <w:szCs w:val="21"/>
                    </w:rPr>
                  </w:pPr>
                  <w:r>
                    <w:rPr>
                      <w:bCs/>
                      <w:color w:val="auto"/>
                      <w:szCs w:val="21"/>
                    </w:rPr>
                    <w:t>3、过程管理</w:t>
                  </w:r>
                </w:p>
              </w:tc>
              <w:tc>
                <w:tcPr>
                  <w:tcW w:w="5750" w:type="dxa"/>
                  <w:vAlign w:val="center"/>
                </w:tcPr>
                <w:p w14:paraId="14A7C42A">
                  <w:pPr>
                    <w:jc w:val="left"/>
                    <w:rPr>
                      <w:bCs/>
                      <w:color w:val="auto"/>
                      <w:szCs w:val="21"/>
                    </w:rPr>
                  </w:pPr>
                  <w:r>
                    <w:rPr>
                      <w:bCs/>
                      <w:color w:val="auto"/>
                      <w:szCs w:val="21"/>
                    </w:rPr>
                    <w:t>3.1贮存过程：VOCs原辅材料应存储于密闭容器内，并存放于封闭空间。确保VOCs原辅材料贮存过程中容器加盖、封口，无破损、无泄漏，保持密闭。3.2调配过程：VOCs原辅材料的调配应在密闭装置或封闭空间内进行，计量、搅拌、调配过程产生的废气应收集处理。3.3输送过程：VOCs原辅材料应采用密闭管道或采用密闭容器输送。VOCs原辅材料在贮存、调配、输送过程中一旦发现泄漏，应及时修复和处置。3.4涂装过程：喷枪选择。根据涂装对象大小和形状选择合适的喷枪，平面状大型被涂物可选用大型喷枪，涂装对象小、凹凸不规则或局部涂装作业时宜使用小型喷枪，涂料用量少的情况下宜使用重力式喷枪。喷涂操作。降低喷枪压力和喷涂速率并保持平衡，喷枪应与被涂面垂直，喷涂距离宜15cm～20cm，喷枪运行速度宜0.4m/s～0.7m/s。换色作业。准确控制换色涂料用量，缩短换色时间，按照从浅到深的顺序涂装。类似颜色涂装宜持续作业、批量完成。装备设施。涂覆、流平、干燥等作业应在封闭空间内操作，保持门窗为常闭状态，废气收集排至VOCs处理设施。无法在封闭空间内操作的，应采取局部废气收集措施，废气收集排至VOCs处理设施。涂料回收。对于涂料可回收的喷涂工艺及设备，应配备涂料回收装置，回收的涂料循环利用。3.5清洗过程合理控制有机清洗剂用量，少量多次清洗。集中清洗应在密闭装置或封闭空间内进行，清洗过程产生的VOCs废气应收集处理。使用后的有机清洗剂应放入密闭容器，回收储存。清洗完成后，沾染有机清洗剂的废抹布等应放入密闭容器，减少无组织排放。</w:t>
                  </w:r>
                </w:p>
              </w:tc>
              <w:tc>
                <w:tcPr>
                  <w:tcW w:w="2309" w:type="dxa"/>
                  <w:vAlign w:val="center"/>
                </w:tcPr>
                <w:p w14:paraId="296484C0">
                  <w:pPr>
                    <w:jc w:val="center"/>
                    <w:rPr>
                      <w:bCs/>
                      <w:color w:val="auto"/>
                      <w:szCs w:val="21"/>
                    </w:rPr>
                  </w:pPr>
                  <w:r>
                    <w:rPr>
                      <w:bCs/>
                      <w:color w:val="auto"/>
                      <w:szCs w:val="21"/>
                    </w:rPr>
                    <w:t>本项目</w:t>
                  </w:r>
                  <w:r>
                    <w:rPr>
                      <w:rFonts w:hint="eastAsia"/>
                      <w:bCs/>
                      <w:color w:val="auto"/>
                      <w:szCs w:val="21"/>
                    </w:rPr>
                    <w:t>使用的</w:t>
                  </w:r>
                  <w:r>
                    <w:rPr>
                      <w:bCs/>
                      <w:color w:val="auto"/>
                      <w:szCs w:val="21"/>
                    </w:rPr>
                    <w:t>VOCs</w:t>
                  </w:r>
                  <w:r>
                    <w:rPr>
                      <w:rFonts w:hint="eastAsia"/>
                      <w:bCs/>
                      <w:color w:val="auto"/>
                      <w:szCs w:val="21"/>
                    </w:rPr>
                    <w:t>辅料</w:t>
                  </w:r>
                  <w:r>
                    <w:rPr>
                      <w:bCs/>
                      <w:color w:val="auto"/>
                      <w:szCs w:val="21"/>
                    </w:rPr>
                    <w:t>均在密闭的容器内，并存放在车间内部，调漆过程在</w:t>
                  </w:r>
                  <w:r>
                    <w:rPr>
                      <w:rFonts w:hint="eastAsia"/>
                      <w:bCs/>
                      <w:color w:val="auto"/>
                      <w:szCs w:val="21"/>
                    </w:rPr>
                    <w:t>喷漆</w:t>
                  </w:r>
                  <w:r>
                    <w:rPr>
                      <w:bCs/>
                      <w:color w:val="auto"/>
                      <w:szCs w:val="21"/>
                    </w:rPr>
                    <w:t>房内进行，与</w:t>
                  </w:r>
                  <w:r>
                    <w:rPr>
                      <w:rFonts w:hint="eastAsia"/>
                      <w:bCs/>
                      <w:color w:val="auto"/>
                      <w:szCs w:val="21"/>
                    </w:rPr>
                    <w:t>喷涂、晾干</w:t>
                  </w:r>
                  <w:r>
                    <w:rPr>
                      <w:bCs/>
                      <w:color w:val="auto"/>
                      <w:szCs w:val="21"/>
                    </w:rPr>
                    <w:t>废气</w:t>
                  </w:r>
                  <w:r>
                    <w:rPr>
                      <w:rFonts w:hint="eastAsia"/>
                      <w:bCs/>
                      <w:color w:val="auto"/>
                      <w:szCs w:val="21"/>
                    </w:rPr>
                    <w:t>一同</w:t>
                  </w:r>
                  <w:r>
                    <w:rPr>
                      <w:bCs/>
                      <w:color w:val="auto"/>
                      <w:szCs w:val="21"/>
                    </w:rPr>
                    <w:t>进入到废气处理装置。</w:t>
                  </w:r>
                </w:p>
              </w:tc>
            </w:tr>
            <w:tr w14:paraId="73B78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2" w:hRule="atLeast"/>
                <w:jc w:val="center"/>
              </w:trPr>
              <w:tc>
                <w:tcPr>
                  <w:tcW w:w="656" w:type="dxa"/>
                  <w:vAlign w:val="center"/>
                </w:tcPr>
                <w:p w14:paraId="007C7D0C">
                  <w:pPr>
                    <w:jc w:val="center"/>
                    <w:rPr>
                      <w:bCs/>
                      <w:color w:val="auto"/>
                      <w:szCs w:val="21"/>
                    </w:rPr>
                  </w:pPr>
                  <w:r>
                    <w:rPr>
                      <w:bCs/>
                      <w:color w:val="auto"/>
                      <w:szCs w:val="21"/>
                    </w:rPr>
                    <w:t>4、末端治理</w:t>
                  </w:r>
                </w:p>
              </w:tc>
              <w:tc>
                <w:tcPr>
                  <w:tcW w:w="5750" w:type="dxa"/>
                  <w:vAlign w:val="center"/>
                </w:tcPr>
                <w:p w14:paraId="6828882B">
                  <w:pPr>
                    <w:jc w:val="left"/>
                    <w:rPr>
                      <w:bCs/>
                      <w:color w:val="auto"/>
                      <w:szCs w:val="21"/>
                    </w:rPr>
                  </w:pPr>
                  <w:r>
                    <w:rPr>
                      <w:bCs/>
                      <w:color w:val="auto"/>
                      <w:szCs w:val="21"/>
                    </w:rPr>
                    <w:t>4.1排放控制要求：工业涂装工序VOCs排放应符合GB37822、GB16297或相关行业、地方排放标准的规定。收集的废气中非甲烷总烃初始排放速率≥2kg/h时，配置的VOCs处理设施处理效率不低于80%。4.2废气收集：企业应设置高效废气收集系统，考虑生产工艺、操作方式、废气性质、处理方法等因素，对VOCs废气进行分类收集。喷涂、晾干、调配、流平废气宜收集后合并处理。4.3预处理：预处理工艺应根据废气的成分、性质、污染物的含量和后续VOCs处理设施要求等因素进行选择。4.4处理工艺选择：处理工艺选择应遵循安全第一，同时兼顾成熟可靠和经济适用的原则。依据排放废气的浓度、组分、风量、温度、湿度、压力，以及生产工况等，合理选择处理工艺。</w:t>
                  </w:r>
                </w:p>
              </w:tc>
              <w:tc>
                <w:tcPr>
                  <w:tcW w:w="2309" w:type="dxa"/>
                  <w:vAlign w:val="center"/>
                </w:tcPr>
                <w:p w14:paraId="7E0E54F9">
                  <w:pPr>
                    <w:jc w:val="center"/>
                    <w:rPr>
                      <w:bCs/>
                      <w:color w:val="auto"/>
                      <w:szCs w:val="21"/>
                    </w:rPr>
                  </w:pPr>
                  <w:r>
                    <w:rPr>
                      <w:bCs/>
                      <w:color w:val="auto"/>
                      <w:szCs w:val="21"/>
                    </w:rPr>
                    <w:t>本</w:t>
                  </w:r>
                  <w:r>
                    <w:rPr>
                      <w:rFonts w:hint="eastAsia"/>
                      <w:bCs/>
                      <w:color w:val="auto"/>
                      <w:szCs w:val="21"/>
                    </w:rPr>
                    <w:t>项目产生的VOCs</w:t>
                  </w:r>
                  <w:r>
                    <w:rPr>
                      <w:rFonts w:hint="eastAsia"/>
                      <w:color w:val="auto"/>
                    </w:rPr>
                    <w:t>采用</w:t>
                  </w:r>
                  <w:r>
                    <w:rPr>
                      <w:color w:val="auto"/>
                    </w:rPr>
                    <w:t>蓄热式催化燃烧(RCO)</w:t>
                  </w:r>
                  <w:r>
                    <w:rPr>
                      <w:rFonts w:hint="eastAsia"/>
                      <w:color w:val="auto"/>
                    </w:rPr>
                    <w:t>进行处理</w:t>
                  </w:r>
                  <w:r>
                    <w:rPr>
                      <w:rFonts w:hint="eastAsia"/>
                      <w:color w:val="auto"/>
                      <w:szCs w:val="21"/>
                    </w:rPr>
                    <w:t>后通过15m高排气筒排放”，定期更换的活性炭由园区河南省碳足迹再生资源有限公司集中处置中心进行处置</w:t>
                  </w:r>
                  <w:r>
                    <w:rPr>
                      <w:bCs/>
                      <w:color w:val="auto"/>
                      <w:szCs w:val="21"/>
                    </w:rPr>
                    <w:t>，可以满足相应排放标准。</w:t>
                  </w:r>
                </w:p>
              </w:tc>
            </w:tr>
            <w:tr w14:paraId="3116E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7" w:hRule="atLeast"/>
                <w:jc w:val="center"/>
              </w:trPr>
              <w:tc>
                <w:tcPr>
                  <w:tcW w:w="656" w:type="dxa"/>
                  <w:vAlign w:val="center"/>
                </w:tcPr>
                <w:p w14:paraId="6362CBD1">
                  <w:pPr>
                    <w:jc w:val="center"/>
                    <w:rPr>
                      <w:bCs/>
                      <w:color w:val="auto"/>
                      <w:szCs w:val="21"/>
                    </w:rPr>
                  </w:pPr>
                  <w:r>
                    <w:rPr>
                      <w:bCs/>
                      <w:color w:val="auto"/>
                      <w:szCs w:val="21"/>
                    </w:rPr>
                    <w:t>5、二次污染防治</w:t>
                  </w:r>
                </w:p>
              </w:tc>
              <w:tc>
                <w:tcPr>
                  <w:tcW w:w="5750" w:type="dxa"/>
                  <w:vAlign w:val="center"/>
                </w:tcPr>
                <w:p w14:paraId="60CA4539">
                  <w:pPr>
                    <w:jc w:val="left"/>
                    <w:rPr>
                      <w:bCs/>
                      <w:color w:val="auto"/>
                      <w:szCs w:val="21"/>
                    </w:rPr>
                  </w:pPr>
                  <w:r>
                    <w:rPr>
                      <w:bCs/>
                      <w:color w:val="auto"/>
                      <w:szCs w:val="21"/>
                    </w:rPr>
                    <w:t>废有机溶剂、涂料渣、废过滤棉、废吸附剂、废催化剂以及其它含VOCs的废料，按危险废弃物处置要求进行暂存、处理。</w:t>
                  </w:r>
                </w:p>
              </w:tc>
              <w:tc>
                <w:tcPr>
                  <w:tcW w:w="2309" w:type="dxa"/>
                  <w:vAlign w:val="center"/>
                </w:tcPr>
                <w:p w14:paraId="2538FED6">
                  <w:pPr>
                    <w:jc w:val="center"/>
                    <w:rPr>
                      <w:bCs/>
                      <w:color w:val="auto"/>
                      <w:szCs w:val="21"/>
                    </w:rPr>
                  </w:pPr>
                  <w:r>
                    <w:rPr>
                      <w:bCs/>
                      <w:color w:val="auto"/>
                      <w:szCs w:val="21"/>
                    </w:rPr>
                    <w:t>本项目产生的危险废物经危废暂存间暂存后分别交由相应有资质单位处理。危险废物严格按照《危险废物贮存污染控制标准》</w:t>
                  </w:r>
                  <w:r>
                    <w:rPr>
                      <w:rFonts w:hint="eastAsia"/>
                      <w:bCs/>
                      <w:color w:val="auto"/>
                      <w:szCs w:val="21"/>
                    </w:rPr>
                    <w:t>（GB18597-2023）</w:t>
                  </w:r>
                </w:p>
              </w:tc>
            </w:tr>
            <w:tr w14:paraId="762D3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7" w:hRule="atLeast"/>
                <w:jc w:val="center"/>
              </w:trPr>
              <w:tc>
                <w:tcPr>
                  <w:tcW w:w="656" w:type="dxa"/>
                  <w:vAlign w:val="center"/>
                </w:tcPr>
                <w:p w14:paraId="3454A958">
                  <w:pPr>
                    <w:jc w:val="center"/>
                    <w:rPr>
                      <w:bCs/>
                      <w:color w:val="auto"/>
                      <w:szCs w:val="21"/>
                    </w:rPr>
                  </w:pPr>
                  <w:r>
                    <w:rPr>
                      <w:bCs/>
                      <w:color w:val="auto"/>
                      <w:szCs w:val="21"/>
                    </w:rPr>
                    <w:t>6、环境管理</w:t>
                  </w:r>
                </w:p>
              </w:tc>
              <w:tc>
                <w:tcPr>
                  <w:tcW w:w="5750" w:type="dxa"/>
                  <w:vAlign w:val="center"/>
                </w:tcPr>
                <w:p w14:paraId="0DEB6B10">
                  <w:pPr>
                    <w:jc w:val="left"/>
                    <w:rPr>
                      <w:bCs/>
                      <w:color w:val="auto"/>
                      <w:szCs w:val="21"/>
                    </w:rPr>
                  </w:pPr>
                  <w:r>
                    <w:rPr>
                      <w:bCs/>
                      <w:color w:val="auto"/>
                      <w:szCs w:val="21"/>
                    </w:rPr>
                    <w:t>6.1建立全过程防治制度：制定规章制度和激励机制控制单位涂装面积的涂料消耗量。建立运行、维护和操作相关制度及规程，健全主要设备运行台账。建立定期教育培训制度。对专业管理人员和技术人员进行培训，使其掌握治理设备设施的常规 操作和应急状况处理措施。6.2规范污染治理设施的运行维护企业应对治理设施的正常运行和安全管理负责。治理设施的管理应纳入生产管理中，配备专业管理人员和技术人员。治理设施应先于产生废气的生产工艺设备开启、后于生产工艺设备停机，并实现联动控制。经过治理后的废气排放应符合国家和地方环境保护相关规定，治理过程应避免产生二次污染。由于紧急事故或设备维修等原因造成治理设备停止运行时，应立即停止涂装生产，并采取必要措施，减轻对环境的影响，同时立即报告当地生态环境主管部门。企业应按照相应行业排污许可证申请与核发技术规范等国家、地方管理要求，做好VOCs治理工作相关记录台账，台账保存期限不少于3年</w:t>
                  </w:r>
                </w:p>
              </w:tc>
              <w:tc>
                <w:tcPr>
                  <w:tcW w:w="2309" w:type="dxa"/>
                  <w:vAlign w:val="center"/>
                </w:tcPr>
                <w:p w14:paraId="358C3EAB">
                  <w:pPr>
                    <w:jc w:val="center"/>
                    <w:rPr>
                      <w:bCs/>
                      <w:color w:val="auto"/>
                      <w:szCs w:val="21"/>
                    </w:rPr>
                  </w:pPr>
                  <w:r>
                    <w:rPr>
                      <w:bCs/>
                      <w:color w:val="auto"/>
                      <w:szCs w:val="21"/>
                    </w:rPr>
                    <w:t>本项目营运后，会建立全过程防治制度，规范污染治理设施的运行维护企业应对治理设施的正常运行和安全管理负责并建立VOCs治理工作相关记录台账</w:t>
                  </w:r>
                </w:p>
              </w:tc>
            </w:tr>
          </w:tbl>
          <w:p w14:paraId="0DD5C18B">
            <w:pPr>
              <w:spacing w:line="360" w:lineRule="auto"/>
              <w:rPr>
                <w:color w:val="auto"/>
                <w:kern w:val="0"/>
                <w:szCs w:val="21"/>
              </w:rPr>
            </w:pPr>
          </w:p>
          <w:p w14:paraId="47525A7F">
            <w:pPr>
              <w:pStyle w:val="7"/>
              <w:rPr>
                <w:color w:val="auto"/>
                <w:kern w:val="0"/>
                <w:szCs w:val="21"/>
              </w:rPr>
            </w:pPr>
          </w:p>
          <w:p w14:paraId="40D0E8EC">
            <w:pPr>
              <w:rPr>
                <w:color w:val="auto"/>
                <w:kern w:val="0"/>
                <w:szCs w:val="21"/>
              </w:rPr>
            </w:pPr>
          </w:p>
          <w:p w14:paraId="017D5FE7">
            <w:pPr>
              <w:pStyle w:val="7"/>
              <w:rPr>
                <w:color w:val="auto"/>
                <w:kern w:val="0"/>
                <w:szCs w:val="21"/>
              </w:rPr>
            </w:pPr>
          </w:p>
          <w:p w14:paraId="4B98BE4E">
            <w:pPr>
              <w:rPr>
                <w:color w:val="auto"/>
                <w:kern w:val="0"/>
                <w:szCs w:val="21"/>
              </w:rPr>
            </w:pPr>
          </w:p>
          <w:p w14:paraId="1BC23FA8">
            <w:pPr>
              <w:pStyle w:val="7"/>
              <w:rPr>
                <w:color w:val="auto"/>
                <w:kern w:val="0"/>
                <w:szCs w:val="21"/>
              </w:rPr>
            </w:pPr>
          </w:p>
          <w:p w14:paraId="17C93CE4">
            <w:pPr>
              <w:rPr>
                <w:color w:val="auto"/>
                <w:kern w:val="0"/>
                <w:szCs w:val="21"/>
              </w:rPr>
            </w:pPr>
          </w:p>
          <w:p w14:paraId="3F2A481B">
            <w:pPr>
              <w:pStyle w:val="7"/>
              <w:rPr>
                <w:color w:val="auto"/>
                <w:kern w:val="0"/>
                <w:szCs w:val="21"/>
              </w:rPr>
            </w:pPr>
          </w:p>
          <w:p w14:paraId="1A03C018">
            <w:pPr>
              <w:rPr>
                <w:color w:val="auto"/>
                <w:kern w:val="0"/>
                <w:szCs w:val="21"/>
              </w:rPr>
            </w:pPr>
          </w:p>
          <w:p w14:paraId="39388BCA">
            <w:pPr>
              <w:pStyle w:val="7"/>
              <w:rPr>
                <w:color w:val="auto"/>
                <w:kern w:val="0"/>
                <w:szCs w:val="21"/>
              </w:rPr>
            </w:pPr>
          </w:p>
          <w:p w14:paraId="1CA5EA3F">
            <w:pPr>
              <w:rPr>
                <w:color w:val="auto"/>
                <w:kern w:val="0"/>
                <w:szCs w:val="21"/>
              </w:rPr>
            </w:pPr>
          </w:p>
          <w:p w14:paraId="382F26AE">
            <w:pPr>
              <w:pStyle w:val="32"/>
              <w:rPr>
                <w:color w:val="auto"/>
                <w:kern w:val="0"/>
                <w:szCs w:val="21"/>
              </w:rPr>
            </w:pPr>
          </w:p>
          <w:p w14:paraId="38D22FE0">
            <w:pPr>
              <w:rPr>
                <w:color w:val="auto"/>
                <w:kern w:val="0"/>
                <w:szCs w:val="21"/>
              </w:rPr>
            </w:pPr>
          </w:p>
          <w:p w14:paraId="6E70CBBD">
            <w:pPr>
              <w:pStyle w:val="32"/>
              <w:rPr>
                <w:color w:val="auto"/>
                <w:kern w:val="0"/>
                <w:szCs w:val="21"/>
              </w:rPr>
            </w:pPr>
          </w:p>
          <w:p w14:paraId="0CF7C58B">
            <w:pPr>
              <w:rPr>
                <w:color w:val="auto"/>
                <w:kern w:val="0"/>
                <w:szCs w:val="21"/>
              </w:rPr>
            </w:pPr>
          </w:p>
          <w:p w14:paraId="68955279">
            <w:pPr>
              <w:pStyle w:val="32"/>
              <w:rPr>
                <w:color w:val="auto"/>
              </w:rPr>
            </w:pPr>
          </w:p>
          <w:p w14:paraId="41F18F9F">
            <w:pPr>
              <w:pStyle w:val="7"/>
              <w:rPr>
                <w:color w:val="auto"/>
                <w:kern w:val="0"/>
                <w:szCs w:val="21"/>
              </w:rPr>
            </w:pPr>
          </w:p>
          <w:p w14:paraId="5EC4E398">
            <w:pPr>
              <w:rPr>
                <w:color w:val="auto"/>
                <w:kern w:val="0"/>
                <w:szCs w:val="21"/>
              </w:rPr>
            </w:pPr>
          </w:p>
          <w:p w14:paraId="1336C0E2">
            <w:pPr>
              <w:pStyle w:val="7"/>
              <w:rPr>
                <w:color w:val="auto"/>
                <w:kern w:val="0"/>
                <w:szCs w:val="21"/>
              </w:rPr>
            </w:pPr>
          </w:p>
          <w:p w14:paraId="5052B2BC">
            <w:pPr>
              <w:rPr>
                <w:color w:val="auto"/>
                <w:kern w:val="0"/>
                <w:szCs w:val="21"/>
              </w:rPr>
            </w:pPr>
          </w:p>
          <w:p w14:paraId="472B2038">
            <w:pPr>
              <w:pStyle w:val="7"/>
              <w:rPr>
                <w:color w:val="auto"/>
                <w:kern w:val="0"/>
                <w:szCs w:val="21"/>
              </w:rPr>
            </w:pPr>
          </w:p>
          <w:p w14:paraId="56CBF94D">
            <w:pPr>
              <w:rPr>
                <w:color w:val="auto"/>
                <w:kern w:val="0"/>
                <w:szCs w:val="21"/>
              </w:rPr>
            </w:pPr>
          </w:p>
          <w:p w14:paraId="6A94475D">
            <w:pPr>
              <w:pStyle w:val="7"/>
              <w:rPr>
                <w:color w:val="auto"/>
                <w:kern w:val="0"/>
                <w:szCs w:val="21"/>
              </w:rPr>
            </w:pPr>
          </w:p>
          <w:p w14:paraId="30921526">
            <w:pPr>
              <w:rPr>
                <w:color w:val="auto"/>
                <w:kern w:val="0"/>
                <w:szCs w:val="21"/>
              </w:rPr>
            </w:pPr>
          </w:p>
          <w:p w14:paraId="4218C8D1">
            <w:pPr>
              <w:pStyle w:val="7"/>
              <w:rPr>
                <w:color w:val="auto"/>
                <w:kern w:val="0"/>
                <w:szCs w:val="21"/>
              </w:rPr>
            </w:pPr>
          </w:p>
          <w:p w14:paraId="0FF62133">
            <w:pPr>
              <w:rPr>
                <w:color w:val="auto"/>
                <w:kern w:val="0"/>
                <w:szCs w:val="21"/>
              </w:rPr>
            </w:pPr>
          </w:p>
          <w:p w14:paraId="164A962B">
            <w:pPr>
              <w:rPr>
                <w:color w:val="auto"/>
              </w:rPr>
            </w:pPr>
          </w:p>
        </w:tc>
      </w:tr>
    </w:tbl>
    <w:p w14:paraId="1FA039EF">
      <w:pPr>
        <w:spacing w:line="360" w:lineRule="auto"/>
        <w:rPr>
          <w:rFonts w:eastAsia="黑体"/>
          <w:color w:val="auto"/>
          <w:sz w:val="30"/>
        </w:rPr>
        <w:sectPr>
          <w:pgSz w:w="11905" w:h="16838"/>
          <w:pgMar w:top="1417" w:right="1417" w:bottom="1417" w:left="1417" w:header="851" w:footer="1077" w:gutter="0"/>
          <w:pgNumType w:fmt="decimal"/>
          <w:cols w:space="720" w:num="1"/>
          <w:docGrid w:linePitch="312" w:charSpace="0"/>
        </w:sectPr>
      </w:pPr>
    </w:p>
    <w:p w14:paraId="52905EDE">
      <w:pPr>
        <w:pStyle w:val="2"/>
        <w:spacing w:before="0" w:after="0" w:line="240" w:lineRule="auto"/>
        <w:ind w:left="0" w:firstLine="0"/>
        <w:jc w:val="center"/>
        <w:rPr>
          <w:rFonts w:hint="eastAsia" w:ascii="宋体" w:hAnsi="宋体" w:eastAsia="宋体" w:cs="宋体"/>
          <w:color w:val="auto"/>
        </w:rPr>
      </w:pPr>
      <w:bookmarkStart w:id="57" w:name="_Toc14664"/>
      <w:bookmarkStart w:id="58" w:name="_Toc27312"/>
      <w:bookmarkStart w:id="59" w:name="_Toc20299"/>
      <w:r>
        <w:rPr>
          <w:rFonts w:hint="eastAsia" w:ascii="宋体" w:hAnsi="宋体" w:eastAsia="宋体" w:cs="宋体"/>
          <w:color w:val="auto"/>
        </w:rPr>
        <w:t>二、建设项目工程分析</w:t>
      </w:r>
      <w:bookmarkEnd w:id="57"/>
      <w:bookmarkEnd w:id="58"/>
      <w:bookmarkEnd w:id="59"/>
    </w:p>
    <w:tbl>
      <w:tblPr>
        <w:tblStyle w:val="25"/>
        <w:tblW w:w="928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7"/>
        <w:gridCol w:w="8830"/>
      </w:tblGrid>
      <w:tr w14:paraId="5B64C5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457" w:type="dxa"/>
            <w:vAlign w:val="center"/>
          </w:tcPr>
          <w:p w14:paraId="2A5AD643">
            <w:pPr>
              <w:pStyle w:val="21"/>
              <w:adjustRightInd w:val="0"/>
              <w:snapToGrid w:val="0"/>
              <w:spacing w:before="0" w:beforeAutospacing="0" w:after="0" w:afterAutospacing="0"/>
              <w:jc w:val="center"/>
              <w:rPr>
                <w:rFonts w:cs="宋体"/>
                <w:color w:val="auto"/>
                <w:sz w:val="21"/>
                <w:szCs w:val="21"/>
              </w:rPr>
            </w:pPr>
            <w:r>
              <w:rPr>
                <w:rFonts w:hint="eastAsia" w:cs="宋体"/>
                <w:b/>
                <w:bCs/>
                <w:color w:val="auto"/>
                <w:szCs w:val="24"/>
              </w:rPr>
              <w:t>建设内容</w:t>
            </w:r>
          </w:p>
        </w:tc>
        <w:tc>
          <w:tcPr>
            <w:tcW w:w="8830" w:type="dxa"/>
            <w:vAlign w:val="top"/>
          </w:tcPr>
          <w:p w14:paraId="3E61D78C">
            <w:pPr>
              <w:spacing w:line="360" w:lineRule="auto"/>
              <w:rPr>
                <w:b/>
                <w:bCs/>
                <w:color w:val="auto"/>
                <w:sz w:val="24"/>
              </w:rPr>
            </w:pPr>
            <w:bookmarkStart w:id="60" w:name="_Toc28338"/>
            <w:bookmarkStart w:id="61" w:name="_Toc21764"/>
            <w:r>
              <w:rPr>
                <w:b/>
                <w:bCs/>
                <w:color w:val="auto"/>
                <w:sz w:val="24"/>
              </w:rPr>
              <w:t>1</w:t>
            </w:r>
            <w:r>
              <w:rPr>
                <w:rFonts w:hint="eastAsia"/>
                <w:b/>
                <w:bCs/>
                <w:color w:val="auto"/>
                <w:sz w:val="24"/>
              </w:rPr>
              <w:t>、</w:t>
            </w:r>
            <w:r>
              <w:rPr>
                <w:b/>
                <w:bCs/>
                <w:color w:val="auto"/>
                <w:sz w:val="24"/>
              </w:rPr>
              <w:t>项目基本情况</w:t>
            </w:r>
            <w:bookmarkEnd w:id="60"/>
            <w:bookmarkEnd w:id="61"/>
          </w:p>
          <w:p w14:paraId="09EAE709">
            <w:pPr>
              <w:spacing w:line="360" w:lineRule="auto"/>
              <w:ind w:firstLine="480" w:firstLineChars="200"/>
              <w:rPr>
                <w:rFonts w:hint="eastAsia"/>
                <w:bCs/>
                <w:color w:val="auto"/>
                <w:sz w:val="24"/>
              </w:rPr>
            </w:pPr>
            <w:r>
              <w:rPr>
                <w:rFonts w:hint="eastAsia"/>
                <w:bCs/>
                <w:color w:val="auto"/>
                <w:sz w:val="24"/>
              </w:rPr>
              <w:t>随着人民生活水平及环保意识的不断提高，大众群体对家具的使用要求也越来越高。实木家具本着舒适、环保、高质量的优点，备受大众的青。近年来实木家具行业出现了持续增长态势，有较好的发展前景。</w:t>
            </w:r>
          </w:p>
          <w:p w14:paraId="64A40DB6">
            <w:pPr>
              <w:spacing w:line="360" w:lineRule="auto"/>
              <w:ind w:firstLine="480" w:firstLineChars="200"/>
              <w:rPr>
                <w:rFonts w:hint="eastAsia"/>
                <w:bCs/>
                <w:color w:val="auto"/>
                <w:sz w:val="24"/>
              </w:rPr>
            </w:pPr>
            <w:r>
              <w:rPr>
                <w:rFonts w:hint="eastAsia"/>
                <w:bCs/>
                <w:color w:val="auto"/>
                <w:sz w:val="24"/>
              </w:rPr>
              <w:t>为了满足社会群众对实木家具的消费需求，清丰法蒂豪庭家具有限公司抓住机遇，租赁</w:t>
            </w:r>
            <w:r>
              <w:rPr>
                <w:rFonts w:hint="eastAsia"/>
                <w:bCs/>
                <w:color w:val="auto"/>
                <w:sz w:val="24"/>
                <w:lang w:val="en-US" w:eastAsia="zh-CN"/>
              </w:rPr>
              <w:t>清风中顺家具有限公司</w:t>
            </w:r>
            <w:r>
              <w:rPr>
                <w:rFonts w:hint="eastAsia"/>
                <w:bCs/>
                <w:color w:val="auto"/>
                <w:sz w:val="24"/>
              </w:rPr>
              <w:t>的现有厂房和设备建设</w:t>
            </w:r>
            <w:r>
              <w:rPr>
                <w:rFonts w:hint="eastAsia"/>
                <w:color w:val="auto"/>
                <w:sz w:val="24"/>
              </w:rPr>
              <w:t>年产1万件（套）家具项目</w:t>
            </w:r>
            <w:r>
              <w:rPr>
                <w:rFonts w:hint="eastAsia"/>
                <w:bCs/>
                <w:color w:val="auto"/>
                <w:sz w:val="24"/>
              </w:rPr>
              <w:t>。项目占地面积</w:t>
            </w:r>
            <w:r>
              <w:rPr>
                <w:rFonts w:hint="eastAsia"/>
                <w:bCs/>
                <w:color w:val="auto"/>
                <w:sz w:val="24"/>
                <w:lang w:val="en-US" w:eastAsia="zh-CN"/>
              </w:rPr>
              <w:t>10500</w:t>
            </w:r>
            <w:r>
              <w:rPr>
                <w:rFonts w:hint="eastAsia"/>
                <w:bCs/>
                <w:color w:val="auto"/>
                <w:sz w:val="24"/>
              </w:rPr>
              <w:t>m</w:t>
            </w:r>
            <w:r>
              <w:rPr>
                <w:rFonts w:hint="eastAsia"/>
                <w:bCs/>
                <w:color w:val="auto"/>
                <w:sz w:val="24"/>
                <w:vertAlign w:val="superscript"/>
              </w:rPr>
              <w:t>2</w:t>
            </w:r>
            <w:r>
              <w:rPr>
                <w:rFonts w:hint="eastAsia"/>
                <w:bCs/>
                <w:color w:val="auto"/>
                <w:sz w:val="24"/>
              </w:rPr>
              <w:t>。建成后年产门类</w:t>
            </w:r>
            <w:r>
              <w:rPr>
                <w:rFonts w:hint="eastAsia"/>
                <w:bCs/>
                <w:color w:val="auto"/>
                <w:sz w:val="24"/>
                <w:lang w:val="en-US" w:eastAsia="zh-CN"/>
              </w:rPr>
              <w:t>家具</w:t>
            </w:r>
            <w:r>
              <w:rPr>
                <w:rFonts w:hint="eastAsia"/>
                <w:bCs/>
                <w:color w:val="auto"/>
                <w:sz w:val="24"/>
              </w:rPr>
              <w:t>3000</w:t>
            </w:r>
            <w:r>
              <w:rPr>
                <w:rFonts w:hint="eastAsia"/>
                <w:bCs/>
                <w:color w:val="auto"/>
                <w:sz w:val="24"/>
                <w:lang w:eastAsia="zh-CN"/>
              </w:rPr>
              <w:t>、</w:t>
            </w:r>
            <w:r>
              <w:rPr>
                <w:rFonts w:hint="eastAsia"/>
                <w:bCs/>
                <w:color w:val="auto"/>
                <w:sz w:val="24"/>
              </w:rPr>
              <w:t>柜类</w:t>
            </w:r>
            <w:r>
              <w:rPr>
                <w:rFonts w:hint="eastAsia"/>
                <w:bCs/>
                <w:color w:val="auto"/>
                <w:sz w:val="24"/>
                <w:lang w:val="en-US" w:eastAsia="zh-CN"/>
              </w:rPr>
              <w:t>家具</w:t>
            </w:r>
            <w:r>
              <w:rPr>
                <w:rFonts w:hint="eastAsia"/>
                <w:bCs/>
                <w:color w:val="auto"/>
                <w:sz w:val="24"/>
              </w:rPr>
              <w:t>5000</w:t>
            </w:r>
            <w:r>
              <w:rPr>
                <w:rFonts w:hint="eastAsia"/>
                <w:bCs/>
                <w:color w:val="auto"/>
                <w:sz w:val="24"/>
                <w:lang w:eastAsia="zh-CN"/>
              </w:rPr>
              <w:t>、</w:t>
            </w:r>
            <w:r>
              <w:rPr>
                <w:rFonts w:hint="eastAsia"/>
                <w:bCs/>
                <w:color w:val="auto"/>
                <w:sz w:val="24"/>
              </w:rPr>
              <w:t>墙板类</w:t>
            </w:r>
            <w:r>
              <w:rPr>
                <w:rFonts w:hint="eastAsia"/>
                <w:bCs/>
                <w:color w:val="auto"/>
                <w:sz w:val="24"/>
                <w:lang w:val="en-US" w:eastAsia="zh-CN"/>
              </w:rPr>
              <w:t>家具</w:t>
            </w:r>
            <w:r>
              <w:rPr>
                <w:rFonts w:hint="eastAsia"/>
                <w:bCs/>
                <w:color w:val="auto"/>
                <w:sz w:val="24"/>
              </w:rPr>
              <w:t>2000</w:t>
            </w:r>
            <w:r>
              <w:rPr>
                <w:rFonts w:hint="eastAsia"/>
                <w:bCs/>
                <w:color w:val="auto"/>
                <w:sz w:val="24"/>
                <w:lang w:val="en-US" w:eastAsia="zh-CN"/>
              </w:rPr>
              <w:t>套</w:t>
            </w:r>
            <w:r>
              <w:rPr>
                <w:rFonts w:hint="eastAsia"/>
                <w:bCs/>
                <w:color w:val="auto"/>
                <w:sz w:val="24"/>
              </w:rPr>
              <w:t>。</w:t>
            </w:r>
          </w:p>
          <w:p w14:paraId="7DBC52EE">
            <w:pPr>
              <w:spacing w:line="360" w:lineRule="auto"/>
              <w:ind w:firstLine="480" w:firstLineChars="200"/>
              <w:rPr>
                <w:rFonts w:hint="eastAsia"/>
                <w:bCs/>
                <w:color w:val="auto"/>
                <w:sz w:val="24"/>
              </w:rPr>
            </w:pPr>
            <w:r>
              <w:rPr>
                <w:rFonts w:hint="eastAsia"/>
                <w:bCs/>
                <w:color w:val="auto"/>
                <w:sz w:val="24"/>
              </w:rPr>
              <w:t>该项目已在清丰县先进制造业开发区备案，代码:</w:t>
            </w:r>
            <w:r>
              <w:rPr>
                <w:rFonts w:hint="eastAsia"/>
                <w:color w:val="auto"/>
                <w:sz w:val="24"/>
              </w:rPr>
              <w:t>2411-410922-04-01-471652</w:t>
            </w:r>
            <w:r>
              <w:rPr>
                <w:rFonts w:hint="eastAsia"/>
                <w:bCs/>
                <w:color w:val="auto"/>
                <w:sz w:val="24"/>
              </w:rPr>
              <w:t>，备案证明见附件 2。</w:t>
            </w:r>
          </w:p>
          <w:p w14:paraId="54830068">
            <w:pPr>
              <w:spacing w:line="360" w:lineRule="auto"/>
              <w:ind w:firstLine="480" w:firstLineChars="200"/>
              <w:rPr>
                <w:rFonts w:hint="eastAsia"/>
                <w:bCs/>
                <w:color w:val="auto"/>
                <w:sz w:val="24"/>
              </w:rPr>
            </w:pPr>
            <w:r>
              <w:rPr>
                <w:rFonts w:hint="eastAsia"/>
                <w:bCs/>
                <w:color w:val="auto"/>
                <w:sz w:val="24"/>
              </w:rPr>
              <w:t>根据《建设项目环境影响评价分类管理名录</w:t>
            </w:r>
            <w:r>
              <w:rPr>
                <w:rFonts w:hint="eastAsia"/>
                <w:bCs/>
                <w:color w:val="auto"/>
                <w:sz w:val="24"/>
                <w:lang w:eastAsia="zh-CN"/>
              </w:rPr>
              <w:t>（</w:t>
            </w:r>
            <w:r>
              <w:rPr>
                <w:rFonts w:hint="eastAsia"/>
                <w:bCs/>
                <w:color w:val="auto"/>
                <w:sz w:val="24"/>
              </w:rPr>
              <w:t>2021年版</w:t>
            </w:r>
            <w:r>
              <w:rPr>
                <w:rFonts w:hint="eastAsia"/>
                <w:bCs/>
                <w:color w:val="auto"/>
                <w:sz w:val="24"/>
                <w:lang w:eastAsia="zh-CN"/>
              </w:rPr>
              <w:t>）</w:t>
            </w:r>
            <w:r>
              <w:rPr>
                <w:rFonts w:hint="eastAsia"/>
                <w:bCs/>
                <w:color w:val="auto"/>
                <w:sz w:val="24"/>
              </w:rPr>
              <w:t>》(生态环境部令第16号)，本项目油性漆用量</w:t>
            </w:r>
            <w:r>
              <w:rPr>
                <w:rFonts w:hint="eastAsia"/>
                <w:bCs/>
                <w:color w:val="auto"/>
                <w:sz w:val="24"/>
                <w:lang w:val="en-US" w:eastAsia="zh-CN"/>
              </w:rPr>
              <w:t>7.816t/</w:t>
            </w:r>
            <w:r>
              <w:rPr>
                <w:rFonts w:hint="eastAsia"/>
                <w:bCs/>
                <w:color w:val="auto"/>
                <w:sz w:val="24"/>
              </w:rPr>
              <w:t>a，水性漆用量</w:t>
            </w:r>
            <w:r>
              <w:rPr>
                <w:rFonts w:hint="eastAsia"/>
                <w:bCs/>
                <w:color w:val="auto"/>
                <w:sz w:val="24"/>
                <w:lang w:val="en-US" w:eastAsia="zh-CN"/>
              </w:rPr>
              <w:t>8.273</w:t>
            </w:r>
            <w:r>
              <w:rPr>
                <w:rFonts w:hint="eastAsia"/>
                <w:bCs/>
                <w:color w:val="auto"/>
                <w:sz w:val="24"/>
              </w:rPr>
              <w:t>t/a，属于“十八、家具制造业 21”中的“36 木质家具制造 211”</w:t>
            </w:r>
            <w:r>
              <w:rPr>
                <w:rFonts w:hint="eastAsia"/>
                <w:bCs/>
                <w:color w:val="auto"/>
                <w:sz w:val="24"/>
                <w:lang w:eastAsia="zh-CN"/>
              </w:rPr>
              <w:t>，</w:t>
            </w:r>
            <w:r>
              <w:rPr>
                <w:rFonts w:hint="eastAsia"/>
                <w:bCs/>
                <w:color w:val="auto"/>
                <w:sz w:val="24"/>
              </w:rPr>
              <w:t>“其他(仅分割、组装的除外</w:t>
            </w:r>
            <w:r>
              <w:rPr>
                <w:rFonts w:hint="eastAsia"/>
                <w:bCs/>
                <w:color w:val="auto"/>
                <w:sz w:val="24"/>
                <w:lang w:eastAsia="zh-CN"/>
              </w:rPr>
              <w:t>，</w:t>
            </w:r>
            <w:r>
              <w:rPr>
                <w:rFonts w:hint="eastAsia"/>
                <w:bCs/>
                <w:color w:val="auto"/>
                <w:sz w:val="24"/>
              </w:rPr>
              <w:t>年用非设|溶剂型低 VOCs含量涂料10吨以下的除外)”，因此应编制环境影响报告表。</w:t>
            </w:r>
          </w:p>
          <w:p w14:paraId="4375DD59">
            <w:pPr>
              <w:spacing w:line="360" w:lineRule="auto"/>
              <w:ind w:firstLine="480" w:firstLineChars="200"/>
              <w:rPr>
                <w:rFonts w:hint="eastAsia"/>
                <w:bCs/>
                <w:color w:val="auto"/>
                <w:sz w:val="24"/>
              </w:rPr>
            </w:pPr>
            <w:r>
              <w:rPr>
                <w:rFonts w:hint="eastAsia"/>
                <w:bCs/>
                <w:color w:val="auto"/>
                <w:sz w:val="24"/>
              </w:rPr>
              <w:t>另外根据“河南省建设项目环评告知承诺制审批正面清单</w:t>
            </w:r>
            <w:r>
              <w:rPr>
                <w:rFonts w:hint="eastAsia"/>
                <w:bCs/>
                <w:color w:val="auto"/>
                <w:sz w:val="24"/>
                <w:lang w:eastAsia="zh-CN"/>
              </w:rPr>
              <w:t>（</w:t>
            </w:r>
            <w:r>
              <w:rPr>
                <w:rFonts w:hint="eastAsia"/>
                <w:bCs/>
                <w:color w:val="auto"/>
                <w:sz w:val="24"/>
              </w:rPr>
              <w:t>2022年版</w:t>
            </w:r>
            <w:r>
              <w:rPr>
                <w:rFonts w:hint="eastAsia"/>
                <w:bCs/>
                <w:color w:val="auto"/>
                <w:sz w:val="24"/>
                <w:lang w:eastAsia="zh-CN"/>
              </w:rPr>
              <w:t>）</w:t>
            </w:r>
            <w:r>
              <w:rPr>
                <w:rFonts w:hint="eastAsia"/>
                <w:bCs/>
                <w:color w:val="auto"/>
                <w:sz w:val="24"/>
              </w:rPr>
              <w:t>”中要求“位于市级以上产业园内，项目类别为木质家具制造211，编制环境影响报告表的项目”实施环评告知承诺制，本项目位于清丰县先进制造业开发区，属于市级以上产业园，项目类别为木质家具制造211，且编制环境影响报告表，因此本项目应实施环评告知承诺制。</w:t>
            </w:r>
          </w:p>
          <w:p w14:paraId="6A9D93FA">
            <w:pPr>
              <w:spacing w:line="360" w:lineRule="auto"/>
              <w:ind w:firstLine="480" w:firstLineChars="200"/>
              <w:rPr>
                <w:rFonts w:hint="eastAsia"/>
                <w:bCs/>
                <w:color w:val="auto"/>
                <w:sz w:val="24"/>
              </w:rPr>
            </w:pPr>
            <w:r>
              <w:rPr>
                <w:rFonts w:hint="eastAsia"/>
                <w:bCs/>
                <w:color w:val="auto"/>
                <w:sz w:val="24"/>
              </w:rPr>
              <w:t>建设单位委托我公司承担本项目的环境影响评价工作(委托书见附件1)接受委托后，我公司立即组织有关技术人员，进行了现场调查、环境敏感点(保护目标)的识别、资料收集与分析等工作，并在此基础上，根据环境影响评价技术导则的相关要求，本着“科学、公正、客观”的态度，编制完成了本项目环境影响报告表，供建设单位上报环境保护行政主管部门审批</w:t>
            </w:r>
          </w:p>
          <w:p w14:paraId="634A5632">
            <w:pPr>
              <w:spacing w:line="360" w:lineRule="auto"/>
              <w:rPr>
                <w:rFonts w:hint="eastAsia"/>
                <w:b/>
                <w:bCs/>
                <w:color w:val="auto"/>
                <w:sz w:val="24"/>
              </w:rPr>
            </w:pPr>
            <w:bookmarkStart w:id="62" w:name="_Toc14347"/>
            <w:bookmarkStart w:id="63" w:name="_Toc20370"/>
            <w:r>
              <w:rPr>
                <w:rFonts w:hint="eastAsia"/>
                <w:b/>
                <w:bCs/>
                <w:color w:val="auto"/>
                <w:sz w:val="24"/>
              </w:rPr>
              <w:t>2、项目概况</w:t>
            </w:r>
            <w:bookmarkEnd w:id="62"/>
            <w:bookmarkEnd w:id="63"/>
          </w:p>
          <w:p w14:paraId="76BDC4DB">
            <w:pPr>
              <w:spacing w:line="360" w:lineRule="auto"/>
              <w:ind w:firstLine="480" w:firstLineChars="200"/>
              <w:rPr>
                <w:rFonts w:hint="eastAsia"/>
                <w:bCs/>
                <w:color w:val="auto"/>
                <w:sz w:val="24"/>
              </w:rPr>
            </w:pPr>
            <w:r>
              <w:rPr>
                <w:bCs/>
                <w:color w:val="auto"/>
                <w:sz w:val="24"/>
              </w:rPr>
              <w:t>本项目位于河南省濮阳市清丰县</w:t>
            </w:r>
            <w:r>
              <w:rPr>
                <w:rFonts w:hint="eastAsia"/>
                <w:bCs/>
                <w:color w:val="auto"/>
                <w:sz w:val="24"/>
              </w:rPr>
              <w:t>先进制造业开发区</w:t>
            </w:r>
            <w:r>
              <w:rPr>
                <w:bCs/>
                <w:color w:val="auto"/>
                <w:sz w:val="24"/>
              </w:rPr>
              <w:t>（晓月路与兴业路交叉口东100米路北），</w:t>
            </w:r>
            <w:r>
              <w:rPr>
                <w:rFonts w:hint="eastAsia"/>
                <w:bCs/>
                <w:color w:val="auto"/>
                <w:sz w:val="24"/>
              </w:rPr>
              <w:t>项目租赁中顺家具厂区西侧两座车间进行建设，北侧为祥业路，隔路为森美达家具、追浪体育用品；南侧兴业路，隔路为皇佳彼德家具；东侧为中顺家具车间、东方尚品木业和美福源板业；西侧为亨居尚泮家具和汇璟木业；距离本项目最近的敏感点为西侧</w:t>
            </w:r>
            <w:r>
              <w:rPr>
                <w:rFonts w:hint="eastAsia"/>
                <w:b/>
                <w:bCs w:val="0"/>
                <w:color w:val="auto"/>
                <w:sz w:val="24"/>
                <w:u w:val="single"/>
              </w:rPr>
              <w:t>360m</w:t>
            </w:r>
            <w:r>
              <w:rPr>
                <w:rFonts w:hint="eastAsia"/>
                <w:bCs/>
                <w:color w:val="auto"/>
                <w:sz w:val="24"/>
              </w:rPr>
              <w:t>处的南夏固村</w:t>
            </w:r>
            <w:r>
              <w:rPr>
                <w:bCs/>
                <w:color w:val="auto"/>
                <w:sz w:val="24"/>
              </w:rPr>
              <w:t>。项目地理位置图见附图</w:t>
            </w:r>
            <w:r>
              <w:rPr>
                <w:rFonts w:hint="eastAsia"/>
                <w:bCs/>
                <w:color w:val="auto"/>
                <w:sz w:val="24"/>
                <w:lang w:val="en-US" w:eastAsia="zh-CN"/>
              </w:rPr>
              <w:t>一</w:t>
            </w:r>
            <w:r>
              <w:rPr>
                <w:bCs/>
                <w:color w:val="auto"/>
                <w:sz w:val="24"/>
              </w:rPr>
              <w:t>，项目环境保护目标分布图见附图</w:t>
            </w:r>
            <w:r>
              <w:rPr>
                <w:rFonts w:hint="eastAsia"/>
                <w:bCs/>
                <w:color w:val="auto"/>
                <w:sz w:val="24"/>
                <w:lang w:val="en-US" w:eastAsia="zh-CN"/>
              </w:rPr>
              <w:t>二</w:t>
            </w:r>
            <w:r>
              <w:rPr>
                <w:rFonts w:hint="eastAsia"/>
                <w:bCs/>
                <w:color w:val="auto"/>
                <w:sz w:val="24"/>
              </w:rPr>
              <w:t>，项目周边企业分布图见附图</w:t>
            </w:r>
            <w:r>
              <w:rPr>
                <w:rFonts w:hint="eastAsia"/>
                <w:bCs/>
                <w:color w:val="auto"/>
                <w:sz w:val="24"/>
                <w:lang w:val="en-US" w:eastAsia="zh-CN"/>
              </w:rPr>
              <w:t>三</w:t>
            </w:r>
            <w:r>
              <w:rPr>
                <w:rFonts w:hint="eastAsia"/>
                <w:bCs/>
                <w:color w:val="auto"/>
                <w:sz w:val="24"/>
              </w:rPr>
              <w:t>。</w:t>
            </w:r>
          </w:p>
          <w:p w14:paraId="387A49B6">
            <w:pPr>
              <w:spacing w:line="360" w:lineRule="auto"/>
              <w:ind w:firstLine="480" w:firstLineChars="200"/>
              <w:rPr>
                <w:bCs/>
                <w:color w:val="auto"/>
                <w:sz w:val="24"/>
              </w:rPr>
            </w:pPr>
            <w:r>
              <w:rPr>
                <w:color w:val="auto"/>
                <w:sz w:val="24"/>
              </w:rPr>
              <w:t>本项目基本情况见</w:t>
            </w:r>
            <w:r>
              <w:rPr>
                <w:rFonts w:hint="eastAsia"/>
                <w:color w:val="auto"/>
                <w:sz w:val="24"/>
              </w:rPr>
              <w:t>下表。</w:t>
            </w:r>
          </w:p>
          <w:p w14:paraId="3B00AFCB">
            <w:pPr>
              <w:pStyle w:val="46"/>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eastAsia" w:ascii="Times New Roman" w:hAnsi="Arial Unicode MS" w:eastAsia="宋体" w:cs="Times New Roman"/>
                <w:b/>
                <w:color w:val="auto"/>
                <w:kern w:val="2"/>
                <w:sz w:val="24"/>
                <w:szCs w:val="24"/>
                <w:lang w:val="en-US" w:eastAsia="zh-CN" w:bidi="ar-SA"/>
              </w:rPr>
            </w:pPr>
            <w:r>
              <w:rPr>
                <w:rFonts w:hint="eastAsia" w:ascii="Times New Roman" w:hAnsi="Arial Unicode MS" w:eastAsia="宋体" w:cs="Times New Roman"/>
                <w:b/>
                <w:color w:val="auto"/>
                <w:kern w:val="2"/>
                <w:sz w:val="24"/>
                <w:szCs w:val="24"/>
                <w:lang w:val="en-US" w:eastAsia="zh-CN" w:bidi="ar-SA"/>
              </w:rPr>
              <w:t>项目基本情况表</w:t>
            </w:r>
          </w:p>
          <w:tbl>
            <w:tblPr>
              <w:tblStyle w:val="25"/>
              <w:tblW w:w="86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57" w:type="dxa"/>
                <w:bottom w:w="45" w:type="dxa"/>
                <w:right w:w="57" w:type="dxa"/>
              </w:tblCellMar>
            </w:tblPr>
            <w:tblGrid>
              <w:gridCol w:w="630"/>
              <w:gridCol w:w="1420"/>
              <w:gridCol w:w="5780"/>
              <w:gridCol w:w="778"/>
            </w:tblGrid>
            <w:tr w14:paraId="2CAFA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57" w:type="dxa"/>
                  <w:bottom w:w="45" w:type="dxa"/>
                  <w:right w:w="57" w:type="dxa"/>
                </w:tblCellMar>
              </w:tblPrEx>
              <w:trPr>
                <w:trHeight w:val="283" w:hRule="atLeast"/>
                <w:jc w:val="center"/>
              </w:trPr>
              <w:tc>
                <w:tcPr>
                  <w:tcW w:w="630" w:type="dxa"/>
                  <w:vAlign w:val="center"/>
                </w:tcPr>
                <w:p w14:paraId="6754145F">
                  <w:pPr>
                    <w:snapToGrid w:val="0"/>
                    <w:jc w:val="center"/>
                    <w:rPr>
                      <w:b/>
                      <w:bCs/>
                      <w:color w:val="auto"/>
                      <w:szCs w:val="21"/>
                    </w:rPr>
                  </w:pPr>
                  <w:r>
                    <w:rPr>
                      <w:b/>
                      <w:bCs/>
                      <w:color w:val="auto"/>
                      <w:szCs w:val="21"/>
                    </w:rPr>
                    <w:t>序号</w:t>
                  </w:r>
                </w:p>
              </w:tc>
              <w:tc>
                <w:tcPr>
                  <w:tcW w:w="1420" w:type="dxa"/>
                  <w:vAlign w:val="center"/>
                </w:tcPr>
                <w:p w14:paraId="6672922C">
                  <w:pPr>
                    <w:snapToGrid w:val="0"/>
                    <w:jc w:val="center"/>
                    <w:rPr>
                      <w:b/>
                      <w:bCs/>
                      <w:color w:val="auto"/>
                      <w:szCs w:val="21"/>
                    </w:rPr>
                  </w:pPr>
                  <w:r>
                    <w:rPr>
                      <w:b/>
                      <w:bCs/>
                      <w:color w:val="auto"/>
                      <w:szCs w:val="21"/>
                    </w:rPr>
                    <w:t>名  称</w:t>
                  </w:r>
                </w:p>
              </w:tc>
              <w:tc>
                <w:tcPr>
                  <w:tcW w:w="5780" w:type="dxa"/>
                  <w:vAlign w:val="center"/>
                </w:tcPr>
                <w:p w14:paraId="05F90ACB">
                  <w:pPr>
                    <w:snapToGrid w:val="0"/>
                    <w:jc w:val="center"/>
                    <w:rPr>
                      <w:b/>
                      <w:bCs/>
                      <w:color w:val="auto"/>
                      <w:szCs w:val="21"/>
                    </w:rPr>
                  </w:pPr>
                  <w:r>
                    <w:rPr>
                      <w:b/>
                      <w:bCs/>
                      <w:color w:val="auto"/>
                      <w:szCs w:val="21"/>
                    </w:rPr>
                    <w:t>内容</w:t>
                  </w:r>
                </w:p>
              </w:tc>
              <w:tc>
                <w:tcPr>
                  <w:tcW w:w="778" w:type="dxa"/>
                  <w:vAlign w:val="center"/>
                </w:tcPr>
                <w:p w14:paraId="0156CECC">
                  <w:pPr>
                    <w:snapToGrid w:val="0"/>
                    <w:jc w:val="center"/>
                    <w:rPr>
                      <w:b/>
                      <w:bCs/>
                      <w:color w:val="auto"/>
                      <w:szCs w:val="21"/>
                    </w:rPr>
                  </w:pPr>
                  <w:r>
                    <w:rPr>
                      <w:b/>
                      <w:bCs/>
                      <w:color w:val="auto"/>
                      <w:szCs w:val="21"/>
                    </w:rPr>
                    <w:t>备注</w:t>
                  </w:r>
                </w:p>
              </w:tc>
            </w:tr>
            <w:tr w14:paraId="5BB02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57" w:type="dxa"/>
                  <w:bottom w:w="45" w:type="dxa"/>
                  <w:right w:w="57" w:type="dxa"/>
                </w:tblCellMar>
              </w:tblPrEx>
              <w:trPr>
                <w:trHeight w:val="90" w:hRule="atLeast"/>
                <w:jc w:val="center"/>
              </w:trPr>
              <w:tc>
                <w:tcPr>
                  <w:tcW w:w="630" w:type="dxa"/>
                  <w:vAlign w:val="center"/>
                </w:tcPr>
                <w:p w14:paraId="239410D9">
                  <w:pPr>
                    <w:snapToGrid w:val="0"/>
                    <w:jc w:val="center"/>
                    <w:rPr>
                      <w:color w:val="auto"/>
                      <w:szCs w:val="21"/>
                    </w:rPr>
                  </w:pPr>
                  <w:r>
                    <w:rPr>
                      <w:color w:val="auto"/>
                      <w:szCs w:val="21"/>
                    </w:rPr>
                    <w:t>1</w:t>
                  </w:r>
                </w:p>
              </w:tc>
              <w:tc>
                <w:tcPr>
                  <w:tcW w:w="1420" w:type="dxa"/>
                  <w:vAlign w:val="center"/>
                </w:tcPr>
                <w:p w14:paraId="25D8B35F">
                  <w:pPr>
                    <w:snapToGrid w:val="0"/>
                    <w:jc w:val="center"/>
                    <w:rPr>
                      <w:color w:val="auto"/>
                      <w:szCs w:val="21"/>
                    </w:rPr>
                  </w:pPr>
                  <w:r>
                    <w:rPr>
                      <w:color w:val="auto"/>
                      <w:szCs w:val="21"/>
                    </w:rPr>
                    <w:t>项目名称</w:t>
                  </w:r>
                </w:p>
              </w:tc>
              <w:tc>
                <w:tcPr>
                  <w:tcW w:w="5780" w:type="dxa"/>
                  <w:vAlign w:val="center"/>
                </w:tcPr>
                <w:p w14:paraId="570CAAD1">
                  <w:pPr>
                    <w:snapToGrid w:val="0"/>
                    <w:jc w:val="center"/>
                    <w:rPr>
                      <w:color w:val="auto"/>
                      <w:szCs w:val="21"/>
                    </w:rPr>
                  </w:pPr>
                  <w:r>
                    <w:rPr>
                      <w:rFonts w:hint="eastAsia"/>
                      <w:color w:val="auto"/>
                      <w:szCs w:val="21"/>
                    </w:rPr>
                    <w:t>清丰法蒂豪庭家具有限公司</w:t>
                  </w:r>
                  <w:r>
                    <w:rPr>
                      <w:color w:val="auto"/>
                      <w:szCs w:val="21"/>
                    </w:rPr>
                    <w:t>年产1万件（套）家具项目</w:t>
                  </w:r>
                </w:p>
              </w:tc>
              <w:tc>
                <w:tcPr>
                  <w:tcW w:w="778" w:type="dxa"/>
                  <w:vAlign w:val="center"/>
                </w:tcPr>
                <w:p w14:paraId="6FD93769">
                  <w:pPr>
                    <w:snapToGrid w:val="0"/>
                    <w:jc w:val="center"/>
                    <w:rPr>
                      <w:color w:val="auto"/>
                      <w:szCs w:val="21"/>
                    </w:rPr>
                  </w:pPr>
                  <w:r>
                    <w:rPr>
                      <w:color w:val="auto"/>
                      <w:szCs w:val="21"/>
                    </w:rPr>
                    <w:t>/</w:t>
                  </w:r>
                </w:p>
              </w:tc>
            </w:tr>
            <w:tr w14:paraId="4CB6E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57" w:type="dxa"/>
                  <w:bottom w:w="45" w:type="dxa"/>
                  <w:right w:w="57" w:type="dxa"/>
                </w:tblCellMar>
              </w:tblPrEx>
              <w:trPr>
                <w:trHeight w:val="90" w:hRule="atLeast"/>
                <w:jc w:val="center"/>
              </w:trPr>
              <w:tc>
                <w:tcPr>
                  <w:tcW w:w="630" w:type="dxa"/>
                  <w:vAlign w:val="center"/>
                </w:tcPr>
                <w:p w14:paraId="365CA0EA">
                  <w:pPr>
                    <w:snapToGrid w:val="0"/>
                    <w:jc w:val="center"/>
                    <w:rPr>
                      <w:color w:val="auto"/>
                      <w:szCs w:val="21"/>
                    </w:rPr>
                  </w:pPr>
                  <w:r>
                    <w:rPr>
                      <w:color w:val="auto"/>
                      <w:szCs w:val="21"/>
                    </w:rPr>
                    <w:t>2</w:t>
                  </w:r>
                </w:p>
              </w:tc>
              <w:tc>
                <w:tcPr>
                  <w:tcW w:w="1420" w:type="dxa"/>
                  <w:vAlign w:val="center"/>
                </w:tcPr>
                <w:p w14:paraId="7F75EB5F">
                  <w:pPr>
                    <w:snapToGrid w:val="0"/>
                    <w:jc w:val="center"/>
                    <w:rPr>
                      <w:color w:val="auto"/>
                      <w:szCs w:val="21"/>
                    </w:rPr>
                  </w:pPr>
                  <w:r>
                    <w:rPr>
                      <w:color w:val="auto"/>
                      <w:szCs w:val="21"/>
                    </w:rPr>
                    <w:t>建设性质</w:t>
                  </w:r>
                </w:p>
              </w:tc>
              <w:tc>
                <w:tcPr>
                  <w:tcW w:w="5780" w:type="dxa"/>
                  <w:vAlign w:val="center"/>
                </w:tcPr>
                <w:p w14:paraId="36ACBB25">
                  <w:pPr>
                    <w:snapToGrid w:val="0"/>
                    <w:jc w:val="center"/>
                    <w:rPr>
                      <w:color w:val="auto"/>
                      <w:szCs w:val="21"/>
                    </w:rPr>
                  </w:pPr>
                  <w:r>
                    <w:rPr>
                      <w:color w:val="auto"/>
                      <w:szCs w:val="21"/>
                    </w:rPr>
                    <w:t>新建</w:t>
                  </w:r>
                </w:p>
              </w:tc>
              <w:tc>
                <w:tcPr>
                  <w:tcW w:w="778" w:type="dxa"/>
                  <w:vAlign w:val="center"/>
                </w:tcPr>
                <w:p w14:paraId="1C568476">
                  <w:pPr>
                    <w:snapToGrid w:val="0"/>
                    <w:jc w:val="center"/>
                    <w:rPr>
                      <w:color w:val="auto"/>
                      <w:szCs w:val="21"/>
                    </w:rPr>
                  </w:pPr>
                  <w:r>
                    <w:rPr>
                      <w:color w:val="auto"/>
                      <w:szCs w:val="21"/>
                    </w:rPr>
                    <w:t>/</w:t>
                  </w:r>
                </w:p>
              </w:tc>
            </w:tr>
            <w:tr w14:paraId="7F66A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57" w:type="dxa"/>
                  <w:bottom w:w="45" w:type="dxa"/>
                  <w:right w:w="57" w:type="dxa"/>
                </w:tblCellMar>
              </w:tblPrEx>
              <w:trPr>
                <w:trHeight w:val="283" w:hRule="atLeast"/>
                <w:jc w:val="center"/>
              </w:trPr>
              <w:tc>
                <w:tcPr>
                  <w:tcW w:w="630" w:type="dxa"/>
                  <w:vAlign w:val="center"/>
                </w:tcPr>
                <w:p w14:paraId="485800BF">
                  <w:pPr>
                    <w:snapToGrid w:val="0"/>
                    <w:jc w:val="center"/>
                    <w:rPr>
                      <w:color w:val="auto"/>
                      <w:szCs w:val="21"/>
                    </w:rPr>
                  </w:pPr>
                  <w:r>
                    <w:rPr>
                      <w:color w:val="auto"/>
                      <w:szCs w:val="21"/>
                    </w:rPr>
                    <w:t>3</w:t>
                  </w:r>
                </w:p>
              </w:tc>
              <w:tc>
                <w:tcPr>
                  <w:tcW w:w="1420" w:type="dxa"/>
                  <w:vAlign w:val="center"/>
                </w:tcPr>
                <w:p w14:paraId="42DE8586">
                  <w:pPr>
                    <w:snapToGrid w:val="0"/>
                    <w:jc w:val="center"/>
                    <w:rPr>
                      <w:color w:val="auto"/>
                      <w:szCs w:val="21"/>
                    </w:rPr>
                  </w:pPr>
                  <w:r>
                    <w:rPr>
                      <w:color w:val="auto"/>
                      <w:szCs w:val="21"/>
                    </w:rPr>
                    <w:t>建设地点</w:t>
                  </w:r>
                </w:p>
              </w:tc>
              <w:tc>
                <w:tcPr>
                  <w:tcW w:w="5780" w:type="dxa"/>
                  <w:vAlign w:val="center"/>
                </w:tcPr>
                <w:p w14:paraId="7C152F51">
                  <w:pPr>
                    <w:snapToGrid w:val="0"/>
                    <w:jc w:val="center"/>
                    <w:rPr>
                      <w:rFonts w:hint="eastAsia"/>
                      <w:color w:val="auto"/>
                      <w:szCs w:val="21"/>
                    </w:rPr>
                  </w:pPr>
                  <w:r>
                    <w:rPr>
                      <w:color w:val="auto"/>
                      <w:szCs w:val="21"/>
                    </w:rPr>
                    <w:t>河南省濮阳市清丰县</w:t>
                  </w:r>
                  <w:r>
                    <w:rPr>
                      <w:rFonts w:hint="eastAsia"/>
                      <w:color w:val="auto"/>
                      <w:szCs w:val="21"/>
                    </w:rPr>
                    <w:t>先进制造业开发区</w:t>
                  </w:r>
                </w:p>
                <w:p w14:paraId="55250887">
                  <w:pPr>
                    <w:snapToGrid w:val="0"/>
                    <w:jc w:val="center"/>
                    <w:rPr>
                      <w:color w:val="auto"/>
                      <w:szCs w:val="21"/>
                    </w:rPr>
                  </w:pPr>
                  <w:r>
                    <w:rPr>
                      <w:color w:val="auto"/>
                      <w:szCs w:val="21"/>
                    </w:rPr>
                    <w:t>（晓月路与兴业路交叉口东100米路北）</w:t>
                  </w:r>
                </w:p>
              </w:tc>
              <w:tc>
                <w:tcPr>
                  <w:tcW w:w="778" w:type="dxa"/>
                  <w:vAlign w:val="center"/>
                </w:tcPr>
                <w:p w14:paraId="794931EF">
                  <w:pPr>
                    <w:snapToGrid w:val="0"/>
                    <w:jc w:val="center"/>
                    <w:rPr>
                      <w:color w:val="auto"/>
                      <w:szCs w:val="21"/>
                    </w:rPr>
                  </w:pPr>
                  <w:r>
                    <w:rPr>
                      <w:color w:val="auto"/>
                      <w:szCs w:val="21"/>
                    </w:rPr>
                    <w:t>/</w:t>
                  </w:r>
                </w:p>
              </w:tc>
            </w:tr>
            <w:tr w14:paraId="0BC87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57" w:type="dxa"/>
                  <w:bottom w:w="45" w:type="dxa"/>
                  <w:right w:w="57" w:type="dxa"/>
                </w:tblCellMar>
              </w:tblPrEx>
              <w:trPr>
                <w:trHeight w:val="283" w:hRule="atLeast"/>
                <w:jc w:val="center"/>
              </w:trPr>
              <w:tc>
                <w:tcPr>
                  <w:tcW w:w="630" w:type="dxa"/>
                  <w:vAlign w:val="center"/>
                </w:tcPr>
                <w:p w14:paraId="37505DB9">
                  <w:pPr>
                    <w:snapToGrid w:val="0"/>
                    <w:jc w:val="center"/>
                    <w:rPr>
                      <w:color w:val="auto"/>
                      <w:szCs w:val="21"/>
                    </w:rPr>
                  </w:pPr>
                  <w:r>
                    <w:rPr>
                      <w:color w:val="auto"/>
                      <w:szCs w:val="21"/>
                    </w:rPr>
                    <w:t>4</w:t>
                  </w:r>
                </w:p>
              </w:tc>
              <w:tc>
                <w:tcPr>
                  <w:tcW w:w="1420" w:type="dxa"/>
                  <w:vAlign w:val="center"/>
                </w:tcPr>
                <w:p w14:paraId="47725CE9">
                  <w:pPr>
                    <w:snapToGrid w:val="0"/>
                    <w:jc w:val="center"/>
                    <w:rPr>
                      <w:color w:val="auto"/>
                      <w:szCs w:val="21"/>
                    </w:rPr>
                  </w:pPr>
                  <w:r>
                    <w:rPr>
                      <w:color w:val="auto"/>
                      <w:szCs w:val="21"/>
                    </w:rPr>
                    <w:t>建筑面积</w:t>
                  </w:r>
                </w:p>
              </w:tc>
              <w:tc>
                <w:tcPr>
                  <w:tcW w:w="5780" w:type="dxa"/>
                  <w:vAlign w:val="center"/>
                </w:tcPr>
                <w:p w14:paraId="573A8C42">
                  <w:pPr>
                    <w:snapToGrid w:val="0"/>
                    <w:jc w:val="center"/>
                    <w:rPr>
                      <w:color w:val="auto"/>
                      <w:szCs w:val="21"/>
                      <w:highlight w:val="none"/>
                    </w:rPr>
                  </w:pPr>
                  <w:r>
                    <w:rPr>
                      <w:rFonts w:hint="eastAsia"/>
                      <w:color w:val="auto"/>
                      <w:szCs w:val="21"/>
                      <w:highlight w:val="none"/>
                    </w:rPr>
                    <w:t>10500m</w:t>
                  </w:r>
                  <w:r>
                    <w:rPr>
                      <w:rFonts w:hint="eastAsia"/>
                      <w:color w:val="auto"/>
                      <w:szCs w:val="21"/>
                      <w:highlight w:val="none"/>
                      <w:vertAlign w:val="superscript"/>
                    </w:rPr>
                    <w:t>2</w:t>
                  </w:r>
                </w:p>
              </w:tc>
              <w:tc>
                <w:tcPr>
                  <w:tcW w:w="778" w:type="dxa"/>
                  <w:vAlign w:val="center"/>
                </w:tcPr>
                <w:p w14:paraId="59F51FD8">
                  <w:pPr>
                    <w:snapToGrid w:val="0"/>
                    <w:jc w:val="center"/>
                    <w:rPr>
                      <w:color w:val="auto"/>
                      <w:szCs w:val="21"/>
                    </w:rPr>
                  </w:pPr>
                  <w:r>
                    <w:rPr>
                      <w:color w:val="auto"/>
                      <w:szCs w:val="21"/>
                    </w:rPr>
                    <w:t>/</w:t>
                  </w:r>
                </w:p>
              </w:tc>
            </w:tr>
            <w:tr w14:paraId="3CBF9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57" w:type="dxa"/>
                  <w:bottom w:w="45" w:type="dxa"/>
                  <w:right w:w="57" w:type="dxa"/>
                </w:tblCellMar>
              </w:tblPrEx>
              <w:trPr>
                <w:trHeight w:val="283" w:hRule="atLeast"/>
                <w:jc w:val="center"/>
              </w:trPr>
              <w:tc>
                <w:tcPr>
                  <w:tcW w:w="630" w:type="dxa"/>
                  <w:vAlign w:val="center"/>
                </w:tcPr>
                <w:p w14:paraId="1C433679">
                  <w:pPr>
                    <w:snapToGrid w:val="0"/>
                    <w:jc w:val="center"/>
                    <w:rPr>
                      <w:color w:val="auto"/>
                      <w:szCs w:val="21"/>
                    </w:rPr>
                  </w:pPr>
                  <w:r>
                    <w:rPr>
                      <w:color w:val="auto"/>
                      <w:szCs w:val="21"/>
                    </w:rPr>
                    <w:t>5</w:t>
                  </w:r>
                </w:p>
              </w:tc>
              <w:tc>
                <w:tcPr>
                  <w:tcW w:w="1420" w:type="dxa"/>
                  <w:vAlign w:val="center"/>
                </w:tcPr>
                <w:p w14:paraId="34BDE487">
                  <w:pPr>
                    <w:snapToGrid w:val="0"/>
                    <w:jc w:val="center"/>
                    <w:rPr>
                      <w:color w:val="auto"/>
                      <w:szCs w:val="21"/>
                    </w:rPr>
                  </w:pPr>
                  <w:r>
                    <w:rPr>
                      <w:color w:val="auto"/>
                      <w:szCs w:val="21"/>
                    </w:rPr>
                    <w:t>占地面积</w:t>
                  </w:r>
                </w:p>
              </w:tc>
              <w:tc>
                <w:tcPr>
                  <w:tcW w:w="5780" w:type="dxa"/>
                  <w:vAlign w:val="center"/>
                </w:tcPr>
                <w:p w14:paraId="2BC3D05D">
                  <w:pPr>
                    <w:snapToGrid w:val="0"/>
                    <w:jc w:val="center"/>
                    <w:rPr>
                      <w:color w:val="auto"/>
                      <w:szCs w:val="21"/>
                      <w:highlight w:val="none"/>
                    </w:rPr>
                  </w:pPr>
                  <w:r>
                    <w:rPr>
                      <w:rFonts w:hint="eastAsia"/>
                      <w:color w:val="auto"/>
                      <w:szCs w:val="21"/>
                      <w:highlight w:val="none"/>
                    </w:rPr>
                    <w:t>10500m</w:t>
                  </w:r>
                  <w:r>
                    <w:rPr>
                      <w:rFonts w:hint="eastAsia"/>
                      <w:color w:val="auto"/>
                      <w:szCs w:val="21"/>
                      <w:highlight w:val="none"/>
                      <w:vertAlign w:val="superscript"/>
                    </w:rPr>
                    <w:t>2</w:t>
                  </w:r>
                </w:p>
              </w:tc>
              <w:tc>
                <w:tcPr>
                  <w:tcW w:w="778" w:type="dxa"/>
                  <w:vAlign w:val="center"/>
                </w:tcPr>
                <w:p w14:paraId="25F3D970">
                  <w:pPr>
                    <w:snapToGrid w:val="0"/>
                    <w:jc w:val="center"/>
                    <w:rPr>
                      <w:color w:val="auto"/>
                      <w:szCs w:val="21"/>
                    </w:rPr>
                  </w:pPr>
                  <w:r>
                    <w:rPr>
                      <w:color w:val="auto"/>
                      <w:szCs w:val="21"/>
                    </w:rPr>
                    <w:t>/</w:t>
                  </w:r>
                </w:p>
              </w:tc>
            </w:tr>
            <w:tr w14:paraId="2CF9A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57" w:type="dxa"/>
                  <w:bottom w:w="45" w:type="dxa"/>
                  <w:right w:w="57" w:type="dxa"/>
                </w:tblCellMar>
              </w:tblPrEx>
              <w:trPr>
                <w:trHeight w:val="283" w:hRule="atLeast"/>
                <w:jc w:val="center"/>
              </w:trPr>
              <w:tc>
                <w:tcPr>
                  <w:tcW w:w="630" w:type="dxa"/>
                  <w:vAlign w:val="center"/>
                </w:tcPr>
                <w:p w14:paraId="7ABAAAAE">
                  <w:pPr>
                    <w:snapToGrid w:val="0"/>
                    <w:jc w:val="center"/>
                    <w:rPr>
                      <w:color w:val="auto"/>
                      <w:szCs w:val="21"/>
                    </w:rPr>
                  </w:pPr>
                  <w:r>
                    <w:rPr>
                      <w:color w:val="auto"/>
                      <w:szCs w:val="21"/>
                    </w:rPr>
                    <w:t>6</w:t>
                  </w:r>
                </w:p>
              </w:tc>
              <w:tc>
                <w:tcPr>
                  <w:tcW w:w="1420" w:type="dxa"/>
                  <w:vAlign w:val="center"/>
                </w:tcPr>
                <w:p w14:paraId="0AC622AF">
                  <w:pPr>
                    <w:snapToGrid w:val="0"/>
                    <w:jc w:val="center"/>
                    <w:rPr>
                      <w:color w:val="auto"/>
                      <w:szCs w:val="21"/>
                    </w:rPr>
                  </w:pPr>
                  <w:r>
                    <w:rPr>
                      <w:color w:val="auto"/>
                      <w:szCs w:val="21"/>
                    </w:rPr>
                    <w:t>总投资</w:t>
                  </w:r>
                </w:p>
              </w:tc>
              <w:tc>
                <w:tcPr>
                  <w:tcW w:w="5780" w:type="dxa"/>
                  <w:vAlign w:val="center"/>
                </w:tcPr>
                <w:p w14:paraId="06667EE2">
                  <w:pPr>
                    <w:snapToGrid w:val="0"/>
                    <w:jc w:val="center"/>
                    <w:rPr>
                      <w:color w:val="auto"/>
                      <w:szCs w:val="21"/>
                    </w:rPr>
                  </w:pPr>
                  <w:r>
                    <w:rPr>
                      <w:rFonts w:hint="eastAsia"/>
                      <w:color w:val="auto"/>
                      <w:szCs w:val="21"/>
                    </w:rPr>
                    <w:t>500万元</w:t>
                  </w:r>
                </w:p>
              </w:tc>
              <w:tc>
                <w:tcPr>
                  <w:tcW w:w="778" w:type="dxa"/>
                  <w:vAlign w:val="center"/>
                </w:tcPr>
                <w:p w14:paraId="2D4A3B6D">
                  <w:pPr>
                    <w:snapToGrid w:val="0"/>
                    <w:jc w:val="center"/>
                    <w:rPr>
                      <w:color w:val="auto"/>
                      <w:szCs w:val="21"/>
                    </w:rPr>
                  </w:pPr>
                  <w:r>
                    <w:rPr>
                      <w:color w:val="auto"/>
                      <w:szCs w:val="21"/>
                    </w:rPr>
                    <w:t>/</w:t>
                  </w:r>
                </w:p>
              </w:tc>
            </w:tr>
            <w:tr w14:paraId="3FA49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57" w:type="dxa"/>
                  <w:bottom w:w="45" w:type="dxa"/>
                  <w:right w:w="57" w:type="dxa"/>
                </w:tblCellMar>
              </w:tblPrEx>
              <w:trPr>
                <w:trHeight w:val="283" w:hRule="atLeast"/>
                <w:jc w:val="center"/>
              </w:trPr>
              <w:tc>
                <w:tcPr>
                  <w:tcW w:w="630" w:type="dxa"/>
                  <w:vAlign w:val="center"/>
                </w:tcPr>
                <w:p w14:paraId="38B4EEC8">
                  <w:pPr>
                    <w:snapToGrid w:val="0"/>
                    <w:jc w:val="center"/>
                    <w:rPr>
                      <w:color w:val="auto"/>
                      <w:szCs w:val="21"/>
                    </w:rPr>
                  </w:pPr>
                  <w:r>
                    <w:rPr>
                      <w:color w:val="auto"/>
                      <w:szCs w:val="21"/>
                    </w:rPr>
                    <w:t>7</w:t>
                  </w:r>
                </w:p>
              </w:tc>
              <w:tc>
                <w:tcPr>
                  <w:tcW w:w="1420" w:type="dxa"/>
                  <w:vAlign w:val="center"/>
                </w:tcPr>
                <w:p w14:paraId="4B7555A8">
                  <w:pPr>
                    <w:snapToGrid w:val="0"/>
                    <w:jc w:val="center"/>
                    <w:rPr>
                      <w:color w:val="auto"/>
                      <w:szCs w:val="21"/>
                    </w:rPr>
                  </w:pPr>
                  <w:r>
                    <w:rPr>
                      <w:color w:val="auto"/>
                      <w:szCs w:val="21"/>
                    </w:rPr>
                    <w:t>劳动定员</w:t>
                  </w:r>
                </w:p>
              </w:tc>
              <w:tc>
                <w:tcPr>
                  <w:tcW w:w="5780" w:type="dxa"/>
                  <w:vAlign w:val="center"/>
                </w:tcPr>
                <w:p w14:paraId="0A62CA67">
                  <w:pPr>
                    <w:snapToGrid w:val="0"/>
                    <w:jc w:val="center"/>
                    <w:rPr>
                      <w:color w:val="auto"/>
                      <w:szCs w:val="21"/>
                    </w:rPr>
                  </w:pPr>
                  <w:r>
                    <w:rPr>
                      <w:rFonts w:hint="eastAsia"/>
                      <w:color w:val="auto"/>
                      <w:szCs w:val="21"/>
                    </w:rPr>
                    <w:t>50人</w:t>
                  </w:r>
                </w:p>
              </w:tc>
              <w:tc>
                <w:tcPr>
                  <w:tcW w:w="778" w:type="dxa"/>
                  <w:vAlign w:val="center"/>
                </w:tcPr>
                <w:p w14:paraId="7ED01718">
                  <w:pPr>
                    <w:snapToGrid w:val="0"/>
                    <w:jc w:val="center"/>
                    <w:rPr>
                      <w:color w:val="auto"/>
                      <w:szCs w:val="21"/>
                    </w:rPr>
                  </w:pPr>
                  <w:r>
                    <w:rPr>
                      <w:rFonts w:hint="eastAsia"/>
                      <w:color w:val="auto"/>
                      <w:szCs w:val="21"/>
                    </w:rPr>
                    <w:t>/</w:t>
                  </w:r>
                </w:p>
              </w:tc>
            </w:tr>
            <w:tr w14:paraId="63300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57" w:type="dxa"/>
                  <w:bottom w:w="45" w:type="dxa"/>
                  <w:right w:w="57" w:type="dxa"/>
                </w:tblCellMar>
              </w:tblPrEx>
              <w:trPr>
                <w:trHeight w:val="283" w:hRule="atLeast"/>
                <w:jc w:val="center"/>
              </w:trPr>
              <w:tc>
                <w:tcPr>
                  <w:tcW w:w="630" w:type="dxa"/>
                  <w:vAlign w:val="center"/>
                </w:tcPr>
                <w:p w14:paraId="2909D243">
                  <w:pPr>
                    <w:snapToGrid w:val="0"/>
                    <w:jc w:val="center"/>
                    <w:rPr>
                      <w:color w:val="auto"/>
                      <w:szCs w:val="21"/>
                    </w:rPr>
                  </w:pPr>
                  <w:r>
                    <w:rPr>
                      <w:color w:val="auto"/>
                      <w:szCs w:val="21"/>
                    </w:rPr>
                    <w:t>8</w:t>
                  </w:r>
                </w:p>
              </w:tc>
              <w:tc>
                <w:tcPr>
                  <w:tcW w:w="1420" w:type="dxa"/>
                  <w:vAlign w:val="center"/>
                </w:tcPr>
                <w:p w14:paraId="50F150FB">
                  <w:pPr>
                    <w:snapToGrid w:val="0"/>
                    <w:jc w:val="center"/>
                    <w:rPr>
                      <w:color w:val="auto"/>
                      <w:szCs w:val="21"/>
                    </w:rPr>
                  </w:pPr>
                  <w:r>
                    <w:rPr>
                      <w:color w:val="auto"/>
                      <w:szCs w:val="21"/>
                    </w:rPr>
                    <w:t>工作制度</w:t>
                  </w:r>
                </w:p>
              </w:tc>
              <w:tc>
                <w:tcPr>
                  <w:tcW w:w="5780" w:type="dxa"/>
                  <w:vAlign w:val="center"/>
                </w:tcPr>
                <w:p w14:paraId="67974AC8">
                  <w:pPr>
                    <w:snapToGrid w:val="0"/>
                    <w:jc w:val="center"/>
                    <w:rPr>
                      <w:color w:val="auto"/>
                      <w:szCs w:val="21"/>
                    </w:rPr>
                  </w:pPr>
                  <w:r>
                    <w:rPr>
                      <w:rFonts w:hint="eastAsia"/>
                      <w:color w:val="auto"/>
                      <w:szCs w:val="21"/>
                    </w:rPr>
                    <w:t>年工作300天，单班8h工作制</w:t>
                  </w:r>
                </w:p>
              </w:tc>
              <w:tc>
                <w:tcPr>
                  <w:tcW w:w="778" w:type="dxa"/>
                  <w:vAlign w:val="center"/>
                </w:tcPr>
                <w:p w14:paraId="2A676777">
                  <w:pPr>
                    <w:snapToGrid w:val="0"/>
                    <w:jc w:val="center"/>
                    <w:rPr>
                      <w:color w:val="auto"/>
                      <w:szCs w:val="21"/>
                    </w:rPr>
                  </w:pPr>
                  <w:r>
                    <w:rPr>
                      <w:rFonts w:hint="eastAsia"/>
                      <w:color w:val="auto"/>
                      <w:szCs w:val="21"/>
                    </w:rPr>
                    <w:t>/</w:t>
                  </w:r>
                </w:p>
              </w:tc>
            </w:tr>
            <w:tr w14:paraId="28C6B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57" w:type="dxa"/>
                  <w:bottom w:w="45" w:type="dxa"/>
                  <w:right w:w="57" w:type="dxa"/>
                </w:tblCellMar>
              </w:tblPrEx>
              <w:trPr>
                <w:trHeight w:val="283" w:hRule="atLeast"/>
                <w:jc w:val="center"/>
              </w:trPr>
              <w:tc>
                <w:tcPr>
                  <w:tcW w:w="630" w:type="dxa"/>
                  <w:vAlign w:val="center"/>
                </w:tcPr>
                <w:p w14:paraId="2DC7F32E">
                  <w:pPr>
                    <w:snapToGrid w:val="0"/>
                    <w:jc w:val="center"/>
                    <w:rPr>
                      <w:color w:val="auto"/>
                      <w:szCs w:val="21"/>
                    </w:rPr>
                  </w:pPr>
                  <w:r>
                    <w:rPr>
                      <w:color w:val="auto"/>
                      <w:szCs w:val="21"/>
                    </w:rPr>
                    <w:t>9</w:t>
                  </w:r>
                </w:p>
              </w:tc>
              <w:tc>
                <w:tcPr>
                  <w:tcW w:w="1420" w:type="dxa"/>
                  <w:vAlign w:val="center"/>
                </w:tcPr>
                <w:p w14:paraId="3D8D2B4C">
                  <w:pPr>
                    <w:snapToGrid w:val="0"/>
                    <w:jc w:val="center"/>
                    <w:rPr>
                      <w:color w:val="auto"/>
                      <w:szCs w:val="21"/>
                    </w:rPr>
                  </w:pPr>
                  <w:r>
                    <w:rPr>
                      <w:color w:val="auto"/>
                      <w:szCs w:val="21"/>
                    </w:rPr>
                    <w:t>主要建设内容</w:t>
                  </w:r>
                </w:p>
              </w:tc>
              <w:tc>
                <w:tcPr>
                  <w:tcW w:w="5780" w:type="dxa"/>
                  <w:vAlign w:val="center"/>
                </w:tcPr>
                <w:p w14:paraId="7EC4D95B">
                  <w:pPr>
                    <w:snapToGrid w:val="0"/>
                    <w:jc w:val="center"/>
                    <w:rPr>
                      <w:color w:val="auto"/>
                      <w:szCs w:val="21"/>
                    </w:rPr>
                  </w:pPr>
                  <w:r>
                    <w:rPr>
                      <w:rFonts w:hint="eastAsia"/>
                      <w:color w:val="auto"/>
                      <w:szCs w:val="21"/>
                    </w:rPr>
                    <w:t>标准化厂房、办公区等</w:t>
                  </w:r>
                </w:p>
              </w:tc>
              <w:tc>
                <w:tcPr>
                  <w:tcW w:w="778" w:type="dxa"/>
                  <w:vAlign w:val="center"/>
                </w:tcPr>
                <w:p w14:paraId="1B9BE5D1">
                  <w:pPr>
                    <w:snapToGrid w:val="0"/>
                    <w:jc w:val="center"/>
                    <w:rPr>
                      <w:color w:val="auto"/>
                      <w:szCs w:val="21"/>
                    </w:rPr>
                  </w:pPr>
                  <w:r>
                    <w:rPr>
                      <w:rFonts w:hint="eastAsia"/>
                      <w:color w:val="auto"/>
                      <w:szCs w:val="21"/>
                    </w:rPr>
                    <w:t>租赁</w:t>
                  </w:r>
                </w:p>
              </w:tc>
            </w:tr>
          </w:tbl>
          <w:p w14:paraId="3D09C00B">
            <w:pPr>
              <w:spacing w:line="360" w:lineRule="auto"/>
              <w:rPr>
                <w:b/>
                <w:bCs/>
                <w:color w:val="auto"/>
                <w:sz w:val="24"/>
              </w:rPr>
            </w:pPr>
            <w:bookmarkStart w:id="64" w:name="_Toc25293"/>
            <w:bookmarkStart w:id="65" w:name="_Toc6549"/>
            <w:r>
              <w:rPr>
                <w:rFonts w:hint="eastAsia"/>
                <w:b/>
                <w:bCs/>
                <w:color w:val="auto"/>
                <w:sz w:val="24"/>
              </w:rPr>
              <w:t>2.1项目主要建设内容</w:t>
            </w:r>
            <w:bookmarkEnd w:id="64"/>
            <w:bookmarkEnd w:id="65"/>
          </w:p>
          <w:p w14:paraId="36247B0D">
            <w:pPr>
              <w:spacing w:line="360" w:lineRule="auto"/>
              <w:ind w:firstLine="480" w:firstLineChars="200"/>
              <w:rPr>
                <w:color w:val="auto"/>
                <w:sz w:val="24"/>
              </w:rPr>
            </w:pPr>
            <w:r>
              <w:rPr>
                <w:color w:val="auto"/>
                <w:sz w:val="24"/>
              </w:rPr>
              <w:t>本项目工程主要组成见下表</w:t>
            </w:r>
            <w:r>
              <w:rPr>
                <w:rFonts w:hint="eastAsia"/>
                <w:color w:val="auto"/>
                <w:sz w:val="24"/>
              </w:rPr>
              <w:t>。</w:t>
            </w:r>
          </w:p>
          <w:p w14:paraId="6BD6E89D">
            <w:pPr>
              <w:pStyle w:val="46"/>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eastAsia" w:ascii="Times New Roman" w:hAnsi="Arial Unicode MS" w:eastAsia="宋体" w:cs="Times New Roman"/>
                <w:b/>
                <w:color w:val="auto"/>
                <w:kern w:val="2"/>
                <w:sz w:val="24"/>
                <w:szCs w:val="24"/>
                <w:lang w:val="en-US" w:eastAsia="zh-CN" w:bidi="ar-SA"/>
              </w:rPr>
            </w:pPr>
            <w:r>
              <w:rPr>
                <w:rFonts w:hint="eastAsia" w:ascii="Times New Roman" w:hAnsi="Arial Unicode MS" w:eastAsia="宋体" w:cs="Times New Roman"/>
                <w:b/>
                <w:color w:val="auto"/>
                <w:kern w:val="2"/>
                <w:sz w:val="24"/>
                <w:szCs w:val="24"/>
                <w:lang w:val="en-US" w:eastAsia="zh-CN" w:bidi="ar-SA"/>
              </w:rPr>
              <w:t>主要建设内容一览表</w:t>
            </w:r>
          </w:p>
          <w:tbl>
            <w:tblPr>
              <w:tblStyle w:val="25"/>
              <w:tblW w:w="83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59"/>
              <w:gridCol w:w="937"/>
              <w:gridCol w:w="849"/>
              <w:gridCol w:w="4176"/>
              <w:gridCol w:w="1464"/>
            </w:tblGrid>
            <w:tr w14:paraId="097FF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896" w:type="dxa"/>
                  <w:gridSpan w:val="2"/>
                  <w:vAlign w:val="center"/>
                </w:tcPr>
                <w:p w14:paraId="68A36221">
                  <w:pPr>
                    <w:pStyle w:val="52"/>
                    <w:adjustRightInd/>
                    <w:snapToGrid/>
                    <w:spacing w:before="0" w:after="0" w:line="240" w:lineRule="auto"/>
                    <w:ind w:right="0"/>
                    <w:rPr>
                      <w:b/>
                      <w:bCs/>
                      <w:color w:val="auto"/>
                      <w:szCs w:val="21"/>
                    </w:rPr>
                  </w:pPr>
                  <w:r>
                    <w:rPr>
                      <w:b/>
                      <w:bCs/>
                      <w:color w:val="auto"/>
                      <w:szCs w:val="21"/>
                    </w:rPr>
                    <w:t>建设内容</w:t>
                  </w:r>
                </w:p>
              </w:tc>
              <w:tc>
                <w:tcPr>
                  <w:tcW w:w="5025" w:type="dxa"/>
                  <w:gridSpan w:val="2"/>
                  <w:vAlign w:val="center"/>
                </w:tcPr>
                <w:p w14:paraId="522DB5DB">
                  <w:pPr>
                    <w:pStyle w:val="52"/>
                    <w:adjustRightInd/>
                    <w:snapToGrid/>
                    <w:spacing w:before="0" w:after="0" w:line="240" w:lineRule="auto"/>
                    <w:ind w:right="0"/>
                    <w:rPr>
                      <w:b/>
                      <w:bCs/>
                      <w:color w:val="auto"/>
                      <w:szCs w:val="21"/>
                    </w:rPr>
                  </w:pPr>
                  <w:r>
                    <w:rPr>
                      <w:rFonts w:hint="eastAsia"/>
                      <w:b/>
                      <w:bCs/>
                      <w:color w:val="auto"/>
                      <w:szCs w:val="21"/>
                    </w:rPr>
                    <w:t>建设</w:t>
                  </w:r>
                  <w:r>
                    <w:rPr>
                      <w:b/>
                      <w:bCs/>
                      <w:color w:val="auto"/>
                      <w:szCs w:val="21"/>
                    </w:rPr>
                    <w:t>规模</w:t>
                  </w:r>
                </w:p>
              </w:tc>
              <w:tc>
                <w:tcPr>
                  <w:tcW w:w="1464" w:type="dxa"/>
                  <w:vAlign w:val="center"/>
                </w:tcPr>
                <w:p w14:paraId="6CC8C05F">
                  <w:pPr>
                    <w:pStyle w:val="52"/>
                    <w:adjustRightInd/>
                    <w:snapToGrid/>
                    <w:spacing w:before="0" w:after="0" w:line="240" w:lineRule="auto"/>
                    <w:ind w:right="0"/>
                    <w:rPr>
                      <w:rFonts w:hint="eastAsia"/>
                      <w:b/>
                      <w:bCs/>
                      <w:color w:val="auto"/>
                      <w:szCs w:val="21"/>
                    </w:rPr>
                  </w:pPr>
                  <w:r>
                    <w:rPr>
                      <w:rFonts w:hint="eastAsia"/>
                      <w:b/>
                      <w:bCs/>
                      <w:color w:val="auto"/>
                      <w:szCs w:val="21"/>
                    </w:rPr>
                    <w:t>备注</w:t>
                  </w:r>
                </w:p>
              </w:tc>
            </w:tr>
            <w:tr w14:paraId="2E5D5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59" w:type="dxa"/>
                  <w:vMerge w:val="restart"/>
                  <w:vAlign w:val="center"/>
                </w:tcPr>
                <w:p w14:paraId="325CD6E5">
                  <w:pPr>
                    <w:pStyle w:val="52"/>
                    <w:adjustRightInd/>
                    <w:snapToGrid/>
                    <w:spacing w:before="0" w:after="0" w:line="240" w:lineRule="auto"/>
                    <w:ind w:right="0"/>
                    <w:rPr>
                      <w:color w:val="auto"/>
                      <w:szCs w:val="21"/>
                    </w:rPr>
                  </w:pPr>
                  <w:r>
                    <w:rPr>
                      <w:color w:val="auto"/>
                      <w:szCs w:val="21"/>
                    </w:rPr>
                    <w:t>主体工程</w:t>
                  </w:r>
                </w:p>
              </w:tc>
              <w:tc>
                <w:tcPr>
                  <w:tcW w:w="937" w:type="dxa"/>
                  <w:vMerge w:val="restart"/>
                  <w:vAlign w:val="center"/>
                </w:tcPr>
                <w:p w14:paraId="275DDAEC">
                  <w:pPr>
                    <w:pStyle w:val="52"/>
                    <w:adjustRightInd/>
                    <w:snapToGrid/>
                    <w:spacing w:before="0" w:after="0" w:line="240" w:lineRule="auto"/>
                    <w:ind w:right="0"/>
                    <w:rPr>
                      <w:color w:val="auto"/>
                      <w:szCs w:val="21"/>
                    </w:rPr>
                  </w:pPr>
                  <w:r>
                    <w:rPr>
                      <w:rFonts w:hint="eastAsia"/>
                      <w:color w:val="auto"/>
                      <w:szCs w:val="21"/>
                    </w:rPr>
                    <w:t>生产车间</w:t>
                  </w:r>
                </w:p>
              </w:tc>
              <w:tc>
                <w:tcPr>
                  <w:tcW w:w="849" w:type="dxa"/>
                  <w:vAlign w:val="center"/>
                </w:tcPr>
                <w:p w14:paraId="02CC84C6">
                  <w:pPr>
                    <w:pStyle w:val="52"/>
                    <w:adjustRightInd/>
                    <w:snapToGrid/>
                    <w:spacing w:before="0" w:after="0" w:line="240" w:lineRule="auto"/>
                    <w:ind w:right="0"/>
                    <w:rPr>
                      <w:color w:val="auto"/>
                      <w:szCs w:val="21"/>
                    </w:rPr>
                  </w:pPr>
                  <w:r>
                    <w:rPr>
                      <w:rFonts w:hint="eastAsia"/>
                      <w:color w:val="auto"/>
                      <w:szCs w:val="21"/>
                    </w:rPr>
                    <w:t>一车间</w:t>
                  </w:r>
                </w:p>
              </w:tc>
              <w:tc>
                <w:tcPr>
                  <w:tcW w:w="4176" w:type="dxa"/>
                  <w:vAlign w:val="center"/>
                </w:tcPr>
                <w:p w14:paraId="5B69DEB6">
                  <w:pPr>
                    <w:pStyle w:val="52"/>
                    <w:adjustRightInd/>
                    <w:snapToGrid/>
                    <w:spacing w:before="0" w:after="0" w:line="240" w:lineRule="auto"/>
                    <w:ind w:right="0"/>
                    <w:rPr>
                      <w:rFonts w:hint="eastAsia"/>
                      <w:color w:val="auto"/>
                      <w:szCs w:val="21"/>
                    </w:rPr>
                  </w:pPr>
                  <w:r>
                    <w:rPr>
                      <w:rFonts w:hint="eastAsia"/>
                      <w:color w:val="auto"/>
                      <w:szCs w:val="21"/>
                    </w:rPr>
                    <w:t>成品车间：1F，钢结构，建筑面积6000m</w:t>
                  </w:r>
                  <w:r>
                    <w:rPr>
                      <w:rFonts w:hint="eastAsia"/>
                      <w:color w:val="auto"/>
                      <w:szCs w:val="21"/>
                      <w:vertAlign w:val="superscript"/>
                    </w:rPr>
                    <w:t>2</w:t>
                  </w:r>
                  <w:r>
                    <w:rPr>
                      <w:rFonts w:hint="eastAsia"/>
                      <w:color w:val="auto"/>
                      <w:szCs w:val="21"/>
                    </w:rPr>
                    <w:t>，</w:t>
                  </w:r>
                </w:p>
                <w:p w14:paraId="6CDF01D0">
                  <w:pPr>
                    <w:pStyle w:val="52"/>
                    <w:adjustRightInd/>
                    <w:snapToGrid/>
                    <w:spacing w:before="0" w:after="0" w:line="240" w:lineRule="auto"/>
                    <w:ind w:right="0"/>
                    <w:rPr>
                      <w:color w:val="auto"/>
                      <w:szCs w:val="21"/>
                    </w:rPr>
                  </w:pPr>
                  <w:r>
                    <w:rPr>
                      <w:rFonts w:hint="eastAsia"/>
                      <w:color w:val="auto"/>
                      <w:szCs w:val="21"/>
                    </w:rPr>
                    <w:t>包括下料区、喷涂区、贴皮区、木工区等</w:t>
                  </w:r>
                </w:p>
              </w:tc>
              <w:tc>
                <w:tcPr>
                  <w:tcW w:w="1464" w:type="dxa"/>
                  <w:vMerge w:val="restart"/>
                  <w:vAlign w:val="center"/>
                </w:tcPr>
                <w:p w14:paraId="064B25DA">
                  <w:pPr>
                    <w:pStyle w:val="52"/>
                    <w:adjustRightInd/>
                    <w:snapToGrid/>
                    <w:spacing w:before="0" w:after="0" w:line="240" w:lineRule="auto"/>
                    <w:ind w:right="0"/>
                    <w:rPr>
                      <w:rFonts w:hint="eastAsia"/>
                      <w:color w:val="auto"/>
                      <w:szCs w:val="21"/>
                    </w:rPr>
                  </w:pPr>
                  <w:r>
                    <w:rPr>
                      <w:rFonts w:hint="eastAsia"/>
                      <w:color w:val="auto"/>
                      <w:szCs w:val="21"/>
                    </w:rPr>
                    <w:t>租赁中顺家具</w:t>
                  </w:r>
                </w:p>
                <w:p w14:paraId="0DC911BE">
                  <w:pPr>
                    <w:pStyle w:val="52"/>
                    <w:adjustRightInd/>
                    <w:snapToGrid/>
                    <w:spacing w:before="0" w:after="0" w:line="240" w:lineRule="auto"/>
                    <w:ind w:right="0"/>
                    <w:rPr>
                      <w:color w:val="auto"/>
                      <w:szCs w:val="21"/>
                    </w:rPr>
                  </w:pPr>
                  <w:r>
                    <w:rPr>
                      <w:rFonts w:hint="eastAsia"/>
                      <w:color w:val="auto"/>
                      <w:szCs w:val="21"/>
                    </w:rPr>
                    <w:t>闲置厂房</w:t>
                  </w:r>
                </w:p>
              </w:tc>
            </w:tr>
            <w:tr w14:paraId="1F5D8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59" w:type="dxa"/>
                  <w:vMerge w:val="continue"/>
                  <w:vAlign w:val="center"/>
                </w:tcPr>
                <w:p w14:paraId="437627E8">
                  <w:pPr>
                    <w:pStyle w:val="52"/>
                    <w:adjustRightInd/>
                    <w:snapToGrid/>
                    <w:spacing w:before="0" w:after="0" w:line="240" w:lineRule="auto"/>
                    <w:ind w:right="0"/>
                    <w:rPr>
                      <w:color w:val="auto"/>
                      <w:szCs w:val="21"/>
                    </w:rPr>
                  </w:pPr>
                </w:p>
              </w:tc>
              <w:tc>
                <w:tcPr>
                  <w:tcW w:w="937" w:type="dxa"/>
                  <w:vMerge w:val="continue"/>
                  <w:vAlign w:val="center"/>
                </w:tcPr>
                <w:p w14:paraId="07824FC2">
                  <w:pPr>
                    <w:pStyle w:val="52"/>
                    <w:adjustRightInd/>
                    <w:snapToGrid/>
                    <w:spacing w:before="0" w:after="0" w:line="240" w:lineRule="auto"/>
                    <w:ind w:right="0"/>
                    <w:rPr>
                      <w:rFonts w:hint="eastAsia"/>
                      <w:color w:val="auto"/>
                      <w:szCs w:val="21"/>
                    </w:rPr>
                  </w:pPr>
                </w:p>
              </w:tc>
              <w:tc>
                <w:tcPr>
                  <w:tcW w:w="849" w:type="dxa"/>
                  <w:vAlign w:val="center"/>
                </w:tcPr>
                <w:p w14:paraId="4C4FF3FD">
                  <w:pPr>
                    <w:pStyle w:val="52"/>
                    <w:adjustRightInd/>
                    <w:snapToGrid/>
                    <w:spacing w:before="0" w:after="0" w:line="240" w:lineRule="auto"/>
                    <w:ind w:right="0"/>
                    <w:rPr>
                      <w:color w:val="auto"/>
                      <w:szCs w:val="21"/>
                    </w:rPr>
                  </w:pPr>
                  <w:r>
                    <w:rPr>
                      <w:rFonts w:hint="eastAsia"/>
                      <w:color w:val="auto"/>
                      <w:szCs w:val="21"/>
                    </w:rPr>
                    <w:t>二车间</w:t>
                  </w:r>
                </w:p>
              </w:tc>
              <w:tc>
                <w:tcPr>
                  <w:tcW w:w="4176" w:type="dxa"/>
                  <w:vAlign w:val="center"/>
                </w:tcPr>
                <w:p w14:paraId="6C4ECCB2">
                  <w:pPr>
                    <w:pStyle w:val="52"/>
                    <w:adjustRightInd/>
                    <w:snapToGrid/>
                    <w:spacing w:before="0" w:after="0" w:line="240" w:lineRule="auto"/>
                    <w:ind w:right="0"/>
                    <w:rPr>
                      <w:rFonts w:hint="eastAsia"/>
                      <w:color w:val="auto"/>
                      <w:szCs w:val="21"/>
                    </w:rPr>
                  </w:pPr>
                  <w:r>
                    <w:rPr>
                      <w:rFonts w:hint="eastAsia"/>
                      <w:color w:val="auto"/>
                      <w:szCs w:val="21"/>
                    </w:rPr>
                    <w:t>贴皮车间：1F，钢结构，建筑面积2000m</w:t>
                  </w:r>
                  <w:r>
                    <w:rPr>
                      <w:rFonts w:hint="eastAsia"/>
                      <w:color w:val="auto"/>
                      <w:szCs w:val="21"/>
                      <w:vertAlign w:val="superscript"/>
                    </w:rPr>
                    <w:t>2</w:t>
                  </w:r>
                  <w:r>
                    <w:rPr>
                      <w:rFonts w:hint="eastAsia"/>
                      <w:color w:val="auto"/>
                      <w:szCs w:val="21"/>
                    </w:rPr>
                    <w:t>，</w:t>
                  </w:r>
                </w:p>
                <w:p w14:paraId="12FFA322">
                  <w:pPr>
                    <w:pStyle w:val="52"/>
                    <w:adjustRightInd/>
                    <w:snapToGrid/>
                    <w:spacing w:before="0" w:after="0" w:line="240" w:lineRule="auto"/>
                    <w:ind w:right="0"/>
                    <w:rPr>
                      <w:color w:val="auto"/>
                      <w:szCs w:val="21"/>
                    </w:rPr>
                  </w:pPr>
                  <w:r>
                    <w:rPr>
                      <w:rFonts w:hint="eastAsia"/>
                      <w:color w:val="auto"/>
                      <w:szCs w:val="21"/>
                    </w:rPr>
                    <w:t>包括贴皮区、热压区、辊涂区等</w:t>
                  </w:r>
                </w:p>
              </w:tc>
              <w:tc>
                <w:tcPr>
                  <w:tcW w:w="1464" w:type="dxa"/>
                  <w:vMerge w:val="continue"/>
                  <w:vAlign w:val="center"/>
                </w:tcPr>
                <w:p w14:paraId="1AEDC1A5">
                  <w:pPr>
                    <w:pStyle w:val="52"/>
                    <w:adjustRightInd/>
                    <w:snapToGrid/>
                    <w:spacing w:before="0" w:after="0" w:line="240" w:lineRule="auto"/>
                    <w:ind w:right="0"/>
                    <w:rPr>
                      <w:rFonts w:hint="eastAsia"/>
                      <w:color w:val="auto"/>
                      <w:szCs w:val="21"/>
                    </w:rPr>
                  </w:pPr>
                </w:p>
              </w:tc>
            </w:tr>
            <w:tr w14:paraId="3F911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59" w:type="dxa"/>
                  <w:vMerge w:val="continue"/>
                  <w:vAlign w:val="center"/>
                </w:tcPr>
                <w:p w14:paraId="55B84E9D">
                  <w:pPr>
                    <w:pStyle w:val="52"/>
                    <w:adjustRightInd/>
                    <w:snapToGrid/>
                    <w:spacing w:before="0" w:after="0" w:line="240" w:lineRule="auto"/>
                    <w:ind w:right="0"/>
                    <w:rPr>
                      <w:color w:val="auto"/>
                      <w:szCs w:val="21"/>
                    </w:rPr>
                  </w:pPr>
                </w:p>
              </w:tc>
              <w:tc>
                <w:tcPr>
                  <w:tcW w:w="937" w:type="dxa"/>
                  <w:vMerge w:val="continue"/>
                  <w:vAlign w:val="center"/>
                </w:tcPr>
                <w:p w14:paraId="43AD7A4E">
                  <w:pPr>
                    <w:pStyle w:val="52"/>
                    <w:adjustRightInd/>
                    <w:snapToGrid/>
                    <w:spacing w:before="0" w:after="0" w:line="240" w:lineRule="auto"/>
                    <w:ind w:right="0"/>
                    <w:rPr>
                      <w:rFonts w:hint="eastAsia"/>
                      <w:color w:val="auto"/>
                      <w:szCs w:val="21"/>
                    </w:rPr>
                  </w:pPr>
                </w:p>
              </w:tc>
              <w:tc>
                <w:tcPr>
                  <w:tcW w:w="849" w:type="dxa"/>
                  <w:vAlign w:val="center"/>
                </w:tcPr>
                <w:p w14:paraId="3FDF75DA">
                  <w:pPr>
                    <w:pStyle w:val="52"/>
                    <w:adjustRightInd/>
                    <w:snapToGrid/>
                    <w:spacing w:before="0" w:after="0" w:line="240" w:lineRule="auto"/>
                    <w:ind w:right="0"/>
                    <w:rPr>
                      <w:color w:val="auto"/>
                      <w:szCs w:val="21"/>
                    </w:rPr>
                  </w:pPr>
                  <w:r>
                    <w:rPr>
                      <w:rFonts w:hint="eastAsia"/>
                      <w:color w:val="auto"/>
                      <w:szCs w:val="21"/>
                    </w:rPr>
                    <w:t>三车间</w:t>
                  </w:r>
                </w:p>
              </w:tc>
              <w:tc>
                <w:tcPr>
                  <w:tcW w:w="4176" w:type="dxa"/>
                  <w:vAlign w:val="center"/>
                </w:tcPr>
                <w:p w14:paraId="5FE06D25">
                  <w:pPr>
                    <w:pStyle w:val="52"/>
                    <w:adjustRightInd/>
                    <w:snapToGrid/>
                    <w:spacing w:before="0" w:after="0" w:line="240" w:lineRule="auto"/>
                    <w:ind w:right="0"/>
                    <w:rPr>
                      <w:rFonts w:hint="eastAsia"/>
                      <w:color w:val="auto"/>
                      <w:szCs w:val="21"/>
                    </w:rPr>
                  </w:pPr>
                  <w:r>
                    <w:rPr>
                      <w:rFonts w:hint="eastAsia"/>
                      <w:color w:val="auto"/>
                      <w:szCs w:val="21"/>
                    </w:rPr>
                    <w:t>拼板车间：1F，钢结构，建筑面积2500m</w:t>
                  </w:r>
                  <w:r>
                    <w:rPr>
                      <w:rFonts w:hint="eastAsia"/>
                      <w:color w:val="auto"/>
                      <w:szCs w:val="21"/>
                      <w:vertAlign w:val="superscript"/>
                    </w:rPr>
                    <w:t>2</w:t>
                  </w:r>
                  <w:r>
                    <w:rPr>
                      <w:rFonts w:hint="eastAsia"/>
                      <w:color w:val="auto"/>
                      <w:szCs w:val="21"/>
                    </w:rPr>
                    <w:t>，</w:t>
                  </w:r>
                </w:p>
                <w:p w14:paraId="41DD8CE8">
                  <w:pPr>
                    <w:pStyle w:val="52"/>
                    <w:adjustRightInd/>
                    <w:snapToGrid/>
                    <w:spacing w:before="0" w:after="0" w:line="240" w:lineRule="auto"/>
                    <w:ind w:right="0"/>
                    <w:rPr>
                      <w:color w:val="auto"/>
                      <w:szCs w:val="21"/>
                    </w:rPr>
                  </w:pPr>
                  <w:r>
                    <w:rPr>
                      <w:rFonts w:hint="eastAsia"/>
                      <w:color w:val="auto"/>
                      <w:szCs w:val="21"/>
                    </w:rPr>
                    <w:t>包括开料区、精刨区、拼板区等</w:t>
                  </w:r>
                </w:p>
              </w:tc>
              <w:tc>
                <w:tcPr>
                  <w:tcW w:w="1464" w:type="dxa"/>
                  <w:vMerge w:val="continue"/>
                  <w:vAlign w:val="center"/>
                </w:tcPr>
                <w:p w14:paraId="6615E5A9">
                  <w:pPr>
                    <w:pStyle w:val="52"/>
                    <w:adjustRightInd/>
                    <w:snapToGrid/>
                    <w:spacing w:before="0" w:after="0" w:line="240" w:lineRule="auto"/>
                    <w:ind w:right="0"/>
                    <w:rPr>
                      <w:rFonts w:hint="eastAsia"/>
                      <w:color w:val="auto"/>
                      <w:szCs w:val="21"/>
                    </w:rPr>
                  </w:pPr>
                </w:p>
              </w:tc>
            </w:tr>
            <w:tr w14:paraId="14BD1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59" w:type="dxa"/>
                  <w:vMerge w:val="restart"/>
                  <w:vAlign w:val="center"/>
                </w:tcPr>
                <w:p w14:paraId="14796F08">
                  <w:pPr>
                    <w:pStyle w:val="52"/>
                    <w:adjustRightInd/>
                    <w:snapToGrid/>
                    <w:spacing w:before="0" w:after="0" w:line="240" w:lineRule="auto"/>
                    <w:ind w:right="0"/>
                    <w:rPr>
                      <w:color w:val="auto"/>
                      <w:szCs w:val="21"/>
                    </w:rPr>
                  </w:pPr>
                  <w:r>
                    <w:rPr>
                      <w:rFonts w:hint="eastAsia"/>
                      <w:color w:val="auto"/>
                      <w:szCs w:val="21"/>
                    </w:rPr>
                    <w:t>辅助工程</w:t>
                  </w:r>
                </w:p>
              </w:tc>
              <w:tc>
                <w:tcPr>
                  <w:tcW w:w="937" w:type="dxa"/>
                  <w:vMerge w:val="restart"/>
                  <w:vAlign w:val="center"/>
                </w:tcPr>
                <w:p w14:paraId="27DAC04D">
                  <w:pPr>
                    <w:pStyle w:val="52"/>
                    <w:adjustRightInd/>
                    <w:snapToGrid/>
                    <w:spacing w:before="0" w:after="0" w:line="240" w:lineRule="auto"/>
                    <w:ind w:right="0"/>
                    <w:rPr>
                      <w:color w:val="auto"/>
                      <w:szCs w:val="21"/>
                    </w:rPr>
                  </w:pPr>
                  <w:r>
                    <w:rPr>
                      <w:rFonts w:hint="eastAsia"/>
                      <w:color w:val="auto"/>
                      <w:szCs w:val="21"/>
                    </w:rPr>
                    <w:t>办公室</w:t>
                  </w:r>
                </w:p>
              </w:tc>
              <w:tc>
                <w:tcPr>
                  <w:tcW w:w="849" w:type="dxa"/>
                  <w:vAlign w:val="center"/>
                </w:tcPr>
                <w:p w14:paraId="71EC3B9E">
                  <w:pPr>
                    <w:pStyle w:val="52"/>
                    <w:adjustRightInd/>
                    <w:snapToGrid/>
                    <w:spacing w:before="0" w:after="0" w:line="240" w:lineRule="auto"/>
                    <w:ind w:right="0"/>
                    <w:rPr>
                      <w:color w:val="auto"/>
                      <w:szCs w:val="21"/>
                    </w:rPr>
                  </w:pPr>
                  <w:r>
                    <w:rPr>
                      <w:rFonts w:hint="eastAsia"/>
                      <w:color w:val="auto"/>
                      <w:szCs w:val="21"/>
                    </w:rPr>
                    <w:t>一车间</w:t>
                  </w:r>
                </w:p>
              </w:tc>
              <w:tc>
                <w:tcPr>
                  <w:tcW w:w="4176" w:type="dxa"/>
                  <w:vAlign w:val="center"/>
                </w:tcPr>
                <w:p w14:paraId="2FAF8D64">
                  <w:pPr>
                    <w:pStyle w:val="52"/>
                    <w:adjustRightInd/>
                    <w:snapToGrid/>
                    <w:spacing w:before="0" w:after="0" w:line="240" w:lineRule="auto"/>
                    <w:ind w:right="0"/>
                    <w:rPr>
                      <w:color w:val="auto"/>
                      <w:szCs w:val="21"/>
                    </w:rPr>
                  </w:pPr>
                  <w:r>
                    <w:rPr>
                      <w:rFonts w:hint="eastAsia"/>
                      <w:color w:val="auto"/>
                      <w:szCs w:val="21"/>
                    </w:rPr>
                    <w:t>位于生产车间内部南侧，占地面积30m</w:t>
                  </w:r>
                  <w:r>
                    <w:rPr>
                      <w:rFonts w:hint="eastAsia"/>
                      <w:color w:val="auto"/>
                      <w:szCs w:val="21"/>
                      <w:vertAlign w:val="superscript"/>
                    </w:rPr>
                    <w:t>2</w:t>
                  </w:r>
                </w:p>
              </w:tc>
              <w:tc>
                <w:tcPr>
                  <w:tcW w:w="1464" w:type="dxa"/>
                  <w:vMerge w:val="continue"/>
                  <w:vAlign w:val="center"/>
                </w:tcPr>
                <w:p w14:paraId="33791201">
                  <w:pPr>
                    <w:jc w:val="center"/>
                    <w:rPr>
                      <w:rFonts w:hint="eastAsia"/>
                      <w:color w:val="auto"/>
                      <w:szCs w:val="21"/>
                    </w:rPr>
                  </w:pPr>
                </w:p>
              </w:tc>
            </w:tr>
            <w:tr w14:paraId="3D62B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59" w:type="dxa"/>
                  <w:vMerge w:val="continue"/>
                  <w:vAlign w:val="center"/>
                </w:tcPr>
                <w:p w14:paraId="746796A8">
                  <w:pPr>
                    <w:pStyle w:val="52"/>
                    <w:adjustRightInd/>
                    <w:snapToGrid/>
                    <w:spacing w:before="0" w:after="0" w:line="240" w:lineRule="auto"/>
                    <w:ind w:right="0"/>
                    <w:rPr>
                      <w:rFonts w:hint="eastAsia"/>
                      <w:color w:val="auto"/>
                      <w:szCs w:val="21"/>
                    </w:rPr>
                  </w:pPr>
                </w:p>
              </w:tc>
              <w:tc>
                <w:tcPr>
                  <w:tcW w:w="937" w:type="dxa"/>
                  <w:vMerge w:val="continue"/>
                  <w:vAlign w:val="center"/>
                </w:tcPr>
                <w:p w14:paraId="7CFF4C9C">
                  <w:pPr>
                    <w:pStyle w:val="52"/>
                    <w:adjustRightInd/>
                    <w:snapToGrid/>
                    <w:spacing w:before="0" w:after="0" w:line="240" w:lineRule="auto"/>
                    <w:ind w:right="0"/>
                    <w:rPr>
                      <w:rFonts w:hint="eastAsia"/>
                      <w:color w:val="auto"/>
                      <w:szCs w:val="21"/>
                    </w:rPr>
                  </w:pPr>
                </w:p>
              </w:tc>
              <w:tc>
                <w:tcPr>
                  <w:tcW w:w="849" w:type="dxa"/>
                  <w:vAlign w:val="center"/>
                </w:tcPr>
                <w:p w14:paraId="0C7215C6">
                  <w:pPr>
                    <w:pStyle w:val="52"/>
                    <w:adjustRightInd/>
                    <w:snapToGrid/>
                    <w:spacing w:before="0" w:after="0" w:line="240" w:lineRule="auto"/>
                    <w:ind w:right="0"/>
                    <w:rPr>
                      <w:rFonts w:hint="eastAsia"/>
                      <w:color w:val="auto"/>
                      <w:szCs w:val="21"/>
                      <w:highlight w:val="yellow"/>
                    </w:rPr>
                  </w:pPr>
                  <w:r>
                    <w:rPr>
                      <w:rFonts w:hint="eastAsia"/>
                      <w:color w:val="auto"/>
                      <w:szCs w:val="21"/>
                    </w:rPr>
                    <w:t>二车间</w:t>
                  </w:r>
                </w:p>
              </w:tc>
              <w:tc>
                <w:tcPr>
                  <w:tcW w:w="4176" w:type="dxa"/>
                  <w:vAlign w:val="center"/>
                </w:tcPr>
                <w:p w14:paraId="7A01DD13">
                  <w:pPr>
                    <w:pStyle w:val="52"/>
                    <w:adjustRightInd/>
                    <w:snapToGrid/>
                    <w:spacing w:before="0" w:after="0" w:line="240" w:lineRule="auto"/>
                    <w:ind w:right="0"/>
                    <w:rPr>
                      <w:rFonts w:hint="eastAsia"/>
                      <w:color w:val="auto"/>
                      <w:szCs w:val="21"/>
                      <w:highlight w:val="yellow"/>
                    </w:rPr>
                  </w:pPr>
                  <w:r>
                    <w:rPr>
                      <w:rFonts w:hint="eastAsia"/>
                      <w:color w:val="auto"/>
                      <w:szCs w:val="21"/>
                    </w:rPr>
                    <w:t>位于生产车间内部南侧，占地面积30m</w:t>
                  </w:r>
                  <w:r>
                    <w:rPr>
                      <w:rFonts w:hint="eastAsia"/>
                      <w:color w:val="auto"/>
                      <w:szCs w:val="21"/>
                      <w:vertAlign w:val="superscript"/>
                    </w:rPr>
                    <w:t>2</w:t>
                  </w:r>
                </w:p>
              </w:tc>
              <w:tc>
                <w:tcPr>
                  <w:tcW w:w="1464" w:type="dxa"/>
                  <w:vMerge w:val="continue"/>
                  <w:vAlign w:val="center"/>
                </w:tcPr>
                <w:p w14:paraId="7C56BC5E">
                  <w:pPr>
                    <w:jc w:val="center"/>
                    <w:rPr>
                      <w:rFonts w:hint="eastAsia"/>
                      <w:color w:val="auto"/>
                      <w:szCs w:val="21"/>
                    </w:rPr>
                  </w:pPr>
                </w:p>
              </w:tc>
            </w:tr>
            <w:tr w14:paraId="6DCC5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59" w:type="dxa"/>
                  <w:vMerge w:val="continue"/>
                  <w:vAlign w:val="center"/>
                </w:tcPr>
                <w:p w14:paraId="54745F26">
                  <w:pPr>
                    <w:pStyle w:val="52"/>
                    <w:adjustRightInd/>
                    <w:snapToGrid/>
                    <w:spacing w:before="0" w:after="0" w:line="240" w:lineRule="auto"/>
                    <w:ind w:right="0"/>
                    <w:rPr>
                      <w:rFonts w:hint="eastAsia"/>
                      <w:color w:val="auto"/>
                      <w:szCs w:val="21"/>
                    </w:rPr>
                  </w:pPr>
                </w:p>
              </w:tc>
              <w:tc>
                <w:tcPr>
                  <w:tcW w:w="937" w:type="dxa"/>
                  <w:vMerge w:val="continue"/>
                  <w:vAlign w:val="center"/>
                </w:tcPr>
                <w:p w14:paraId="073CADD5">
                  <w:pPr>
                    <w:pStyle w:val="52"/>
                    <w:adjustRightInd/>
                    <w:snapToGrid/>
                    <w:spacing w:before="0" w:after="0" w:line="240" w:lineRule="auto"/>
                    <w:ind w:right="0"/>
                    <w:rPr>
                      <w:rFonts w:hint="eastAsia"/>
                      <w:color w:val="auto"/>
                      <w:szCs w:val="21"/>
                    </w:rPr>
                  </w:pPr>
                </w:p>
              </w:tc>
              <w:tc>
                <w:tcPr>
                  <w:tcW w:w="849" w:type="dxa"/>
                  <w:vAlign w:val="center"/>
                </w:tcPr>
                <w:p w14:paraId="1B118198">
                  <w:pPr>
                    <w:pStyle w:val="52"/>
                    <w:adjustRightInd/>
                    <w:snapToGrid/>
                    <w:spacing w:before="0" w:after="0" w:line="240" w:lineRule="auto"/>
                    <w:ind w:right="0"/>
                    <w:rPr>
                      <w:rFonts w:hint="eastAsia"/>
                      <w:color w:val="auto"/>
                      <w:szCs w:val="21"/>
                      <w:highlight w:val="yellow"/>
                    </w:rPr>
                  </w:pPr>
                  <w:r>
                    <w:rPr>
                      <w:rFonts w:hint="eastAsia"/>
                      <w:color w:val="auto"/>
                      <w:szCs w:val="21"/>
                    </w:rPr>
                    <w:t>三车间</w:t>
                  </w:r>
                </w:p>
              </w:tc>
              <w:tc>
                <w:tcPr>
                  <w:tcW w:w="4176" w:type="dxa"/>
                  <w:vAlign w:val="center"/>
                </w:tcPr>
                <w:p w14:paraId="21A83DFE">
                  <w:pPr>
                    <w:pStyle w:val="52"/>
                    <w:adjustRightInd/>
                    <w:snapToGrid/>
                    <w:spacing w:before="0" w:after="0" w:line="240" w:lineRule="auto"/>
                    <w:ind w:right="0"/>
                    <w:rPr>
                      <w:rFonts w:hint="eastAsia"/>
                      <w:color w:val="auto"/>
                      <w:szCs w:val="21"/>
                      <w:highlight w:val="yellow"/>
                    </w:rPr>
                  </w:pPr>
                  <w:r>
                    <w:rPr>
                      <w:rFonts w:hint="eastAsia"/>
                      <w:color w:val="auto"/>
                      <w:szCs w:val="21"/>
                    </w:rPr>
                    <w:t>位于生产车间内部西北侧，占地面积15m</w:t>
                  </w:r>
                  <w:r>
                    <w:rPr>
                      <w:rFonts w:hint="eastAsia"/>
                      <w:color w:val="auto"/>
                      <w:szCs w:val="21"/>
                      <w:vertAlign w:val="superscript"/>
                    </w:rPr>
                    <w:t>2</w:t>
                  </w:r>
                </w:p>
              </w:tc>
              <w:tc>
                <w:tcPr>
                  <w:tcW w:w="1464" w:type="dxa"/>
                  <w:vMerge w:val="continue"/>
                  <w:vAlign w:val="center"/>
                </w:tcPr>
                <w:p w14:paraId="2947234D">
                  <w:pPr>
                    <w:jc w:val="center"/>
                    <w:rPr>
                      <w:rFonts w:hint="eastAsia"/>
                      <w:color w:val="auto"/>
                      <w:szCs w:val="21"/>
                    </w:rPr>
                  </w:pPr>
                </w:p>
              </w:tc>
            </w:tr>
            <w:tr w14:paraId="343E7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59" w:type="dxa"/>
                  <w:vMerge w:val="restart"/>
                  <w:vAlign w:val="center"/>
                </w:tcPr>
                <w:p w14:paraId="116409AB">
                  <w:pPr>
                    <w:pStyle w:val="52"/>
                    <w:adjustRightInd/>
                    <w:snapToGrid/>
                    <w:spacing w:before="0" w:after="0" w:line="240" w:lineRule="auto"/>
                    <w:ind w:right="0"/>
                    <w:rPr>
                      <w:rFonts w:hint="eastAsia"/>
                      <w:color w:val="auto"/>
                      <w:szCs w:val="21"/>
                    </w:rPr>
                  </w:pPr>
                  <w:r>
                    <w:rPr>
                      <w:rFonts w:hint="eastAsia"/>
                      <w:color w:val="auto"/>
                      <w:szCs w:val="21"/>
                    </w:rPr>
                    <w:t>公用工程</w:t>
                  </w:r>
                </w:p>
              </w:tc>
              <w:tc>
                <w:tcPr>
                  <w:tcW w:w="937" w:type="dxa"/>
                  <w:vAlign w:val="center"/>
                </w:tcPr>
                <w:p w14:paraId="4FC95030">
                  <w:pPr>
                    <w:pStyle w:val="52"/>
                    <w:adjustRightInd/>
                    <w:snapToGrid/>
                    <w:spacing w:before="0" w:after="0" w:line="240" w:lineRule="auto"/>
                    <w:ind w:right="0"/>
                    <w:rPr>
                      <w:rFonts w:hint="eastAsia"/>
                      <w:color w:val="auto"/>
                      <w:szCs w:val="21"/>
                    </w:rPr>
                  </w:pPr>
                  <w:r>
                    <w:rPr>
                      <w:rFonts w:hint="eastAsia"/>
                      <w:color w:val="auto"/>
                      <w:szCs w:val="21"/>
                    </w:rPr>
                    <w:t>供水</w:t>
                  </w:r>
                </w:p>
              </w:tc>
              <w:tc>
                <w:tcPr>
                  <w:tcW w:w="5025" w:type="dxa"/>
                  <w:gridSpan w:val="2"/>
                  <w:vAlign w:val="center"/>
                </w:tcPr>
                <w:p w14:paraId="2E48BF16">
                  <w:pPr>
                    <w:pStyle w:val="52"/>
                    <w:adjustRightInd/>
                    <w:snapToGrid/>
                    <w:spacing w:before="0" w:after="0" w:line="240" w:lineRule="auto"/>
                    <w:ind w:right="0"/>
                    <w:rPr>
                      <w:color w:val="auto"/>
                      <w:szCs w:val="21"/>
                    </w:rPr>
                  </w:pPr>
                  <w:r>
                    <w:rPr>
                      <w:rFonts w:hint="eastAsia"/>
                      <w:color w:val="auto"/>
                      <w:szCs w:val="21"/>
                    </w:rPr>
                    <w:t>由清丰县供水管网供给</w:t>
                  </w:r>
                </w:p>
              </w:tc>
              <w:tc>
                <w:tcPr>
                  <w:tcW w:w="1464" w:type="dxa"/>
                  <w:vAlign w:val="center"/>
                </w:tcPr>
                <w:p w14:paraId="3D2E4A8E">
                  <w:pPr>
                    <w:pStyle w:val="52"/>
                    <w:adjustRightInd/>
                    <w:snapToGrid/>
                    <w:spacing w:before="0" w:after="0" w:line="240" w:lineRule="auto"/>
                    <w:ind w:right="0"/>
                    <w:rPr>
                      <w:color w:val="auto"/>
                      <w:szCs w:val="21"/>
                    </w:rPr>
                  </w:pPr>
                  <w:r>
                    <w:rPr>
                      <w:rFonts w:hint="eastAsia"/>
                      <w:color w:val="auto"/>
                      <w:szCs w:val="21"/>
                    </w:rPr>
                    <w:t>/</w:t>
                  </w:r>
                </w:p>
              </w:tc>
            </w:tr>
            <w:tr w14:paraId="2BB2E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59" w:type="dxa"/>
                  <w:vMerge w:val="continue"/>
                  <w:vAlign w:val="center"/>
                </w:tcPr>
                <w:p w14:paraId="7B39203B">
                  <w:pPr>
                    <w:pStyle w:val="52"/>
                    <w:adjustRightInd/>
                    <w:snapToGrid/>
                    <w:spacing w:before="0" w:after="0" w:line="240" w:lineRule="auto"/>
                    <w:ind w:right="0"/>
                    <w:rPr>
                      <w:rFonts w:hint="eastAsia"/>
                      <w:color w:val="auto"/>
                      <w:szCs w:val="21"/>
                    </w:rPr>
                  </w:pPr>
                </w:p>
              </w:tc>
              <w:tc>
                <w:tcPr>
                  <w:tcW w:w="937" w:type="dxa"/>
                  <w:vAlign w:val="center"/>
                </w:tcPr>
                <w:p w14:paraId="556D0B06">
                  <w:pPr>
                    <w:pStyle w:val="52"/>
                    <w:adjustRightInd/>
                    <w:snapToGrid/>
                    <w:spacing w:before="0" w:after="0" w:line="240" w:lineRule="auto"/>
                    <w:ind w:right="0"/>
                    <w:rPr>
                      <w:rFonts w:hint="eastAsia"/>
                      <w:color w:val="auto"/>
                      <w:szCs w:val="21"/>
                    </w:rPr>
                  </w:pPr>
                  <w:r>
                    <w:rPr>
                      <w:rFonts w:hint="eastAsia"/>
                      <w:color w:val="auto"/>
                      <w:szCs w:val="21"/>
                    </w:rPr>
                    <w:t>供电</w:t>
                  </w:r>
                </w:p>
              </w:tc>
              <w:tc>
                <w:tcPr>
                  <w:tcW w:w="5025" w:type="dxa"/>
                  <w:gridSpan w:val="2"/>
                  <w:vAlign w:val="center"/>
                </w:tcPr>
                <w:p w14:paraId="2DAABB90">
                  <w:pPr>
                    <w:pStyle w:val="52"/>
                    <w:adjustRightInd/>
                    <w:snapToGrid/>
                    <w:spacing w:before="0" w:after="0" w:line="240" w:lineRule="auto"/>
                    <w:ind w:right="0"/>
                    <w:rPr>
                      <w:rFonts w:hint="eastAsia"/>
                      <w:color w:val="auto"/>
                      <w:szCs w:val="21"/>
                    </w:rPr>
                  </w:pPr>
                  <w:r>
                    <w:rPr>
                      <w:rFonts w:hint="eastAsia"/>
                      <w:color w:val="auto"/>
                      <w:szCs w:val="21"/>
                    </w:rPr>
                    <w:t>由清丰县供电管网供给</w:t>
                  </w:r>
                </w:p>
              </w:tc>
              <w:tc>
                <w:tcPr>
                  <w:tcW w:w="1464" w:type="dxa"/>
                  <w:vAlign w:val="center"/>
                </w:tcPr>
                <w:p w14:paraId="0358D177">
                  <w:pPr>
                    <w:pStyle w:val="52"/>
                    <w:adjustRightInd/>
                    <w:snapToGrid/>
                    <w:spacing w:before="0" w:after="0" w:line="240" w:lineRule="auto"/>
                    <w:ind w:right="0"/>
                    <w:rPr>
                      <w:color w:val="auto"/>
                      <w:szCs w:val="21"/>
                    </w:rPr>
                  </w:pPr>
                  <w:r>
                    <w:rPr>
                      <w:rFonts w:hint="eastAsia"/>
                      <w:color w:val="auto"/>
                      <w:szCs w:val="21"/>
                    </w:rPr>
                    <w:t>/</w:t>
                  </w:r>
                </w:p>
              </w:tc>
            </w:tr>
            <w:tr w14:paraId="52072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59" w:type="dxa"/>
                  <w:vMerge w:val="continue"/>
                  <w:vAlign w:val="center"/>
                </w:tcPr>
                <w:p w14:paraId="4E6F3E91">
                  <w:pPr>
                    <w:pStyle w:val="52"/>
                    <w:adjustRightInd/>
                    <w:snapToGrid/>
                    <w:spacing w:before="0" w:after="0" w:line="240" w:lineRule="auto"/>
                    <w:ind w:right="0"/>
                    <w:rPr>
                      <w:rFonts w:hint="eastAsia"/>
                      <w:color w:val="auto"/>
                      <w:szCs w:val="21"/>
                    </w:rPr>
                  </w:pPr>
                </w:p>
              </w:tc>
              <w:tc>
                <w:tcPr>
                  <w:tcW w:w="937" w:type="dxa"/>
                  <w:vAlign w:val="center"/>
                </w:tcPr>
                <w:p w14:paraId="5641911A">
                  <w:pPr>
                    <w:pStyle w:val="52"/>
                    <w:adjustRightInd/>
                    <w:snapToGrid/>
                    <w:spacing w:before="0" w:after="0" w:line="240" w:lineRule="auto"/>
                    <w:ind w:right="0"/>
                    <w:rPr>
                      <w:rFonts w:hint="eastAsia" w:eastAsia="宋体"/>
                      <w:color w:val="auto"/>
                      <w:szCs w:val="21"/>
                      <w:lang w:val="en-US" w:eastAsia="zh-CN"/>
                    </w:rPr>
                  </w:pPr>
                  <w:r>
                    <w:rPr>
                      <w:rFonts w:hint="eastAsia"/>
                      <w:color w:val="auto"/>
                      <w:szCs w:val="21"/>
                      <w:lang w:val="en-US" w:eastAsia="zh-CN"/>
                    </w:rPr>
                    <w:t>供热</w:t>
                  </w:r>
                </w:p>
              </w:tc>
              <w:tc>
                <w:tcPr>
                  <w:tcW w:w="5025" w:type="dxa"/>
                  <w:gridSpan w:val="2"/>
                  <w:vAlign w:val="center"/>
                </w:tcPr>
                <w:p w14:paraId="13827493">
                  <w:pPr>
                    <w:pStyle w:val="52"/>
                    <w:adjustRightInd/>
                    <w:snapToGrid/>
                    <w:spacing w:before="0" w:after="0" w:line="240" w:lineRule="auto"/>
                    <w:ind w:right="0"/>
                    <w:rPr>
                      <w:rFonts w:hint="default" w:eastAsia="宋体"/>
                      <w:color w:val="auto"/>
                      <w:szCs w:val="21"/>
                      <w:lang w:val="en-US" w:eastAsia="zh-CN"/>
                    </w:rPr>
                  </w:pPr>
                  <w:r>
                    <w:rPr>
                      <w:rFonts w:hint="eastAsia"/>
                      <w:color w:val="auto"/>
                      <w:szCs w:val="21"/>
                      <w:lang w:val="en-US" w:eastAsia="zh-CN"/>
                    </w:rPr>
                    <w:t>由空调供暖</w:t>
                  </w:r>
                </w:p>
              </w:tc>
              <w:tc>
                <w:tcPr>
                  <w:tcW w:w="1464" w:type="dxa"/>
                  <w:vAlign w:val="center"/>
                </w:tcPr>
                <w:p w14:paraId="7A1F8FBF">
                  <w:pPr>
                    <w:pStyle w:val="52"/>
                    <w:adjustRightInd/>
                    <w:snapToGrid/>
                    <w:spacing w:before="0" w:after="0" w:line="240" w:lineRule="auto"/>
                    <w:ind w:right="0"/>
                    <w:rPr>
                      <w:rFonts w:hint="default" w:eastAsia="宋体"/>
                      <w:color w:val="auto"/>
                      <w:szCs w:val="21"/>
                      <w:lang w:val="en-US" w:eastAsia="zh-CN"/>
                    </w:rPr>
                  </w:pPr>
                  <w:r>
                    <w:rPr>
                      <w:rFonts w:hint="eastAsia"/>
                      <w:b/>
                      <w:bCs/>
                      <w:color w:val="auto"/>
                      <w:szCs w:val="21"/>
                      <w:u w:val="single"/>
                      <w:lang w:val="en-US" w:eastAsia="zh-CN"/>
                    </w:rPr>
                    <w:t>油性漆喷漆后自然晾干，无需供热；水性漆喷漆后，冬季需使用干燥机烘干，其余季节自然晾干</w:t>
                  </w:r>
                </w:p>
              </w:tc>
            </w:tr>
            <w:tr w14:paraId="0CC03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5" w:hRule="atLeast"/>
                <w:jc w:val="center"/>
              </w:trPr>
              <w:tc>
                <w:tcPr>
                  <w:tcW w:w="959" w:type="dxa"/>
                  <w:vMerge w:val="restart"/>
                  <w:vAlign w:val="center"/>
                </w:tcPr>
                <w:p w14:paraId="459561CB">
                  <w:pPr>
                    <w:pStyle w:val="52"/>
                    <w:adjustRightInd/>
                    <w:snapToGrid/>
                    <w:spacing w:before="0" w:after="0" w:line="240" w:lineRule="auto"/>
                    <w:ind w:right="0"/>
                    <w:rPr>
                      <w:color w:val="auto"/>
                      <w:szCs w:val="21"/>
                    </w:rPr>
                  </w:pPr>
                  <w:r>
                    <w:rPr>
                      <w:color w:val="auto"/>
                      <w:szCs w:val="21"/>
                    </w:rPr>
                    <w:t>环保工程</w:t>
                  </w:r>
                </w:p>
              </w:tc>
              <w:tc>
                <w:tcPr>
                  <w:tcW w:w="937" w:type="dxa"/>
                  <w:vAlign w:val="center"/>
                </w:tcPr>
                <w:p w14:paraId="01FF472C">
                  <w:pPr>
                    <w:pStyle w:val="52"/>
                    <w:adjustRightInd/>
                    <w:snapToGrid/>
                    <w:spacing w:before="0" w:after="0" w:line="240" w:lineRule="auto"/>
                    <w:ind w:right="0"/>
                    <w:rPr>
                      <w:rFonts w:hint="eastAsia"/>
                      <w:color w:val="auto"/>
                      <w:szCs w:val="21"/>
                    </w:rPr>
                  </w:pPr>
                  <w:r>
                    <w:rPr>
                      <w:rFonts w:hint="eastAsia"/>
                      <w:color w:val="auto"/>
                      <w:szCs w:val="21"/>
                    </w:rPr>
                    <w:t>废气治理</w:t>
                  </w:r>
                </w:p>
              </w:tc>
              <w:tc>
                <w:tcPr>
                  <w:tcW w:w="5025" w:type="dxa"/>
                  <w:gridSpan w:val="2"/>
                  <w:vAlign w:val="center"/>
                </w:tcPr>
                <w:p w14:paraId="54D00E55">
                  <w:pPr>
                    <w:pStyle w:val="52"/>
                    <w:adjustRightInd/>
                    <w:snapToGrid/>
                    <w:spacing w:before="0" w:after="0" w:line="240" w:lineRule="auto"/>
                    <w:ind w:right="0"/>
                    <w:rPr>
                      <w:rFonts w:hint="eastAsia" w:eastAsia="宋体"/>
                      <w:color w:val="auto"/>
                      <w:szCs w:val="21"/>
                      <w:lang w:eastAsia="zh-CN"/>
                    </w:rPr>
                  </w:pPr>
                  <w:r>
                    <w:rPr>
                      <w:rFonts w:hint="eastAsia"/>
                      <w:b/>
                      <w:bCs/>
                      <w:color w:val="auto"/>
                      <w:szCs w:val="21"/>
                      <w:highlight w:val="none"/>
                      <w:u w:val="single"/>
                    </w:rPr>
                    <w:t>本项目一车间木加工、砂光、打磨粉尘收集后通过1套中央除尘器，然后通过1根15m排气筒（DA001）排放；二车间砂光粉尘收集后通过1套中央除尘器处理，然后通过1根15m排气筒（DA002）排放；三车间木加工、砂光粉尘收集后通过1套中央除尘器处理，然后通过1根15m排气筒（DA003）排放；一车间油墨粉尘经干式打磨柜处理后，无组织排放于车间</w:t>
                  </w:r>
                  <w:r>
                    <w:rPr>
                      <w:rFonts w:hint="eastAsia"/>
                      <w:b/>
                      <w:bCs/>
                      <w:color w:val="auto"/>
                      <w:szCs w:val="21"/>
                      <w:highlight w:val="none"/>
                      <w:u w:val="single"/>
                      <w:lang w:val="en-US" w:eastAsia="zh-CN"/>
                    </w:rPr>
                    <w:t>内</w:t>
                  </w:r>
                  <w:r>
                    <w:rPr>
                      <w:rFonts w:hint="eastAsia"/>
                      <w:b/>
                      <w:bCs/>
                      <w:color w:val="auto"/>
                      <w:szCs w:val="21"/>
                      <w:highlight w:val="none"/>
                      <w:u w:val="single"/>
                    </w:rPr>
                    <w:t>；项目拼版冷压、贴皮热压、封边、调漆、喷漆（经过滤棉预处理）、UV油漆辊涂、晾干、修色产生的有机废气通过各车间管道收集后，统一进入1套“活性炭吸附、脱附+催化燃烧”装置处理，然后通过1根15m排气筒（DA004）排放；危废暂存间废气</w:t>
                  </w:r>
                  <w:r>
                    <w:rPr>
                      <w:rFonts w:hint="eastAsia"/>
                      <w:b/>
                      <w:bCs/>
                      <w:color w:val="auto"/>
                      <w:szCs w:val="21"/>
                      <w:highlight w:val="none"/>
                      <w:u w:val="single"/>
                      <w:lang w:val="en-US" w:eastAsia="zh-CN"/>
                    </w:rPr>
                    <w:t>经集气管道引入活性炭吸附、脱附+催化燃烧装置进行处理</w:t>
                  </w:r>
                  <w:r>
                    <w:rPr>
                      <w:rFonts w:hint="eastAsia"/>
                      <w:b/>
                      <w:bCs/>
                      <w:color w:val="auto"/>
                      <w:szCs w:val="21"/>
                      <w:highlight w:val="none"/>
                      <w:u w:val="single"/>
                    </w:rPr>
                    <w:t>。</w:t>
                  </w:r>
                </w:p>
              </w:tc>
              <w:tc>
                <w:tcPr>
                  <w:tcW w:w="1464" w:type="dxa"/>
                  <w:vAlign w:val="center"/>
                </w:tcPr>
                <w:p w14:paraId="68C5B81F">
                  <w:pPr>
                    <w:pStyle w:val="52"/>
                    <w:adjustRightInd/>
                    <w:snapToGrid/>
                    <w:spacing w:before="0" w:after="0" w:line="240" w:lineRule="auto"/>
                    <w:ind w:right="0"/>
                    <w:rPr>
                      <w:rFonts w:hint="eastAsia"/>
                      <w:color w:val="auto"/>
                      <w:szCs w:val="21"/>
                    </w:rPr>
                  </w:pPr>
                  <w:r>
                    <w:rPr>
                      <w:rFonts w:hint="eastAsia"/>
                      <w:color w:val="auto"/>
                      <w:szCs w:val="21"/>
                    </w:rPr>
                    <w:t>/</w:t>
                  </w:r>
                </w:p>
              </w:tc>
            </w:tr>
            <w:tr w14:paraId="2DACC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59" w:type="dxa"/>
                  <w:vMerge w:val="continue"/>
                  <w:vAlign w:val="center"/>
                </w:tcPr>
                <w:p w14:paraId="7B922275">
                  <w:pPr>
                    <w:pStyle w:val="52"/>
                    <w:adjustRightInd/>
                    <w:snapToGrid/>
                    <w:spacing w:before="0" w:after="0" w:line="240" w:lineRule="auto"/>
                    <w:ind w:right="0"/>
                    <w:rPr>
                      <w:color w:val="auto"/>
                      <w:szCs w:val="21"/>
                    </w:rPr>
                  </w:pPr>
                </w:p>
              </w:tc>
              <w:tc>
                <w:tcPr>
                  <w:tcW w:w="937" w:type="dxa"/>
                  <w:vAlign w:val="center"/>
                </w:tcPr>
                <w:p w14:paraId="56FAA210">
                  <w:pPr>
                    <w:pStyle w:val="52"/>
                    <w:adjustRightInd/>
                    <w:snapToGrid/>
                    <w:spacing w:before="0" w:after="0" w:line="240" w:lineRule="auto"/>
                    <w:ind w:right="0"/>
                    <w:rPr>
                      <w:rFonts w:hint="eastAsia"/>
                      <w:color w:val="auto"/>
                      <w:szCs w:val="21"/>
                    </w:rPr>
                  </w:pPr>
                  <w:r>
                    <w:rPr>
                      <w:rFonts w:hint="eastAsia"/>
                      <w:color w:val="auto"/>
                      <w:szCs w:val="21"/>
                    </w:rPr>
                    <w:t>废水治理</w:t>
                  </w:r>
                </w:p>
              </w:tc>
              <w:tc>
                <w:tcPr>
                  <w:tcW w:w="5025" w:type="dxa"/>
                  <w:gridSpan w:val="2"/>
                  <w:vAlign w:val="center"/>
                </w:tcPr>
                <w:p w14:paraId="4F3E1845">
                  <w:pPr>
                    <w:pStyle w:val="52"/>
                    <w:adjustRightInd/>
                    <w:snapToGrid/>
                    <w:spacing w:before="0" w:after="0" w:line="240" w:lineRule="auto"/>
                    <w:ind w:right="0"/>
                    <w:rPr>
                      <w:color w:val="auto"/>
                      <w:szCs w:val="21"/>
                    </w:rPr>
                  </w:pPr>
                  <w:r>
                    <w:rPr>
                      <w:rFonts w:hint="eastAsia"/>
                      <w:b/>
                      <w:bCs/>
                      <w:color w:val="auto"/>
                      <w:szCs w:val="21"/>
                      <w:u w:val="single"/>
                    </w:rPr>
                    <w:t>项目</w:t>
                  </w:r>
                  <w:r>
                    <w:rPr>
                      <w:rFonts w:hint="eastAsia"/>
                      <w:b/>
                      <w:bCs/>
                      <w:color w:val="auto"/>
                      <w:szCs w:val="21"/>
                      <w:u w:val="single"/>
                      <w:lang w:val="en-US" w:eastAsia="zh-CN"/>
                    </w:rPr>
                    <w:t>制备废水和</w:t>
                  </w:r>
                  <w:r>
                    <w:rPr>
                      <w:rFonts w:hint="eastAsia"/>
                      <w:b/>
                      <w:bCs/>
                      <w:color w:val="auto"/>
                      <w:szCs w:val="21"/>
                      <w:u w:val="single"/>
                    </w:rPr>
                    <w:t>生活污水</w:t>
                  </w:r>
                  <w:r>
                    <w:rPr>
                      <w:rFonts w:hint="eastAsia"/>
                      <w:b/>
                      <w:bCs/>
                      <w:color w:val="auto"/>
                      <w:szCs w:val="21"/>
                      <w:u w:val="single"/>
                      <w:lang w:val="en-US" w:eastAsia="zh-CN"/>
                    </w:rPr>
                    <w:t>一起</w:t>
                  </w:r>
                  <w:r>
                    <w:rPr>
                      <w:rFonts w:hint="eastAsia"/>
                      <w:color w:val="auto"/>
                      <w:szCs w:val="21"/>
                      <w:lang w:val="en-US" w:eastAsia="zh-CN"/>
                    </w:rPr>
                    <w:t>经</w:t>
                  </w:r>
                  <w:r>
                    <w:rPr>
                      <w:rFonts w:hint="eastAsia"/>
                      <w:color w:val="auto"/>
                      <w:szCs w:val="21"/>
                    </w:rPr>
                    <w:t>化粪池</w:t>
                  </w:r>
                  <w:r>
                    <w:rPr>
                      <w:rFonts w:hint="eastAsia"/>
                      <w:color w:val="auto"/>
                      <w:szCs w:val="21"/>
                      <w:lang w:eastAsia="zh-CN"/>
                    </w:rPr>
                    <w:t>（</w:t>
                  </w:r>
                  <w:r>
                    <w:rPr>
                      <w:rFonts w:hint="eastAsia"/>
                      <w:color w:val="auto"/>
                      <w:szCs w:val="21"/>
                      <w:lang w:val="en-US" w:eastAsia="zh-CN"/>
                    </w:rPr>
                    <w:t>自建，</w:t>
                  </w:r>
                  <w:r>
                    <w:rPr>
                      <w:rFonts w:hint="eastAsia"/>
                      <w:color w:val="auto"/>
                      <w:lang w:val="en-US" w:eastAsia="zh-CN"/>
                    </w:rPr>
                    <w:t>12m</w:t>
                  </w:r>
                  <w:r>
                    <w:rPr>
                      <w:rFonts w:hint="eastAsia"/>
                      <w:color w:val="auto"/>
                      <w:vertAlign w:val="superscript"/>
                      <w:lang w:val="en-US" w:eastAsia="zh-CN"/>
                    </w:rPr>
                    <w:t>3</w:t>
                  </w:r>
                  <w:r>
                    <w:rPr>
                      <w:rFonts w:hint="eastAsia"/>
                      <w:color w:val="auto"/>
                      <w:szCs w:val="21"/>
                      <w:lang w:eastAsia="zh-CN"/>
                    </w:rPr>
                    <w:t>）</w:t>
                  </w:r>
                  <w:r>
                    <w:rPr>
                      <w:rFonts w:hint="eastAsia"/>
                      <w:color w:val="auto"/>
                      <w:szCs w:val="21"/>
                    </w:rPr>
                    <w:t>处理后排入</w:t>
                  </w:r>
                  <w:r>
                    <w:rPr>
                      <w:color w:val="auto"/>
                      <w:szCs w:val="21"/>
                    </w:rPr>
                    <w:t>清丰中州水务有限公司第二污水处理厂</w:t>
                  </w:r>
                  <w:r>
                    <w:rPr>
                      <w:rFonts w:hint="eastAsia"/>
                      <w:color w:val="auto"/>
                      <w:szCs w:val="21"/>
                    </w:rPr>
                    <w:t>进一步处理，最终进入潴龙河</w:t>
                  </w:r>
                </w:p>
              </w:tc>
              <w:tc>
                <w:tcPr>
                  <w:tcW w:w="1464" w:type="dxa"/>
                  <w:vAlign w:val="center"/>
                </w:tcPr>
                <w:p w14:paraId="2C334BDC">
                  <w:pPr>
                    <w:pStyle w:val="52"/>
                    <w:adjustRightInd/>
                    <w:snapToGrid/>
                    <w:spacing w:before="0" w:after="0" w:line="240" w:lineRule="auto"/>
                    <w:ind w:right="0"/>
                    <w:rPr>
                      <w:rFonts w:hint="eastAsia"/>
                      <w:color w:val="auto"/>
                      <w:szCs w:val="21"/>
                    </w:rPr>
                  </w:pPr>
                  <w:r>
                    <w:rPr>
                      <w:rFonts w:hint="eastAsia"/>
                      <w:color w:val="auto"/>
                      <w:szCs w:val="21"/>
                    </w:rPr>
                    <w:t>/</w:t>
                  </w:r>
                </w:p>
              </w:tc>
            </w:tr>
            <w:tr w14:paraId="13160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59" w:type="dxa"/>
                  <w:vMerge w:val="continue"/>
                  <w:vAlign w:val="center"/>
                </w:tcPr>
                <w:p w14:paraId="44D2C95C">
                  <w:pPr>
                    <w:pStyle w:val="52"/>
                    <w:adjustRightInd/>
                    <w:snapToGrid/>
                    <w:spacing w:before="0" w:after="0" w:line="240" w:lineRule="auto"/>
                    <w:ind w:right="0"/>
                    <w:rPr>
                      <w:color w:val="auto"/>
                      <w:szCs w:val="21"/>
                    </w:rPr>
                  </w:pPr>
                </w:p>
              </w:tc>
              <w:tc>
                <w:tcPr>
                  <w:tcW w:w="937" w:type="dxa"/>
                  <w:vAlign w:val="center"/>
                </w:tcPr>
                <w:p w14:paraId="60A3C538">
                  <w:pPr>
                    <w:pStyle w:val="52"/>
                    <w:adjustRightInd/>
                    <w:snapToGrid/>
                    <w:spacing w:before="0" w:after="0" w:line="240" w:lineRule="auto"/>
                    <w:ind w:right="0"/>
                    <w:rPr>
                      <w:color w:val="auto"/>
                      <w:szCs w:val="21"/>
                    </w:rPr>
                  </w:pPr>
                  <w:r>
                    <w:rPr>
                      <w:color w:val="auto"/>
                      <w:szCs w:val="21"/>
                    </w:rPr>
                    <w:t>噪声治理</w:t>
                  </w:r>
                </w:p>
              </w:tc>
              <w:tc>
                <w:tcPr>
                  <w:tcW w:w="5025" w:type="dxa"/>
                  <w:gridSpan w:val="2"/>
                  <w:vAlign w:val="center"/>
                </w:tcPr>
                <w:p w14:paraId="4B720C41">
                  <w:pPr>
                    <w:pStyle w:val="52"/>
                    <w:adjustRightInd/>
                    <w:snapToGrid/>
                    <w:spacing w:before="0" w:after="0" w:line="240" w:lineRule="auto"/>
                    <w:ind w:right="0"/>
                    <w:rPr>
                      <w:rFonts w:hint="eastAsia"/>
                      <w:color w:val="auto"/>
                      <w:szCs w:val="21"/>
                    </w:rPr>
                  </w:pPr>
                  <w:r>
                    <w:rPr>
                      <w:rFonts w:hint="eastAsia"/>
                      <w:color w:val="auto"/>
                      <w:szCs w:val="21"/>
                    </w:rPr>
                    <w:t>选用低噪声设备，高</w:t>
                  </w:r>
                  <w:r>
                    <w:rPr>
                      <w:color w:val="auto"/>
                      <w:szCs w:val="21"/>
                    </w:rPr>
                    <w:t>噪声设备</w:t>
                  </w:r>
                  <w:r>
                    <w:rPr>
                      <w:rFonts w:hint="eastAsia"/>
                      <w:color w:val="auto"/>
                      <w:szCs w:val="21"/>
                    </w:rPr>
                    <w:t>设置基础减振</w:t>
                  </w:r>
                </w:p>
              </w:tc>
              <w:tc>
                <w:tcPr>
                  <w:tcW w:w="1464" w:type="dxa"/>
                  <w:vAlign w:val="center"/>
                </w:tcPr>
                <w:p w14:paraId="028FB052">
                  <w:pPr>
                    <w:jc w:val="center"/>
                    <w:rPr>
                      <w:rFonts w:hint="eastAsia"/>
                      <w:color w:val="auto"/>
                      <w:szCs w:val="21"/>
                    </w:rPr>
                  </w:pPr>
                  <w:r>
                    <w:rPr>
                      <w:rFonts w:hint="eastAsia"/>
                      <w:color w:val="auto"/>
                      <w:szCs w:val="21"/>
                    </w:rPr>
                    <w:t>/</w:t>
                  </w:r>
                </w:p>
              </w:tc>
            </w:tr>
            <w:tr w14:paraId="1FD5A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59" w:type="dxa"/>
                  <w:vMerge w:val="continue"/>
                  <w:vAlign w:val="center"/>
                </w:tcPr>
                <w:p w14:paraId="04A5233F">
                  <w:pPr>
                    <w:pStyle w:val="52"/>
                    <w:adjustRightInd/>
                    <w:snapToGrid/>
                    <w:spacing w:before="0" w:after="0" w:line="240" w:lineRule="auto"/>
                    <w:ind w:right="0"/>
                    <w:rPr>
                      <w:color w:val="auto"/>
                      <w:szCs w:val="21"/>
                    </w:rPr>
                  </w:pPr>
                </w:p>
              </w:tc>
              <w:tc>
                <w:tcPr>
                  <w:tcW w:w="937" w:type="dxa"/>
                  <w:vAlign w:val="center"/>
                </w:tcPr>
                <w:p w14:paraId="3AB9A610">
                  <w:pPr>
                    <w:pStyle w:val="52"/>
                    <w:adjustRightInd/>
                    <w:snapToGrid/>
                    <w:spacing w:before="0" w:after="0" w:line="240" w:lineRule="auto"/>
                    <w:ind w:right="0"/>
                    <w:rPr>
                      <w:color w:val="auto"/>
                      <w:szCs w:val="21"/>
                    </w:rPr>
                  </w:pPr>
                  <w:r>
                    <w:rPr>
                      <w:color w:val="auto"/>
                      <w:szCs w:val="21"/>
                    </w:rPr>
                    <w:t>固废治理</w:t>
                  </w:r>
                </w:p>
              </w:tc>
              <w:tc>
                <w:tcPr>
                  <w:tcW w:w="5025" w:type="dxa"/>
                  <w:gridSpan w:val="2"/>
                  <w:vAlign w:val="center"/>
                </w:tcPr>
                <w:p w14:paraId="0E6D0005">
                  <w:pPr>
                    <w:pStyle w:val="52"/>
                    <w:adjustRightInd/>
                    <w:snapToGrid/>
                    <w:spacing w:before="0" w:after="0" w:line="240" w:lineRule="auto"/>
                    <w:ind w:right="0"/>
                    <w:rPr>
                      <w:rFonts w:hint="eastAsia"/>
                      <w:color w:val="auto"/>
                      <w:szCs w:val="21"/>
                    </w:rPr>
                  </w:pPr>
                  <w:r>
                    <w:rPr>
                      <w:color w:val="auto"/>
                      <w:szCs w:val="21"/>
                    </w:rPr>
                    <w:t>一般工业固体废物</w:t>
                  </w:r>
                  <w:r>
                    <w:rPr>
                      <w:rFonts w:hint="eastAsia"/>
                      <w:color w:val="auto"/>
                      <w:szCs w:val="21"/>
                    </w:rPr>
                    <w:t>收集后综合利用，危险废物交由有资质单位处理</w:t>
                  </w:r>
                  <w:r>
                    <w:rPr>
                      <w:color w:val="auto"/>
                      <w:szCs w:val="21"/>
                    </w:rPr>
                    <w:t>；生活垃圾交由环卫部门统一</w:t>
                  </w:r>
                  <w:r>
                    <w:rPr>
                      <w:rFonts w:hint="eastAsia"/>
                      <w:color w:val="auto"/>
                      <w:szCs w:val="21"/>
                    </w:rPr>
                    <w:t>处理</w:t>
                  </w:r>
                </w:p>
              </w:tc>
              <w:tc>
                <w:tcPr>
                  <w:tcW w:w="1464" w:type="dxa"/>
                  <w:vAlign w:val="center"/>
                </w:tcPr>
                <w:p w14:paraId="620A4BEA">
                  <w:pPr>
                    <w:jc w:val="center"/>
                    <w:rPr>
                      <w:rFonts w:hint="eastAsia"/>
                      <w:color w:val="auto"/>
                      <w:szCs w:val="21"/>
                    </w:rPr>
                  </w:pPr>
                  <w:r>
                    <w:rPr>
                      <w:rFonts w:hint="eastAsia"/>
                      <w:color w:val="auto"/>
                      <w:szCs w:val="21"/>
                    </w:rPr>
                    <w:t>/</w:t>
                  </w:r>
                </w:p>
              </w:tc>
            </w:tr>
          </w:tbl>
          <w:p w14:paraId="31B64D2E">
            <w:pPr>
              <w:spacing w:line="360" w:lineRule="auto"/>
              <w:rPr>
                <w:b/>
                <w:bCs/>
                <w:color w:val="auto"/>
                <w:sz w:val="24"/>
              </w:rPr>
            </w:pPr>
            <w:bookmarkStart w:id="66" w:name="_Toc24454"/>
            <w:bookmarkStart w:id="67" w:name="_Toc7163"/>
            <w:r>
              <w:rPr>
                <w:rFonts w:hint="eastAsia"/>
                <w:b/>
                <w:bCs/>
                <w:color w:val="auto"/>
                <w:sz w:val="24"/>
              </w:rPr>
              <w:t>2.2主要生产设备</w:t>
            </w:r>
            <w:bookmarkEnd w:id="66"/>
            <w:bookmarkEnd w:id="67"/>
          </w:p>
          <w:p w14:paraId="7FC1BE5C">
            <w:pPr>
              <w:spacing w:line="360" w:lineRule="auto"/>
              <w:ind w:firstLine="480" w:firstLineChars="200"/>
              <w:rPr>
                <w:color w:val="auto"/>
                <w:sz w:val="24"/>
              </w:rPr>
            </w:pPr>
            <w:r>
              <w:rPr>
                <w:color w:val="auto"/>
                <w:sz w:val="24"/>
              </w:rPr>
              <w:t>本项目主要生产设备一览表见下表</w:t>
            </w:r>
            <w:r>
              <w:rPr>
                <w:rFonts w:hint="eastAsia"/>
                <w:color w:val="auto"/>
                <w:sz w:val="24"/>
              </w:rPr>
              <w:t>。</w:t>
            </w:r>
          </w:p>
          <w:p w14:paraId="2A65F8D5">
            <w:pPr>
              <w:pStyle w:val="46"/>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eastAsia" w:ascii="Times New Roman" w:hAnsi="Arial Unicode MS" w:eastAsia="宋体" w:cs="Times New Roman"/>
                <w:b/>
                <w:color w:val="auto"/>
                <w:kern w:val="2"/>
                <w:sz w:val="24"/>
                <w:szCs w:val="24"/>
                <w:lang w:val="en-US" w:eastAsia="zh-CN" w:bidi="ar-SA"/>
              </w:rPr>
            </w:pPr>
            <w:r>
              <w:rPr>
                <w:rFonts w:hint="eastAsia" w:ascii="Times New Roman" w:hAnsi="Arial Unicode MS" w:eastAsia="宋体" w:cs="Times New Roman"/>
                <w:b/>
                <w:color w:val="auto"/>
                <w:kern w:val="2"/>
                <w:sz w:val="24"/>
                <w:szCs w:val="24"/>
                <w:lang w:val="en-US" w:eastAsia="zh-CN" w:bidi="ar-SA"/>
              </w:rPr>
              <w:t>主要设备一览表</w:t>
            </w:r>
          </w:p>
          <w:tbl>
            <w:tblPr>
              <w:tblStyle w:val="25"/>
              <w:tblW w:w="860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16"/>
              <w:gridCol w:w="950"/>
              <w:gridCol w:w="2313"/>
              <w:gridCol w:w="2258"/>
              <w:gridCol w:w="1182"/>
              <w:gridCol w:w="1182"/>
            </w:tblGrid>
            <w:tr w14:paraId="30656E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7" w:hRule="atLeast"/>
              </w:trPr>
              <w:tc>
                <w:tcPr>
                  <w:tcW w:w="716" w:type="dxa"/>
                  <w:vAlign w:val="center"/>
                </w:tcPr>
                <w:p w14:paraId="5FD3199E">
                  <w:pPr>
                    <w:widowControl/>
                    <w:jc w:val="center"/>
                    <w:textAlignment w:val="center"/>
                    <w:rPr>
                      <w:b/>
                      <w:bCs/>
                      <w:color w:val="auto"/>
                      <w:szCs w:val="21"/>
                    </w:rPr>
                  </w:pPr>
                  <w:bookmarkStart w:id="68" w:name="_Toc6782"/>
                  <w:bookmarkStart w:id="69" w:name="_Toc28339"/>
                  <w:r>
                    <w:rPr>
                      <w:rFonts w:hint="eastAsia"/>
                      <w:b/>
                      <w:bCs/>
                      <w:color w:val="auto"/>
                      <w:kern w:val="0"/>
                      <w:szCs w:val="21"/>
                      <w:lang w:bidi="ar"/>
                    </w:rPr>
                    <w:t>序号</w:t>
                  </w:r>
                </w:p>
              </w:tc>
              <w:tc>
                <w:tcPr>
                  <w:tcW w:w="3263" w:type="dxa"/>
                  <w:gridSpan w:val="2"/>
                  <w:vAlign w:val="center"/>
                </w:tcPr>
                <w:p w14:paraId="6B8617AB">
                  <w:pPr>
                    <w:widowControl/>
                    <w:jc w:val="center"/>
                    <w:textAlignment w:val="center"/>
                    <w:rPr>
                      <w:b/>
                      <w:bCs/>
                      <w:color w:val="auto"/>
                      <w:szCs w:val="21"/>
                    </w:rPr>
                  </w:pPr>
                  <w:r>
                    <w:rPr>
                      <w:b/>
                      <w:bCs/>
                      <w:color w:val="auto"/>
                      <w:kern w:val="0"/>
                      <w:szCs w:val="21"/>
                      <w:lang w:bidi="ar"/>
                    </w:rPr>
                    <w:t>名称</w:t>
                  </w:r>
                </w:p>
              </w:tc>
              <w:tc>
                <w:tcPr>
                  <w:tcW w:w="2258" w:type="dxa"/>
                  <w:vAlign w:val="center"/>
                </w:tcPr>
                <w:p w14:paraId="146CE94D">
                  <w:pPr>
                    <w:widowControl/>
                    <w:jc w:val="center"/>
                    <w:textAlignment w:val="center"/>
                    <w:rPr>
                      <w:rFonts w:hint="eastAsia"/>
                      <w:b/>
                      <w:bCs/>
                      <w:color w:val="auto"/>
                      <w:kern w:val="0"/>
                      <w:szCs w:val="21"/>
                      <w:lang w:bidi="ar"/>
                    </w:rPr>
                  </w:pPr>
                  <w:r>
                    <w:rPr>
                      <w:b/>
                      <w:bCs/>
                      <w:color w:val="auto"/>
                      <w:kern w:val="0"/>
                      <w:szCs w:val="21"/>
                      <w:lang w:bidi="ar"/>
                    </w:rPr>
                    <w:t>型号</w:t>
                  </w:r>
                </w:p>
              </w:tc>
              <w:tc>
                <w:tcPr>
                  <w:tcW w:w="1182" w:type="dxa"/>
                  <w:vAlign w:val="center"/>
                </w:tcPr>
                <w:p w14:paraId="2DF3CC5A">
                  <w:pPr>
                    <w:widowControl/>
                    <w:jc w:val="center"/>
                    <w:textAlignment w:val="center"/>
                    <w:rPr>
                      <w:b/>
                      <w:bCs/>
                      <w:color w:val="auto"/>
                      <w:kern w:val="0"/>
                      <w:szCs w:val="21"/>
                      <w:lang w:bidi="ar"/>
                    </w:rPr>
                  </w:pPr>
                  <w:r>
                    <w:rPr>
                      <w:rFonts w:hint="eastAsia"/>
                      <w:b/>
                      <w:bCs/>
                      <w:color w:val="auto"/>
                      <w:kern w:val="0"/>
                      <w:szCs w:val="21"/>
                      <w:lang w:bidi="ar"/>
                    </w:rPr>
                    <w:t>数量/台</w:t>
                  </w:r>
                </w:p>
              </w:tc>
              <w:tc>
                <w:tcPr>
                  <w:tcW w:w="1182" w:type="dxa"/>
                  <w:vAlign w:val="center"/>
                </w:tcPr>
                <w:p w14:paraId="3B124331">
                  <w:pPr>
                    <w:widowControl/>
                    <w:jc w:val="center"/>
                    <w:textAlignment w:val="center"/>
                    <w:rPr>
                      <w:rFonts w:hint="eastAsia" w:eastAsia="宋体"/>
                      <w:b/>
                      <w:bCs/>
                      <w:color w:val="auto"/>
                      <w:kern w:val="0"/>
                      <w:szCs w:val="21"/>
                      <w:lang w:val="en-US" w:eastAsia="zh-CN" w:bidi="ar"/>
                    </w:rPr>
                  </w:pPr>
                  <w:r>
                    <w:rPr>
                      <w:rFonts w:hint="eastAsia"/>
                      <w:b/>
                      <w:bCs/>
                      <w:color w:val="auto"/>
                      <w:kern w:val="0"/>
                      <w:szCs w:val="21"/>
                      <w:lang w:val="en-US" w:eastAsia="zh-CN" w:bidi="ar"/>
                    </w:rPr>
                    <w:t>备注</w:t>
                  </w:r>
                </w:p>
              </w:tc>
            </w:tr>
            <w:tr w14:paraId="7EF0CD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716" w:type="dxa"/>
                  <w:vAlign w:val="center"/>
                </w:tcPr>
                <w:p w14:paraId="5F1EC9C5">
                  <w:pPr>
                    <w:widowControl/>
                    <w:jc w:val="center"/>
                    <w:textAlignment w:val="center"/>
                    <w:rPr>
                      <w:rFonts w:hint="eastAsia"/>
                      <w:color w:val="auto"/>
                      <w:szCs w:val="21"/>
                    </w:rPr>
                  </w:pPr>
                  <w:r>
                    <w:rPr>
                      <w:rFonts w:hint="eastAsia"/>
                      <w:color w:val="auto"/>
                      <w:szCs w:val="21"/>
                    </w:rPr>
                    <w:t>1</w:t>
                  </w:r>
                </w:p>
              </w:tc>
              <w:tc>
                <w:tcPr>
                  <w:tcW w:w="950" w:type="dxa"/>
                  <w:vMerge w:val="restart"/>
                  <w:vAlign w:val="center"/>
                </w:tcPr>
                <w:p w14:paraId="2287856D">
                  <w:pPr>
                    <w:widowControl/>
                    <w:jc w:val="center"/>
                    <w:textAlignment w:val="center"/>
                    <w:rPr>
                      <w:rFonts w:hint="eastAsia"/>
                      <w:color w:val="auto"/>
                      <w:szCs w:val="21"/>
                    </w:rPr>
                  </w:pPr>
                  <w:r>
                    <w:rPr>
                      <w:rFonts w:hint="eastAsia"/>
                      <w:color w:val="auto"/>
                      <w:szCs w:val="21"/>
                    </w:rPr>
                    <w:t>一车间</w:t>
                  </w:r>
                </w:p>
              </w:tc>
              <w:tc>
                <w:tcPr>
                  <w:tcW w:w="2313" w:type="dxa"/>
                  <w:vAlign w:val="center"/>
                </w:tcPr>
                <w:p w14:paraId="25C37771">
                  <w:pPr>
                    <w:autoSpaceDE w:val="0"/>
                    <w:autoSpaceDN w:val="0"/>
                    <w:adjustRightInd w:val="0"/>
                    <w:snapToGrid w:val="0"/>
                    <w:jc w:val="center"/>
                    <w:rPr>
                      <w:color w:val="auto"/>
                      <w:szCs w:val="21"/>
                    </w:rPr>
                  </w:pPr>
                  <w:r>
                    <w:rPr>
                      <w:rFonts w:hint="eastAsia"/>
                      <w:color w:val="auto"/>
                      <w:szCs w:val="21"/>
                    </w:rPr>
                    <w:t>精密推台锯</w:t>
                  </w:r>
                </w:p>
              </w:tc>
              <w:tc>
                <w:tcPr>
                  <w:tcW w:w="2258" w:type="dxa"/>
                  <w:vAlign w:val="center"/>
                </w:tcPr>
                <w:p w14:paraId="38E760F9">
                  <w:pPr>
                    <w:autoSpaceDE w:val="0"/>
                    <w:autoSpaceDN w:val="0"/>
                    <w:adjustRightInd w:val="0"/>
                    <w:snapToGrid w:val="0"/>
                    <w:jc w:val="center"/>
                    <w:rPr>
                      <w:color w:val="auto"/>
                      <w:szCs w:val="21"/>
                    </w:rPr>
                  </w:pPr>
                  <w:r>
                    <w:rPr>
                      <w:rFonts w:hint="eastAsia"/>
                      <w:color w:val="auto"/>
                      <w:szCs w:val="21"/>
                    </w:rPr>
                    <w:t>MJQ6130B</w:t>
                  </w:r>
                </w:p>
              </w:tc>
              <w:tc>
                <w:tcPr>
                  <w:tcW w:w="1182" w:type="dxa"/>
                  <w:vAlign w:val="center"/>
                </w:tcPr>
                <w:p w14:paraId="03772697">
                  <w:pPr>
                    <w:autoSpaceDE w:val="0"/>
                    <w:autoSpaceDN w:val="0"/>
                    <w:adjustRightInd w:val="0"/>
                    <w:snapToGrid w:val="0"/>
                    <w:jc w:val="center"/>
                    <w:rPr>
                      <w:color w:val="auto"/>
                      <w:szCs w:val="21"/>
                    </w:rPr>
                  </w:pPr>
                  <w:r>
                    <w:rPr>
                      <w:rFonts w:hint="eastAsia"/>
                      <w:color w:val="auto"/>
                      <w:szCs w:val="21"/>
                    </w:rPr>
                    <w:t>2</w:t>
                  </w:r>
                </w:p>
              </w:tc>
              <w:tc>
                <w:tcPr>
                  <w:tcW w:w="1182" w:type="dxa"/>
                  <w:vMerge w:val="restart"/>
                  <w:vAlign w:val="center"/>
                </w:tcPr>
                <w:p w14:paraId="3C22126B">
                  <w:pPr>
                    <w:autoSpaceDE w:val="0"/>
                    <w:autoSpaceDN w:val="0"/>
                    <w:adjustRightInd w:val="0"/>
                    <w:snapToGrid w:val="0"/>
                    <w:jc w:val="center"/>
                    <w:rPr>
                      <w:rFonts w:hint="default" w:eastAsia="宋体"/>
                      <w:color w:val="auto"/>
                      <w:szCs w:val="21"/>
                      <w:lang w:val="en-US" w:eastAsia="zh-CN"/>
                    </w:rPr>
                  </w:pPr>
                  <w:r>
                    <w:rPr>
                      <w:rFonts w:hint="eastAsia"/>
                      <w:b/>
                      <w:bCs/>
                      <w:color w:val="auto"/>
                      <w:szCs w:val="21"/>
                      <w:u w:val="single"/>
                      <w:lang w:val="en-US" w:eastAsia="zh-CN"/>
                    </w:rPr>
                    <w:t>所有设备均为中顺家具原有设备，随厂房一起转让</w:t>
                  </w:r>
                </w:p>
              </w:tc>
            </w:tr>
            <w:tr w14:paraId="7EF5DF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716" w:type="dxa"/>
                  <w:vAlign w:val="center"/>
                </w:tcPr>
                <w:p w14:paraId="213D58C6">
                  <w:pPr>
                    <w:widowControl/>
                    <w:jc w:val="center"/>
                    <w:textAlignment w:val="center"/>
                    <w:rPr>
                      <w:rFonts w:hint="eastAsia"/>
                      <w:color w:val="auto"/>
                      <w:szCs w:val="21"/>
                    </w:rPr>
                  </w:pPr>
                  <w:r>
                    <w:rPr>
                      <w:rFonts w:hint="eastAsia"/>
                      <w:color w:val="auto"/>
                      <w:szCs w:val="21"/>
                    </w:rPr>
                    <w:t>2</w:t>
                  </w:r>
                </w:p>
              </w:tc>
              <w:tc>
                <w:tcPr>
                  <w:tcW w:w="950" w:type="dxa"/>
                  <w:vMerge w:val="continue"/>
                  <w:vAlign w:val="center"/>
                </w:tcPr>
                <w:p w14:paraId="40888BE6">
                  <w:pPr>
                    <w:widowControl/>
                    <w:jc w:val="center"/>
                    <w:textAlignment w:val="center"/>
                    <w:rPr>
                      <w:color w:val="auto"/>
                      <w:szCs w:val="21"/>
                    </w:rPr>
                  </w:pPr>
                </w:p>
              </w:tc>
              <w:tc>
                <w:tcPr>
                  <w:tcW w:w="2313" w:type="dxa"/>
                  <w:vAlign w:val="center"/>
                </w:tcPr>
                <w:p w14:paraId="0412E652">
                  <w:pPr>
                    <w:autoSpaceDE w:val="0"/>
                    <w:autoSpaceDN w:val="0"/>
                    <w:adjustRightInd w:val="0"/>
                    <w:snapToGrid w:val="0"/>
                    <w:jc w:val="center"/>
                    <w:rPr>
                      <w:color w:val="auto"/>
                      <w:szCs w:val="21"/>
                    </w:rPr>
                  </w:pPr>
                  <w:r>
                    <w:rPr>
                      <w:rFonts w:hint="eastAsia"/>
                      <w:color w:val="auto"/>
                      <w:szCs w:val="21"/>
                    </w:rPr>
                    <w:t>刨砂机</w:t>
                  </w:r>
                </w:p>
              </w:tc>
              <w:tc>
                <w:tcPr>
                  <w:tcW w:w="2258" w:type="dxa"/>
                  <w:vAlign w:val="center"/>
                </w:tcPr>
                <w:p w14:paraId="1E74CB12">
                  <w:pPr>
                    <w:autoSpaceDE w:val="0"/>
                    <w:autoSpaceDN w:val="0"/>
                    <w:adjustRightInd w:val="0"/>
                    <w:snapToGrid w:val="0"/>
                    <w:jc w:val="center"/>
                    <w:rPr>
                      <w:color w:val="auto"/>
                      <w:szCs w:val="21"/>
                    </w:rPr>
                  </w:pPr>
                  <w:r>
                    <w:rPr>
                      <w:rFonts w:hint="eastAsia"/>
                      <w:color w:val="auto"/>
                      <w:szCs w:val="21"/>
                    </w:rPr>
                    <w:t>630</w:t>
                  </w:r>
                </w:p>
              </w:tc>
              <w:tc>
                <w:tcPr>
                  <w:tcW w:w="1182" w:type="dxa"/>
                  <w:vAlign w:val="top"/>
                </w:tcPr>
                <w:p w14:paraId="668D8D23">
                  <w:pPr>
                    <w:autoSpaceDE w:val="0"/>
                    <w:autoSpaceDN w:val="0"/>
                    <w:adjustRightInd w:val="0"/>
                    <w:snapToGrid w:val="0"/>
                    <w:jc w:val="center"/>
                    <w:rPr>
                      <w:color w:val="auto"/>
                      <w:szCs w:val="21"/>
                    </w:rPr>
                  </w:pPr>
                  <w:r>
                    <w:rPr>
                      <w:rFonts w:hint="eastAsia"/>
                      <w:color w:val="auto"/>
                      <w:szCs w:val="21"/>
                    </w:rPr>
                    <w:t>1</w:t>
                  </w:r>
                </w:p>
              </w:tc>
              <w:tc>
                <w:tcPr>
                  <w:tcW w:w="1182" w:type="dxa"/>
                  <w:vMerge w:val="continue"/>
                  <w:vAlign w:val="top"/>
                </w:tcPr>
                <w:p w14:paraId="378EFDBB">
                  <w:pPr>
                    <w:autoSpaceDE w:val="0"/>
                    <w:autoSpaceDN w:val="0"/>
                    <w:adjustRightInd w:val="0"/>
                    <w:snapToGrid w:val="0"/>
                    <w:jc w:val="center"/>
                    <w:rPr>
                      <w:rFonts w:hint="eastAsia"/>
                      <w:color w:val="auto"/>
                      <w:szCs w:val="21"/>
                    </w:rPr>
                  </w:pPr>
                </w:p>
              </w:tc>
            </w:tr>
            <w:tr w14:paraId="6A3038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716" w:type="dxa"/>
                  <w:vAlign w:val="center"/>
                </w:tcPr>
                <w:p w14:paraId="11934589">
                  <w:pPr>
                    <w:widowControl/>
                    <w:jc w:val="center"/>
                    <w:textAlignment w:val="center"/>
                    <w:rPr>
                      <w:rFonts w:hint="eastAsia"/>
                      <w:color w:val="auto"/>
                      <w:szCs w:val="21"/>
                    </w:rPr>
                  </w:pPr>
                  <w:r>
                    <w:rPr>
                      <w:rFonts w:hint="eastAsia"/>
                      <w:color w:val="auto"/>
                      <w:szCs w:val="21"/>
                    </w:rPr>
                    <w:t>3</w:t>
                  </w:r>
                </w:p>
              </w:tc>
              <w:tc>
                <w:tcPr>
                  <w:tcW w:w="950" w:type="dxa"/>
                  <w:vMerge w:val="continue"/>
                  <w:vAlign w:val="center"/>
                </w:tcPr>
                <w:p w14:paraId="69BAB21C">
                  <w:pPr>
                    <w:widowControl/>
                    <w:jc w:val="center"/>
                    <w:textAlignment w:val="center"/>
                    <w:rPr>
                      <w:color w:val="auto"/>
                      <w:szCs w:val="21"/>
                    </w:rPr>
                  </w:pPr>
                </w:p>
              </w:tc>
              <w:tc>
                <w:tcPr>
                  <w:tcW w:w="2313" w:type="dxa"/>
                  <w:vAlign w:val="center"/>
                </w:tcPr>
                <w:p w14:paraId="4AE808D5">
                  <w:pPr>
                    <w:autoSpaceDE w:val="0"/>
                    <w:autoSpaceDN w:val="0"/>
                    <w:adjustRightInd w:val="0"/>
                    <w:snapToGrid w:val="0"/>
                    <w:jc w:val="center"/>
                    <w:rPr>
                      <w:color w:val="auto"/>
                      <w:szCs w:val="21"/>
                    </w:rPr>
                  </w:pPr>
                  <w:r>
                    <w:rPr>
                      <w:rFonts w:hint="eastAsia"/>
                      <w:color w:val="auto"/>
                      <w:szCs w:val="21"/>
                    </w:rPr>
                    <w:t>孔料专机</w:t>
                  </w:r>
                </w:p>
              </w:tc>
              <w:tc>
                <w:tcPr>
                  <w:tcW w:w="2258" w:type="dxa"/>
                  <w:vAlign w:val="center"/>
                </w:tcPr>
                <w:p w14:paraId="6714E483">
                  <w:pPr>
                    <w:autoSpaceDE w:val="0"/>
                    <w:autoSpaceDN w:val="0"/>
                    <w:adjustRightInd w:val="0"/>
                    <w:snapToGrid w:val="0"/>
                    <w:jc w:val="center"/>
                    <w:rPr>
                      <w:color w:val="auto"/>
                      <w:szCs w:val="21"/>
                    </w:rPr>
                  </w:pPr>
                  <w:r>
                    <w:rPr>
                      <w:rFonts w:hint="eastAsia"/>
                      <w:color w:val="auto"/>
                      <w:szCs w:val="21"/>
                    </w:rPr>
                    <w:t>/</w:t>
                  </w:r>
                </w:p>
              </w:tc>
              <w:tc>
                <w:tcPr>
                  <w:tcW w:w="1182" w:type="dxa"/>
                  <w:vAlign w:val="top"/>
                </w:tcPr>
                <w:p w14:paraId="660B5E20">
                  <w:pPr>
                    <w:autoSpaceDE w:val="0"/>
                    <w:autoSpaceDN w:val="0"/>
                    <w:adjustRightInd w:val="0"/>
                    <w:snapToGrid w:val="0"/>
                    <w:jc w:val="center"/>
                    <w:rPr>
                      <w:color w:val="auto"/>
                      <w:szCs w:val="21"/>
                    </w:rPr>
                  </w:pPr>
                  <w:r>
                    <w:rPr>
                      <w:rFonts w:hint="eastAsia"/>
                      <w:color w:val="auto"/>
                      <w:szCs w:val="21"/>
                    </w:rPr>
                    <w:t>1</w:t>
                  </w:r>
                </w:p>
              </w:tc>
              <w:tc>
                <w:tcPr>
                  <w:tcW w:w="1182" w:type="dxa"/>
                  <w:vMerge w:val="continue"/>
                  <w:vAlign w:val="top"/>
                </w:tcPr>
                <w:p w14:paraId="1A842262">
                  <w:pPr>
                    <w:autoSpaceDE w:val="0"/>
                    <w:autoSpaceDN w:val="0"/>
                    <w:adjustRightInd w:val="0"/>
                    <w:snapToGrid w:val="0"/>
                    <w:jc w:val="center"/>
                    <w:rPr>
                      <w:rFonts w:hint="eastAsia"/>
                      <w:color w:val="auto"/>
                      <w:szCs w:val="21"/>
                    </w:rPr>
                  </w:pPr>
                </w:p>
              </w:tc>
            </w:tr>
            <w:tr w14:paraId="6F8FB0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716" w:type="dxa"/>
                  <w:vAlign w:val="center"/>
                </w:tcPr>
                <w:p w14:paraId="11DAD439">
                  <w:pPr>
                    <w:widowControl/>
                    <w:jc w:val="center"/>
                    <w:textAlignment w:val="center"/>
                    <w:rPr>
                      <w:rFonts w:hint="eastAsia"/>
                      <w:color w:val="auto"/>
                      <w:szCs w:val="21"/>
                    </w:rPr>
                  </w:pPr>
                  <w:r>
                    <w:rPr>
                      <w:rFonts w:hint="eastAsia"/>
                      <w:color w:val="auto"/>
                      <w:szCs w:val="21"/>
                    </w:rPr>
                    <w:t>4</w:t>
                  </w:r>
                </w:p>
              </w:tc>
              <w:tc>
                <w:tcPr>
                  <w:tcW w:w="950" w:type="dxa"/>
                  <w:vMerge w:val="continue"/>
                  <w:vAlign w:val="center"/>
                </w:tcPr>
                <w:p w14:paraId="221C06E8">
                  <w:pPr>
                    <w:widowControl/>
                    <w:jc w:val="center"/>
                    <w:textAlignment w:val="center"/>
                    <w:rPr>
                      <w:color w:val="auto"/>
                      <w:szCs w:val="21"/>
                    </w:rPr>
                  </w:pPr>
                </w:p>
              </w:tc>
              <w:tc>
                <w:tcPr>
                  <w:tcW w:w="2313" w:type="dxa"/>
                  <w:vAlign w:val="center"/>
                </w:tcPr>
                <w:p w14:paraId="73BCCDA1">
                  <w:pPr>
                    <w:autoSpaceDE w:val="0"/>
                    <w:autoSpaceDN w:val="0"/>
                    <w:adjustRightInd w:val="0"/>
                    <w:snapToGrid w:val="0"/>
                    <w:jc w:val="center"/>
                    <w:rPr>
                      <w:color w:val="auto"/>
                      <w:szCs w:val="21"/>
                    </w:rPr>
                  </w:pPr>
                  <w:r>
                    <w:rPr>
                      <w:rFonts w:hint="eastAsia"/>
                      <w:color w:val="auto"/>
                      <w:szCs w:val="21"/>
                    </w:rPr>
                    <w:t>宽带砂光机</w:t>
                  </w:r>
                </w:p>
              </w:tc>
              <w:tc>
                <w:tcPr>
                  <w:tcW w:w="2258" w:type="dxa"/>
                  <w:vAlign w:val="top"/>
                </w:tcPr>
                <w:p w14:paraId="22613E67">
                  <w:pPr>
                    <w:autoSpaceDE w:val="0"/>
                    <w:autoSpaceDN w:val="0"/>
                    <w:adjustRightInd w:val="0"/>
                    <w:snapToGrid w:val="0"/>
                    <w:jc w:val="center"/>
                    <w:rPr>
                      <w:color w:val="auto"/>
                      <w:szCs w:val="21"/>
                    </w:rPr>
                  </w:pPr>
                  <w:r>
                    <w:rPr>
                      <w:rFonts w:hint="eastAsia"/>
                      <w:color w:val="auto"/>
                      <w:szCs w:val="21"/>
                    </w:rPr>
                    <w:t>MSGSRU630</w:t>
                  </w:r>
                </w:p>
              </w:tc>
              <w:tc>
                <w:tcPr>
                  <w:tcW w:w="1182" w:type="dxa"/>
                  <w:vAlign w:val="top"/>
                </w:tcPr>
                <w:p w14:paraId="090B47C8">
                  <w:pPr>
                    <w:autoSpaceDE w:val="0"/>
                    <w:autoSpaceDN w:val="0"/>
                    <w:adjustRightInd w:val="0"/>
                    <w:snapToGrid w:val="0"/>
                    <w:jc w:val="center"/>
                    <w:rPr>
                      <w:color w:val="auto"/>
                      <w:szCs w:val="21"/>
                    </w:rPr>
                  </w:pPr>
                  <w:r>
                    <w:rPr>
                      <w:rFonts w:hint="eastAsia"/>
                      <w:color w:val="auto"/>
                      <w:szCs w:val="21"/>
                    </w:rPr>
                    <w:t>2</w:t>
                  </w:r>
                </w:p>
              </w:tc>
              <w:tc>
                <w:tcPr>
                  <w:tcW w:w="1182" w:type="dxa"/>
                  <w:vMerge w:val="continue"/>
                  <w:vAlign w:val="top"/>
                </w:tcPr>
                <w:p w14:paraId="1677724F">
                  <w:pPr>
                    <w:autoSpaceDE w:val="0"/>
                    <w:autoSpaceDN w:val="0"/>
                    <w:adjustRightInd w:val="0"/>
                    <w:snapToGrid w:val="0"/>
                    <w:jc w:val="center"/>
                    <w:rPr>
                      <w:rFonts w:hint="eastAsia"/>
                      <w:color w:val="auto"/>
                      <w:szCs w:val="21"/>
                    </w:rPr>
                  </w:pPr>
                </w:p>
              </w:tc>
            </w:tr>
            <w:tr w14:paraId="268CBD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716" w:type="dxa"/>
                  <w:vAlign w:val="center"/>
                </w:tcPr>
                <w:p w14:paraId="6FF6F260">
                  <w:pPr>
                    <w:widowControl/>
                    <w:jc w:val="center"/>
                    <w:textAlignment w:val="center"/>
                    <w:rPr>
                      <w:rFonts w:hint="eastAsia"/>
                      <w:color w:val="auto"/>
                      <w:szCs w:val="21"/>
                    </w:rPr>
                  </w:pPr>
                  <w:r>
                    <w:rPr>
                      <w:rFonts w:hint="eastAsia"/>
                      <w:color w:val="auto"/>
                      <w:szCs w:val="21"/>
                    </w:rPr>
                    <w:t>5</w:t>
                  </w:r>
                </w:p>
              </w:tc>
              <w:tc>
                <w:tcPr>
                  <w:tcW w:w="950" w:type="dxa"/>
                  <w:vMerge w:val="continue"/>
                  <w:vAlign w:val="center"/>
                </w:tcPr>
                <w:p w14:paraId="267C1FE1">
                  <w:pPr>
                    <w:widowControl/>
                    <w:jc w:val="center"/>
                    <w:textAlignment w:val="center"/>
                    <w:rPr>
                      <w:color w:val="auto"/>
                      <w:szCs w:val="21"/>
                    </w:rPr>
                  </w:pPr>
                </w:p>
              </w:tc>
              <w:tc>
                <w:tcPr>
                  <w:tcW w:w="2313" w:type="dxa"/>
                  <w:vAlign w:val="center"/>
                </w:tcPr>
                <w:p w14:paraId="34EB2B50">
                  <w:pPr>
                    <w:widowControl/>
                    <w:jc w:val="center"/>
                    <w:rPr>
                      <w:color w:val="auto"/>
                      <w:kern w:val="0"/>
                      <w:szCs w:val="21"/>
                    </w:rPr>
                  </w:pPr>
                  <w:r>
                    <w:rPr>
                      <w:rFonts w:hint="eastAsia"/>
                      <w:color w:val="auto"/>
                      <w:kern w:val="0"/>
                      <w:szCs w:val="21"/>
                    </w:rPr>
                    <w:t>立式单轴木工铣床</w:t>
                  </w:r>
                </w:p>
              </w:tc>
              <w:tc>
                <w:tcPr>
                  <w:tcW w:w="2258" w:type="dxa"/>
                  <w:vAlign w:val="top"/>
                </w:tcPr>
                <w:p w14:paraId="5E414B41">
                  <w:pPr>
                    <w:autoSpaceDE w:val="0"/>
                    <w:autoSpaceDN w:val="0"/>
                    <w:adjustRightInd w:val="0"/>
                    <w:snapToGrid w:val="0"/>
                    <w:jc w:val="center"/>
                    <w:rPr>
                      <w:color w:val="auto"/>
                      <w:szCs w:val="21"/>
                    </w:rPr>
                  </w:pPr>
                  <w:r>
                    <w:rPr>
                      <w:rFonts w:hint="eastAsia"/>
                      <w:color w:val="auto"/>
                      <w:szCs w:val="21"/>
                    </w:rPr>
                    <w:t>MX5117B</w:t>
                  </w:r>
                </w:p>
              </w:tc>
              <w:tc>
                <w:tcPr>
                  <w:tcW w:w="1182" w:type="dxa"/>
                  <w:vAlign w:val="top"/>
                </w:tcPr>
                <w:p w14:paraId="3130C1AB">
                  <w:pPr>
                    <w:autoSpaceDE w:val="0"/>
                    <w:autoSpaceDN w:val="0"/>
                    <w:adjustRightInd w:val="0"/>
                    <w:snapToGrid w:val="0"/>
                    <w:jc w:val="center"/>
                    <w:rPr>
                      <w:color w:val="auto"/>
                      <w:szCs w:val="21"/>
                    </w:rPr>
                  </w:pPr>
                  <w:r>
                    <w:rPr>
                      <w:rFonts w:hint="eastAsia"/>
                      <w:color w:val="auto"/>
                      <w:szCs w:val="21"/>
                    </w:rPr>
                    <w:t>3</w:t>
                  </w:r>
                </w:p>
              </w:tc>
              <w:tc>
                <w:tcPr>
                  <w:tcW w:w="1182" w:type="dxa"/>
                  <w:vMerge w:val="continue"/>
                  <w:vAlign w:val="top"/>
                </w:tcPr>
                <w:p w14:paraId="07C67C31">
                  <w:pPr>
                    <w:autoSpaceDE w:val="0"/>
                    <w:autoSpaceDN w:val="0"/>
                    <w:adjustRightInd w:val="0"/>
                    <w:snapToGrid w:val="0"/>
                    <w:jc w:val="center"/>
                    <w:rPr>
                      <w:rFonts w:hint="eastAsia"/>
                      <w:color w:val="auto"/>
                      <w:szCs w:val="21"/>
                    </w:rPr>
                  </w:pPr>
                </w:p>
              </w:tc>
            </w:tr>
            <w:tr w14:paraId="7E34D0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716" w:type="dxa"/>
                  <w:vAlign w:val="center"/>
                </w:tcPr>
                <w:p w14:paraId="124FA8E6">
                  <w:pPr>
                    <w:widowControl/>
                    <w:jc w:val="center"/>
                    <w:textAlignment w:val="center"/>
                    <w:rPr>
                      <w:rFonts w:hint="eastAsia"/>
                      <w:color w:val="auto"/>
                      <w:szCs w:val="21"/>
                    </w:rPr>
                  </w:pPr>
                  <w:r>
                    <w:rPr>
                      <w:rFonts w:hint="eastAsia"/>
                      <w:color w:val="auto"/>
                      <w:szCs w:val="21"/>
                    </w:rPr>
                    <w:t>6</w:t>
                  </w:r>
                </w:p>
              </w:tc>
              <w:tc>
                <w:tcPr>
                  <w:tcW w:w="950" w:type="dxa"/>
                  <w:vMerge w:val="continue"/>
                  <w:vAlign w:val="center"/>
                </w:tcPr>
                <w:p w14:paraId="74590A6F">
                  <w:pPr>
                    <w:widowControl/>
                    <w:jc w:val="center"/>
                    <w:textAlignment w:val="center"/>
                    <w:rPr>
                      <w:color w:val="auto"/>
                      <w:szCs w:val="21"/>
                    </w:rPr>
                  </w:pPr>
                </w:p>
              </w:tc>
              <w:tc>
                <w:tcPr>
                  <w:tcW w:w="2313" w:type="dxa"/>
                  <w:vAlign w:val="center"/>
                </w:tcPr>
                <w:p w14:paraId="4779655F">
                  <w:pPr>
                    <w:autoSpaceDE w:val="0"/>
                    <w:autoSpaceDN w:val="0"/>
                    <w:adjustRightInd w:val="0"/>
                    <w:snapToGrid w:val="0"/>
                    <w:jc w:val="center"/>
                    <w:rPr>
                      <w:color w:val="auto"/>
                      <w:szCs w:val="21"/>
                    </w:rPr>
                  </w:pPr>
                  <w:r>
                    <w:rPr>
                      <w:rFonts w:hint="eastAsia"/>
                      <w:color w:val="auto"/>
                      <w:szCs w:val="21"/>
                    </w:rPr>
                    <w:t>液压热压机</w:t>
                  </w:r>
                </w:p>
              </w:tc>
              <w:tc>
                <w:tcPr>
                  <w:tcW w:w="2258" w:type="dxa"/>
                  <w:vAlign w:val="top"/>
                </w:tcPr>
                <w:p w14:paraId="11C96E9D">
                  <w:pPr>
                    <w:autoSpaceDE w:val="0"/>
                    <w:autoSpaceDN w:val="0"/>
                    <w:adjustRightInd w:val="0"/>
                    <w:snapToGrid w:val="0"/>
                    <w:jc w:val="center"/>
                    <w:rPr>
                      <w:color w:val="auto"/>
                      <w:szCs w:val="21"/>
                    </w:rPr>
                  </w:pPr>
                  <w:r>
                    <w:rPr>
                      <w:rFonts w:hint="eastAsia"/>
                      <w:color w:val="auto"/>
                      <w:szCs w:val="21"/>
                    </w:rPr>
                    <w:t>BY214XB/10(3)HA-A1</w:t>
                  </w:r>
                </w:p>
              </w:tc>
              <w:tc>
                <w:tcPr>
                  <w:tcW w:w="1182" w:type="dxa"/>
                  <w:vAlign w:val="top"/>
                </w:tcPr>
                <w:p w14:paraId="26AA0219">
                  <w:pPr>
                    <w:autoSpaceDE w:val="0"/>
                    <w:autoSpaceDN w:val="0"/>
                    <w:adjustRightInd w:val="0"/>
                    <w:snapToGrid w:val="0"/>
                    <w:jc w:val="center"/>
                    <w:rPr>
                      <w:color w:val="auto"/>
                      <w:szCs w:val="21"/>
                    </w:rPr>
                  </w:pPr>
                  <w:r>
                    <w:rPr>
                      <w:rFonts w:hint="eastAsia"/>
                      <w:color w:val="auto"/>
                      <w:szCs w:val="21"/>
                    </w:rPr>
                    <w:t>1</w:t>
                  </w:r>
                </w:p>
              </w:tc>
              <w:tc>
                <w:tcPr>
                  <w:tcW w:w="1182" w:type="dxa"/>
                  <w:vMerge w:val="continue"/>
                  <w:vAlign w:val="top"/>
                </w:tcPr>
                <w:p w14:paraId="1914100E">
                  <w:pPr>
                    <w:autoSpaceDE w:val="0"/>
                    <w:autoSpaceDN w:val="0"/>
                    <w:adjustRightInd w:val="0"/>
                    <w:snapToGrid w:val="0"/>
                    <w:jc w:val="center"/>
                    <w:rPr>
                      <w:rFonts w:hint="eastAsia"/>
                      <w:color w:val="auto"/>
                      <w:szCs w:val="21"/>
                    </w:rPr>
                  </w:pPr>
                </w:p>
              </w:tc>
            </w:tr>
            <w:tr w14:paraId="566200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716" w:type="dxa"/>
                  <w:vAlign w:val="center"/>
                </w:tcPr>
                <w:p w14:paraId="584EC62E">
                  <w:pPr>
                    <w:widowControl/>
                    <w:jc w:val="center"/>
                    <w:textAlignment w:val="center"/>
                    <w:rPr>
                      <w:rFonts w:hint="eastAsia"/>
                      <w:color w:val="auto"/>
                      <w:szCs w:val="21"/>
                    </w:rPr>
                  </w:pPr>
                  <w:r>
                    <w:rPr>
                      <w:rFonts w:hint="eastAsia"/>
                      <w:color w:val="auto"/>
                      <w:szCs w:val="21"/>
                    </w:rPr>
                    <w:t>7</w:t>
                  </w:r>
                </w:p>
              </w:tc>
              <w:tc>
                <w:tcPr>
                  <w:tcW w:w="950" w:type="dxa"/>
                  <w:vMerge w:val="continue"/>
                  <w:vAlign w:val="center"/>
                </w:tcPr>
                <w:p w14:paraId="018C2BD3">
                  <w:pPr>
                    <w:widowControl/>
                    <w:jc w:val="center"/>
                    <w:textAlignment w:val="center"/>
                    <w:rPr>
                      <w:color w:val="auto"/>
                      <w:szCs w:val="21"/>
                    </w:rPr>
                  </w:pPr>
                </w:p>
              </w:tc>
              <w:tc>
                <w:tcPr>
                  <w:tcW w:w="2313" w:type="dxa"/>
                  <w:vAlign w:val="center"/>
                </w:tcPr>
                <w:p w14:paraId="381FC9F3">
                  <w:pPr>
                    <w:autoSpaceDE w:val="0"/>
                    <w:autoSpaceDN w:val="0"/>
                    <w:adjustRightInd w:val="0"/>
                    <w:snapToGrid w:val="0"/>
                    <w:jc w:val="center"/>
                    <w:rPr>
                      <w:color w:val="auto"/>
                      <w:szCs w:val="21"/>
                    </w:rPr>
                  </w:pPr>
                  <w:r>
                    <w:rPr>
                      <w:rFonts w:hint="eastAsia"/>
                      <w:color w:val="auto"/>
                      <w:szCs w:val="21"/>
                    </w:rPr>
                    <w:t>全自动液压式冷压机</w:t>
                  </w:r>
                </w:p>
              </w:tc>
              <w:tc>
                <w:tcPr>
                  <w:tcW w:w="2258" w:type="dxa"/>
                  <w:vAlign w:val="top"/>
                </w:tcPr>
                <w:p w14:paraId="2AB5A8B3">
                  <w:pPr>
                    <w:autoSpaceDE w:val="0"/>
                    <w:autoSpaceDN w:val="0"/>
                    <w:adjustRightInd w:val="0"/>
                    <w:snapToGrid w:val="0"/>
                    <w:jc w:val="center"/>
                    <w:rPr>
                      <w:color w:val="auto"/>
                      <w:szCs w:val="21"/>
                    </w:rPr>
                  </w:pPr>
                  <w:r>
                    <w:rPr>
                      <w:rFonts w:hint="eastAsia"/>
                      <w:color w:val="auto"/>
                      <w:szCs w:val="21"/>
                    </w:rPr>
                    <w:t>MH3248</w:t>
                  </w:r>
                </w:p>
              </w:tc>
              <w:tc>
                <w:tcPr>
                  <w:tcW w:w="1182" w:type="dxa"/>
                  <w:vAlign w:val="top"/>
                </w:tcPr>
                <w:p w14:paraId="7B126362">
                  <w:pPr>
                    <w:autoSpaceDE w:val="0"/>
                    <w:autoSpaceDN w:val="0"/>
                    <w:adjustRightInd w:val="0"/>
                    <w:snapToGrid w:val="0"/>
                    <w:jc w:val="center"/>
                    <w:rPr>
                      <w:color w:val="auto"/>
                      <w:szCs w:val="21"/>
                    </w:rPr>
                  </w:pPr>
                  <w:r>
                    <w:rPr>
                      <w:rFonts w:hint="eastAsia"/>
                      <w:color w:val="auto"/>
                      <w:szCs w:val="21"/>
                    </w:rPr>
                    <w:t>3</w:t>
                  </w:r>
                </w:p>
              </w:tc>
              <w:tc>
                <w:tcPr>
                  <w:tcW w:w="1182" w:type="dxa"/>
                  <w:vMerge w:val="continue"/>
                  <w:vAlign w:val="top"/>
                </w:tcPr>
                <w:p w14:paraId="631B95C2">
                  <w:pPr>
                    <w:autoSpaceDE w:val="0"/>
                    <w:autoSpaceDN w:val="0"/>
                    <w:adjustRightInd w:val="0"/>
                    <w:snapToGrid w:val="0"/>
                    <w:jc w:val="center"/>
                    <w:rPr>
                      <w:rFonts w:hint="eastAsia"/>
                      <w:color w:val="auto"/>
                      <w:szCs w:val="21"/>
                    </w:rPr>
                  </w:pPr>
                </w:p>
              </w:tc>
            </w:tr>
            <w:tr w14:paraId="7A5F7A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716" w:type="dxa"/>
                  <w:vAlign w:val="center"/>
                </w:tcPr>
                <w:p w14:paraId="51464D20">
                  <w:pPr>
                    <w:widowControl/>
                    <w:jc w:val="center"/>
                    <w:textAlignment w:val="center"/>
                    <w:rPr>
                      <w:rFonts w:hint="eastAsia"/>
                      <w:color w:val="auto"/>
                      <w:szCs w:val="21"/>
                    </w:rPr>
                  </w:pPr>
                  <w:r>
                    <w:rPr>
                      <w:rFonts w:hint="eastAsia"/>
                      <w:color w:val="auto"/>
                      <w:szCs w:val="21"/>
                    </w:rPr>
                    <w:t>8</w:t>
                  </w:r>
                </w:p>
              </w:tc>
              <w:tc>
                <w:tcPr>
                  <w:tcW w:w="950" w:type="dxa"/>
                  <w:vMerge w:val="continue"/>
                  <w:vAlign w:val="center"/>
                </w:tcPr>
                <w:p w14:paraId="4F078C1C">
                  <w:pPr>
                    <w:widowControl/>
                    <w:jc w:val="center"/>
                    <w:textAlignment w:val="center"/>
                    <w:rPr>
                      <w:color w:val="auto"/>
                      <w:szCs w:val="21"/>
                    </w:rPr>
                  </w:pPr>
                </w:p>
              </w:tc>
              <w:tc>
                <w:tcPr>
                  <w:tcW w:w="2313" w:type="dxa"/>
                  <w:vAlign w:val="center"/>
                </w:tcPr>
                <w:p w14:paraId="222DBBCE">
                  <w:pPr>
                    <w:autoSpaceDE w:val="0"/>
                    <w:autoSpaceDN w:val="0"/>
                    <w:adjustRightInd w:val="0"/>
                    <w:snapToGrid w:val="0"/>
                    <w:jc w:val="center"/>
                    <w:rPr>
                      <w:color w:val="auto"/>
                      <w:szCs w:val="21"/>
                    </w:rPr>
                  </w:pPr>
                  <w:r>
                    <w:rPr>
                      <w:rFonts w:hint="eastAsia"/>
                      <w:color w:val="auto"/>
                      <w:szCs w:val="21"/>
                    </w:rPr>
                    <w:t>自动封边机</w:t>
                  </w:r>
                </w:p>
              </w:tc>
              <w:tc>
                <w:tcPr>
                  <w:tcW w:w="2258" w:type="dxa"/>
                  <w:vAlign w:val="top"/>
                </w:tcPr>
                <w:p w14:paraId="1374B751">
                  <w:pPr>
                    <w:autoSpaceDE w:val="0"/>
                    <w:autoSpaceDN w:val="0"/>
                    <w:adjustRightInd w:val="0"/>
                    <w:snapToGrid w:val="0"/>
                    <w:jc w:val="center"/>
                    <w:rPr>
                      <w:color w:val="auto"/>
                      <w:szCs w:val="21"/>
                    </w:rPr>
                  </w:pPr>
                  <w:r>
                    <w:rPr>
                      <w:rFonts w:hint="eastAsia"/>
                      <w:color w:val="auto"/>
                      <w:szCs w:val="21"/>
                    </w:rPr>
                    <w:t>MB5J</w:t>
                  </w:r>
                </w:p>
              </w:tc>
              <w:tc>
                <w:tcPr>
                  <w:tcW w:w="1182" w:type="dxa"/>
                  <w:vAlign w:val="top"/>
                </w:tcPr>
                <w:p w14:paraId="1C6F090E">
                  <w:pPr>
                    <w:autoSpaceDE w:val="0"/>
                    <w:autoSpaceDN w:val="0"/>
                    <w:adjustRightInd w:val="0"/>
                    <w:snapToGrid w:val="0"/>
                    <w:jc w:val="center"/>
                    <w:rPr>
                      <w:color w:val="auto"/>
                      <w:szCs w:val="21"/>
                    </w:rPr>
                  </w:pPr>
                  <w:r>
                    <w:rPr>
                      <w:rFonts w:hint="eastAsia"/>
                      <w:color w:val="auto"/>
                      <w:szCs w:val="21"/>
                    </w:rPr>
                    <w:t>2</w:t>
                  </w:r>
                </w:p>
              </w:tc>
              <w:tc>
                <w:tcPr>
                  <w:tcW w:w="1182" w:type="dxa"/>
                  <w:vMerge w:val="continue"/>
                  <w:vAlign w:val="top"/>
                </w:tcPr>
                <w:p w14:paraId="417D0BD5">
                  <w:pPr>
                    <w:autoSpaceDE w:val="0"/>
                    <w:autoSpaceDN w:val="0"/>
                    <w:adjustRightInd w:val="0"/>
                    <w:snapToGrid w:val="0"/>
                    <w:jc w:val="center"/>
                    <w:rPr>
                      <w:rFonts w:hint="eastAsia"/>
                      <w:color w:val="auto"/>
                      <w:szCs w:val="21"/>
                    </w:rPr>
                  </w:pPr>
                </w:p>
              </w:tc>
            </w:tr>
            <w:tr w14:paraId="75A971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716" w:type="dxa"/>
                  <w:vAlign w:val="center"/>
                </w:tcPr>
                <w:p w14:paraId="5E52DBF2">
                  <w:pPr>
                    <w:widowControl/>
                    <w:jc w:val="center"/>
                    <w:textAlignment w:val="center"/>
                    <w:rPr>
                      <w:rFonts w:hint="eastAsia"/>
                      <w:color w:val="auto"/>
                      <w:szCs w:val="21"/>
                    </w:rPr>
                  </w:pPr>
                  <w:r>
                    <w:rPr>
                      <w:rFonts w:hint="eastAsia"/>
                      <w:color w:val="auto"/>
                      <w:szCs w:val="21"/>
                    </w:rPr>
                    <w:t>9</w:t>
                  </w:r>
                </w:p>
              </w:tc>
              <w:tc>
                <w:tcPr>
                  <w:tcW w:w="950" w:type="dxa"/>
                  <w:vMerge w:val="continue"/>
                  <w:vAlign w:val="center"/>
                </w:tcPr>
                <w:p w14:paraId="0955C0A5">
                  <w:pPr>
                    <w:widowControl/>
                    <w:jc w:val="center"/>
                    <w:textAlignment w:val="center"/>
                    <w:rPr>
                      <w:color w:val="auto"/>
                      <w:szCs w:val="21"/>
                    </w:rPr>
                  </w:pPr>
                </w:p>
              </w:tc>
              <w:tc>
                <w:tcPr>
                  <w:tcW w:w="2313" w:type="dxa"/>
                  <w:vAlign w:val="center"/>
                </w:tcPr>
                <w:p w14:paraId="7C364A32">
                  <w:pPr>
                    <w:autoSpaceDE w:val="0"/>
                    <w:autoSpaceDN w:val="0"/>
                    <w:adjustRightInd w:val="0"/>
                    <w:snapToGrid w:val="0"/>
                    <w:jc w:val="center"/>
                    <w:rPr>
                      <w:color w:val="auto"/>
                      <w:szCs w:val="21"/>
                    </w:rPr>
                  </w:pPr>
                  <w:r>
                    <w:rPr>
                      <w:rFonts w:hint="eastAsia"/>
                      <w:color w:val="auto"/>
                      <w:szCs w:val="21"/>
                    </w:rPr>
                    <w:t>卧带式砂布床</w:t>
                  </w:r>
                </w:p>
              </w:tc>
              <w:tc>
                <w:tcPr>
                  <w:tcW w:w="2258" w:type="dxa"/>
                  <w:vAlign w:val="top"/>
                </w:tcPr>
                <w:p w14:paraId="6BA6CFB5">
                  <w:pPr>
                    <w:autoSpaceDE w:val="0"/>
                    <w:autoSpaceDN w:val="0"/>
                    <w:adjustRightInd w:val="0"/>
                    <w:snapToGrid w:val="0"/>
                    <w:jc w:val="center"/>
                    <w:rPr>
                      <w:color w:val="auto"/>
                      <w:szCs w:val="21"/>
                    </w:rPr>
                  </w:pPr>
                  <w:r>
                    <w:rPr>
                      <w:rFonts w:hint="eastAsia"/>
                      <w:color w:val="auto"/>
                      <w:szCs w:val="21"/>
                    </w:rPr>
                    <w:t>MM2227</w:t>
                  </w:r>
                </w:p>
              </w:tc>
              <w:tc>
                <w:tcPr>
                  <w:tcW w:w="1182" w:type="dxa"/>
                  <w:vAlign w:val="top"/>
                </w:tcPr>
                <w:p w14:paraId="447C911A">
                  <w:pPr>
                    <w:autoSpaceDE w:val="0"/>
                    <w:autoSpaceDN w:val="0"/>
                    <w:adjustRightInd w:val="0"/>
                    <w:snapToGrid w:val="0"/>
                    <w:jc w:val="center"/>
                    <w:rPr>
                      <w:color w:val="auto"/>
                      <w:szCs w:val="21"/>
                    </w:rPr>
                  </w:pPr>
                  <w:r>
                    <w:rPr>
                      <w:rFonts w:hint="eastAsia"/>
                      <w:color w:val="auto"/>
                      <w:szCs w:val="21"/>
                    </w:rPr>
                    <w:t>1</w:t>
                  </w:r>
                </w:p>
              </w:tc>
              <w:tc>
                <w:tcPr>
                  <w:tcW w:w="1182" w:type="dxa"/>
                  <w:vMerge w:val="continue"/>
                  <w:vAlign w:val="top"/>
                </w:tcPr>
                <w:p w14:paraId="6AEA492B">
                  <w:pPr>
                    <w:autoSpaceDE w:val="0"/>
                    <w:autoSpaceDN w:val="0"/>
                    <w:adjustRightInd w:val="0"/>
                    <w:snapToGrid w:val="0"/>
                    <w:jc w:val="center"/>
                    <w:rPr>
                      <w:rFonts w:hint="eastAsia"/>
                      <w:color w:val="auto"/>
                      <w:szCs w:val="21"/>
                    </w:rPr>
                  </w:pPr>
                </w:p>
              </w:tc>
            </w:tr>
            <w:tr w14:paraId="7EB0DF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716" w:type="dxa"/>
                  <w:vAlign w:val="center"/>
                </w:tcPr>
                <w:p w14:paraId="27FB573C">
                  <w:pPr>
                    <w:widowControl/>
                    <w:jc w:val="center"/>
                    <w:textAlignment w:val="center"/>
                    <w:rPr>
                      <w:color w:val="auto"/>
                      <w:szCs w:val="21"/>
                    </w:rPr>
                  </w:pPr>
                  <w:r>
                    <w:rPr>
                      <w:rFonts w:hint="eastAsia"/>
                      <w:color w:val="auto"/>
                      <w:szCs w:val="21"/>
                    </w:rPr>
                    <w:t>10</w:t>
                  </w:r>
                </w:p>
              </w:tc>
              <w:tc>
                <w:tcPr>
                  <w:tcW w:w="950" w:type="dxa"/>
                  <w:vMerge w:val="continue"/>
                  <w:vAlign w:val="center"/>
                </w:tcPr>
                <w:p w14:paraId="4F6C6BA5">
                  <w:pPr>
                    <w:widowControl/>
                    <w:jc w:val="center"/>
                    <w:textAlignment w:val="center"/>
                    <w:rPr>
                      <w:color w:val="auto"/>
                      <w:szCs w:val="21"/>
                    </w:rPr>
                  </w:pPr>
                </w:p>
              </w:tc>
              <w:tc>
                <w:tcPr>
                  <w:tcW w:w="2313" w:type="dxa"/>
                  <w:vAlign w:val="center"/>
                </w:tcPr>
                <w:p w14:paraId="2EAA1627">
                  <w:pPr>
                    <w:autoSpaceDE w:val="0"/>
                    <w:autoSpaceDN w:val="0"/>
                    <w:adjustRightInd w:val="0"/>
                    <w:snapToGrid w:val="0"/>
                    <w:jc w:val="center"/>
                    <w:rPr>
                      <w:color w:val="auto"/>
                      <w:szCs w:val="21"/>
                    </w:rPr>
                  </w:pPr>
                  <w:r>
                    <w:rPr>
                      <w:rFonts w:hint="eastAsia"/>
                      <w:color w:val="auto"/>
                      <w:szCs w:val="21"/>
                    </w:rPr>
                    <w:t>四面刨</w:t>
                  </w:r>
                </w:p>
              </w:tc>
              <w:tc>
                <w:tcPr>
                  <w:tcW w:w="2258" w:type="dxa"/>
                  <w:vAlign w:val="top"/>
                </w:tcPr>
                <w:p w14:paraId="792FE814">
                  <w:pPr>
                    <w:autoSpaceDE w:val="0"/>
                    <w:autoSpaceDN w:val="0"/>
                    <w:adjustRightInd w:val="0"/>
                    <w:snapToGrid w:val="0"/>
                    <w:jc w:val="center"/>
                    <w:rPr>
                      <w:color w:val="auto"/>
                      <w:szCs w:val="21"/>
                    </w:rPr>
                  </w:pPr>
                  <w:r>
                    <w:rPr>
                      <w:rFonts w:hint="eastAsia"/>
                      <w:color w:val="auto"/>
                      <w:szCs w:val="21"/>
                    </w:rPr>
                    <w:t>/</w:t>
                  </w:r>
                </w:p>
              </w:tc>
              <w:tc>
                <w:tcPr>
                  <w:tcW w:w="1182" w:type="dxa"/>
                  <w:vAlign w:val="top"/>
                </w:tcPr>
                <w:p w14:paraId="11DF4CD7">
                  <w:pPr>
                    <w:autoSpaceDE w:val="0"/>
                    <w:autoSpaceDN w:val="0"/>
                    <w:adjustRightInd w:val="0"/>
                    <w:snapToGrid w:val="0"/>
                    <w:jc w:val="center"/>
                    <w:rPr>
                      <w:color w:val="auto"/>
                      <w:szCs w:val="21"/>
                    </w:rPr>
                  </w:pPr>
                  <w:r>
                    <w:rPr>
                      <w:rFonts w:hint="eastAsia"/>
                      <w:color w:val="auto"/>
                      <w:szCs w:val="21"/>
                    </w:rPr>
                    <w:t>1</w:t>
                  </w:r>
                </w:p>
              </w:tc>
              <w:tc>
                <w:tcPr>
                  <w:tcW w:w="1182" w:type="dxa"/>
                  <w:vMerge w:val="continue"/>
                  <w:vAlign w:val="top"/>
                </w:tcPr>
                <w:p w14:paraId="08C7B37B">
                  <w:pPr>
                    <w:autoSpaceDE w:val="0"/>
                    <w:autoSpaceDN w:val="0"/>
                    <w:adjustRightInd w:val="0"/>
                    <w:snapToGrid w:val="0"/>
                    <w:jc w:val="center"/>
                    <w:rPr>
                      <w:rFonts w:hint="eastAsia"/>
                      <w:color w:val="auto"/>
                      <w:szCs w:val="21"/>
                    </w:rPr>
                  </w:pPr>
                </w:p>
              </w:tc>
            </w:tr>
            <w:tr w14:paraId="534328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716" w:type="dxa"/>
                  <w:vAlign w:val="center"/>
                </w:tcPr>
                <w:p w14:paraId="1255F96D">
                  <w:pPr>
                    <w:widowControl/>
                    <w:jc w:val="center"/>
                    <w:textAlignment w:val="center"/>
                    <w:rPr>
                      <w:color w:val="auto"/>
                      <w:szCs w:val="21"/>
                    </w:rPr>
                  </w:pPr>
                  <w:r>
                    <w:rPr>
                      <w:rFonts w:hint="eastAsia"/>
                      <w:color w:val="auto"/>
                      <w:szCs w:val="21"/>
                    </w:rPr>
                    <w:t>11</w:t>
                  </w:r>
                </w:p>
              </w:tc>
              <w:tc>
                <w:tcPr>
                  <w:tcW w:w="950" w:type="dxa"/>
                  <w:vMerge w:val="continue"/>
                  <w:vAlign w:val="center"/>
                </w:tcPr>
                <w:p w14:paraId="3695ABB2">
                  <w:pPr>
                    <w:widowControl/>
                    <w:jc w:val="center"/>
                    <w:textAlignment w:val="center"/>
                    <w:rPr>
                      <w:color w:val="auto"/>
                      <w:szCs w:val="21"/>
                    </w:rPr>
                  </w:pPr>
                </w:p>
              </w:tc>
              <w:tc>
                <w:tcPr>
                  <w:tcW w:w="2313" w:type="dxa"/>
                  <w:vAlign w:val="center"/>
                </w:tcPr>
                <w:p w14:paraId="0D5893C7">
                  <w:pPr>
                    <w:autoSpaceDE w:val="0"/>
                    <w:autoSpaceDN w:val="0"/>
                    <w:adjustRightInd w:val="0"/>
                    <w:snapToGrid w:val="0"/>
                    <w:jc w:val="center"/>
                    <w:rPr>
                      <w:color w:val="auto"/>
                      <w:szCs w:val="21"/>
                    </w:rPr>
                  </w:pPr>
                  <w:r>
                    <w:rPr>
                      <w:rFonts w:hint="eastAsia"/>
                      <w:color w:val="auto"/>
                      <w:szCs w:val="21"/>
                    </w:rPr>
                    <w:t>激光侧孔机</w:t>
                  </w:r>
                </w:p>
              </w:tc>
              <w:tc>
                <w:tcPr>
                  <w:tcW w:w="2258" w:type="dxa"/>
                  <w:vAlign w:val="top"/>
                </w:tcPr>
                <w:p w14:paraId="7E9405D3">
                  <w:pPr>
                    <w:autoSpaceDE w:val="0"/>
                    <w:autoSpaceDN w:val="0"/>
                    <w:adjustRightInd w:val="0"/>
                    <w:snapToGrid w:val="0"/>
                    <w:jc w:val="center"/>
                    <w:rPr>
                      <w:color w:val="auto"/>
                      <w:szCs w:val="21"/>
                    </w:rPr>
                  </w:pPr>
                  <w:r>
                    <w:rPr>
                      <w:rFonts w:hint="eastAsia"/>
                      <w:color w:val="auto"/>
                      <w:szCs w:val="21"/>
                    </w:rPr>
                    <w:t>KT-S</w:t>
                  </w:r>
                </w:p>
              </w:tc>
              <w:tc>
                <w:tcPr>
                  <w:tcW w:w="1182" w:type="dxa"/>
                  <w:vAlign w:val="top"/>
                </w:tcPr>
                <w:p w14:paraId="66897D19">
                  <w:pPr>
                    <w:autoSpaceDE w:val="0"/>
                    <w:autoSpaceDN w:val="0"/>
                    <w:adjustRightInd w:val="0"/>
                    <w:snapToGrid w:val="0"/>
                    <w:jc w:val="center"/>
                    <w:rPr>
                      <w:color w:val="auto"/>
                      <w:szCs w:val="21"/>
                    </w:rPr>
                  </w:pPr>
                  <w:r>
                    <w:rPr>
                      <w:rFonts w:hint="eastAsia"/>
                      <w:color w:val="auto"/>
                      <w:szCs w:val="21"/>
                    </w:rPr>
                    <w:t>1</w:t>
                  </w:r>
                </w:p>
              </w:tc>
              <w:tc>
                <w:tcPr>
                  <w:tcW w:w="1182" w:type="dxa"/>
                  <w:vMerge w:val="continue"/>
                  <w:vAlign w:val="top"/>
                </w:tcPr>
                <w:p w14:paraId="5A2C818F">
                  <w:pPr>
                    <w:autoSpaceDE w:val="0"/>
                    <w:autoSpaceDN w:val="0"/>
                    <w:adjustRightInd w:val="0"/>
                    <w:snapToGrid w:val="0"/>
                    <w:jc w:val="center"/>
                    <w:rPr>
                      <w:rFonts w:hint="eastAsia"/>
                      <w:color w:val="auto"/>
                      <w:szCs w:val="21"/>
                    </w:rPr>
                  </w:pPr>
                </w:p>
              </w:tc>
            </w:tr>
            <w:tr w14:paraId="30F961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716" w:type="dxa"/>
                  <w:vAlign w:val="center"/>
                </w:tcPr>
                <w:p w14:paraId="7F2A5D9D">
                  <w:pPr>
                    <w:widowControl/>
                    <w:jc w:val="center"/>
                    <w:textAlignment w:val="center"/>
                    <w:rPr>
                      <w:color w:val="auto"/>
                      <w:szCs w:val="21"/>
                    </w:rPr>
                  </w:pPr>
                  <w:r>
                    <w:rPr>
                      <w:rFonts w:hint="eastAsia"/>
                      <w:color w:val="auto"/>
                      <w:szCs w:val="21"/>
                    </w:rPr>
                    <w:t>12</w:t>
                  </w:r>
                </w:p>
              </w:tc>
              <w:tc>
                <w:tcPr>
                  <w:tcW w:w="950" w:type="dxa"/>
                  <w:vMerge w:val="continue"/>
                  <w:vAlign w:val="center"/>
                </w:tcPr>
                <w:p w14:paraId="4384E088">
                  <w:pPr>
                    <w:widowControl/>
                    <w:jc w:val="center"/>
                    <w:textAlignment w:val="center"/>
                    <w:rPr>
                      <w:color w:val="auto"/>
                      <w:szCs w:val="21"/>
                    </w:rPr>
                  </w:pPr>
                </w:p>
              </w:tc>
              <w:tc>
                <w:tcPr>
                  <w:tcW w:w="2313" w:type="dxa"/>
                  <w:vAlign w:val="center"/>
                </w:tcPr>
                <w:p w14:paraId="3D201DC7">
                  <w:pPr>
                    <w:autoSpaceDE w:val="0"/>
                    <w:autoSpaceDN w:val="0"/>
                    <w:adjustRightInd w:val="0"/>
                    <w:snapToGrid w:val="0"/>
                    <w:jc w:val="center"/>
                    <w:rPr>
                      <w:color w:val="auto"/>
                      <w:szCs w:val="21"/>
                    </w:rPr>
                  </w:pPr>
                  <w:r>
                    <w:rPr>
                      <w:rFonts w:hint="eastAsia"/>
                      <w:color w:val="auto"/>
                      <w:szCs w:val="21"/>
                    </w:rPr>
                    <w:t>UV机</w:t>
                  </w:r>
                </w:p>
              </w:tc>
              <w:tc>
                <w:tcPr>
                  <w:tcW w:w="2258" w:type="dxa"/>
                  <w:vAlign w:val="top"/>
                </w:tcPr>
                <w:p w14:paraId="07A062D7">
                  <w:pPr>
                    <w:autoSpaceDE w:val="0"/>
                    <w:autoSpaceDN w:val="0"/>
                    <w:adjustRightInd w:val="0"/>
                    <w:snapToGrid w:val="0"/>
                    <w:jc w:val="center"/>
                    <w:rPr>
                      <w:color w:val="auto"/>
                      <w:szCs w:val="21"/>
                    </w:rPr>
                  </w:pPr>
                  <w:r>
                    <w:rPr>
                      <w:rFonts w:hint="eastAsia"/>
                      <w:color w:val="auto"/>
                      <w:szCs w:val="21"/>
                    </w:rPr>
                    <w:t>/</w:t>
                  </w:r>
                </w:p>
              </w:tc>
              <w:tc>
                <w:tcPr>
                  <w:tcW w:w="1182" w:type="dxa"/>
                  <w:vAlign w:val="top"/>
                </w:tcPr>
                <w:p w14:paraId="63183036">
                  <w:pPr>
                    <w:autoSpaceDE w:val="0"/>
                    <w:autoSpaceDN w:val="0"/>
                    <w:adjustRightInd w:val="0"/>
                    <w:snapToGrid w:val="0"/>
                    <w:jc w:val="center"/>
                    <w:rPr>
                      <w:color w:val="auto"/>
                      <w:szCs w:val="21"/>
                    </w:rPr>
                  </w:pPr>
                  <w:r>
                    <w:rPr>
                      <w:rFonts w:hint="eastAsia"/>
                      <w:color w:val="auto"/>
                      <w:szCs w:val="21"/>
                    </w:rPr>
                    <w:t>1</w:t>
                  </w:r>
                </w:p>
              </w:tc>
              <w:tc>
                <w:tcPr>
                  <w:tcW w:w="1182" w:type="dxa"/>
                  <w:vMerge w:val="continue"/>
                  <w:vAlign w:val="top"/>
                </w:tcPr>
                <w:p w14:paraId="2A773AB3">
                  <w:pPr>
                    <w:autoSpaceDE w:val="0"/>
                    <w:autoSpaceDN w:val="0"/>
                    <w:adjustRightInd w:val="0"/>
                    <w:snapToGrid w:val="0"/>
                    <w:jc w:val="center"/>
                    <w:rPr>
                      <w:rFonts w:hint="eastAsia"/>
                      <w:color w:val="auto"/>
                      <w:szCs w:val="21"/>
                    </w:rPr>
                  </w:pPr>
                </w:p>
              </w:tc>
            </w:tr>
            <w:tr w14:paraId="5A95BF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716" w:type="dxa"/>
                  <w:vAlign w:val="center"/>
                </w:tcPr>
                <w:p w14:paraId="6978BD96">
                  <w:pPr>
                    <w:widowControl/>
                    <w:jc w:val="center"/>
                    <w:textAlignment w:val="center"/>
                    <w:rPr>
                      <w:color w:val="auto"/>
                      <w:szCs w:val="21"/>
                    </w:rPr>
                  </w:pPr>
                  <w:r>
                    <w:rPr>
                      <w:rFonts w:hint="eastAsia"/>
                      <w:color w:val="auto"/>
                      <w:szCs w:val="21"/>
                    </w:rPr>
                    <w:t>13</w:t>
                  </w:r>
                </w:p>
              </w:tc>
              <w:tc>
                <w:tcPr>
                  <w:tcW w:w="950" w:type="dxa"/>
                  <w:vMerge w:val="continue"/>
                  <w:vAlign w:val="center"/>
                </w:tcPr>
                <w:p w14:paraId="209E3B90">
                  <w:pPr>
                    <w:widowControl/>
                    <w:jc w:val="center"/>
                    <w:textAlignment w:val="center"/>
                    <w:rPr>
                      <w:color w:val="auto"/>
                      <w:szCs w:val="21"/>
                    </w:rPr>
                  </w:pPr>
                </w:p>
              </w:tc>
              <w:tc>
                <w:tcPr>
                  <w:tcW w:w="2313" w:type="dxa"/>
                  <w:vAlign w:val="center"/>
                </w:tcPr>
                <w:p w14:paraId="1A264161">
                  <w:pPr>
                    <w:autoSpaceDE w:val="0"/>
                    <w:autoSpaceDN w:val="0"/>
                    <w:adjustRightInd w:val="0"/>
                    <w:snapToGrid w:val="0"/>
                    <w:jc w:val="center"/>
                    <w:rPr>
                      <w:color w:val="auto"/>
                      <w:szCs w:val="21"/>
                    </w:rPr>
                  </w:pPr>
                  <w:r>
                    <w:rPr>
                      <w:rFonts w:hint="eastAsia"/>
                      <w:color w:val="auto"/>
                      <w:szCs w:val="21"/>
                    </w:rPr>
                    <w:t>门锁铣槽机</w:t>
                  </w:r>
                </w:p>
              </w:tc>
              <w:tc>
                <w:tcPr>
                  <w:tcW w:w="2258" w:type="dxa"/>
                  <w:vAlign w:val="top"/>
                </w:tcPr>
                <w:p w14:paraId="6961E632">
                  <w:pPr>
                    <w:autoSpaceDE w:val="0"/>
                    <w:autoSpaceDN w:val="0"/>
                    <w:adjustRightInd w:val="0"/>
                    <w:snapToGrid w:val="0"/>
                    <w:jc w:val="center"/>
                    <w:rPr>
                      <w:color w:val="auto"/>
                      <w:szCs w:val="21"/>
                    </w:rPr>
                  </w:pPr>
                  <w:r>
                    <w:rPr>
                      <w:rFonts w:hint="eastAsia"/>
                      <w:color w:val="auto"/>
                      <w:szCs w:val="21"/>
                    </w:rPr>
                    <w:t>MXZ1560</w:t>
                  </w:r>
                </w:p>
              </w:tc>
              <w:tc>
                <w:tcPr>
                  <w:tcW w:w="1182" w:type="dxa"/>
                  <w:vAlign w:val="top"/>
                </w:tcPr>
                <w:p w14:paraId="74625D55">
                  <w:pPr>
                    <w:autoSpaceDE w:val="0"/>
                    <w:autoSpaceDN w:val="0"/>
                    <w:adjustRightInd w:val="0"/>
                    <w:snapToGrid w:val="0"/>
                    <w:jc w:val="center"/>
                    <w:rPr>
                      <w:color w:val="auto"/>
                      <w:szCs w:val="21"/>
                    </w:rPr>
                  </w:pPr>
                  <w:r>
                    <w:rPr>
                      <w:rFonts w:hint="eastAsia"/>
                      <w:color w:val="auto"/>
                      <w:szCs w:val="21"/>
                    </w:rPr>
                    <w:t>1</w:t>
                  </w:r>
                </w:p>
              </w:tc>
              <w:tc>
                <w:tcPr>
                  <w:tcW w:w="1182" w:type="dxa"/>
                  <w:vMerge w:val="continue"/>
                  <w:vAlign w:val="top"/>
                </w:tcPr>
                <w:p w14:paraId="1365CAA2">
                  <w:pPr>
                    <w:autoSpaceDE w:val="0"/>
                    <w:autoSpaceDN w:val="0"/>
                    <w:adjustRightInd w:val="0"/>
                    <w:snapToGrid w:val="0"/>
                    <w:jc w:val="center"/>
                    <w:rPr>
                      <w:rFonts w:hint="eastAsia"/>
                      <w:color w:val="auto"/>
                      <w:szCs w:val="21"/>
                    </w:rPr>
                  </w:pPr>
                </w:p>
              </w:tc>
            </w:tr>
            <w:tr w14:paraId="48703F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716" w:type="dxa"/>
                  <w:vAlign w:val="center"/>
                </w:tcPr>
                <w:p w14:paraId="09F586B7">
                  <w:pPr>
                    <w:widowControl/>
                    <w:jc w:val="center"/>
                    <w:textAlignment w:val="center"/>
                    <w:rPr>
                      <w:color w:val="auto"/>
                      <w:szCs w:val="21"/>
                    </w:rPr>
                  </w:pPr>
                  <w:r>
                    <w:rPr>
                      <w:rFonts w:hint="eastAsia"/>
                      <w:color w:val="auto"/>
                      <w:szCs w:val="21"/>
                    </w:rPr>
                    <w:t>14</w:t>
                  </w:r>
                </w:p>
              </w:tc>
              <w:tc>
                <w:tcPr>
                  <w:tcW w:w="950" w:type="dxa"/>
                  <w:vMerge w:val="continue"/>
                  <w:vAlign w:val="center"/>
                </w:tcPr>
                <w:p w14:paraId="60DE76CF">
                  <w:pPr>
                    <w:widowControl/>
                    <w:jc w:val="center"/>
                    <w:textAlignment w:val="center"/>
                    <w:rPr>
                      <w:color w:val="auto"/>
                      <w:szCs w:val="21"/>
                    </w:rPr>
                  </w:pPr>
                </w:p>
              </w:tc>
              <w:tc>
                <w:tcPr>
                  <w:tcW w:w="2313" w:type="dxa"/>
                  <w:vAlign w:val="center"/>
                </w:tcPr>
                <w:p w14:paraId="23459EF0">
                  <w:pPr>
                    <w:autoSpaceDE w:val="0"/>
                    <w:autoSpaceDN w:val="0"/>
                    <w:adjustRightInd w:val="0"/>
                    <w:snapToGrid w:val="0"/>
                    <w:jc w:val="center"/>
                    <w:rPr>
                      <w:color w:val="auto"/>
                      <w:szCs w:val="21"/>
                    </w:rPr>
                  </w:pPr>
                  <w:r>
                    <w:rPr>
                      <w:rFonts w:hint="eastAsia"/>
                      <w:color w:val="auto"/>
                      <w:szCs w:val="21"/>
                    </w:rPr>
                    <w:t>多功能装饰条切割机</w:t>
                  </w:r>
                </w:p>
              </w:tc>
              <w:tc>
                <w:tcPr>
                  <w:tcW w:w="2258" w:type="dxa"/>
                  <w:vAlign w:val="top"/>
                </w:tcPr>
                <w:p w14:paraId="6FE2DBC2">
                  <w:pPr>
                    <w:autoSpaceDE w:val="0"/>
                    <w:autoSpaceDN w:val="0"/>
                    <w:adjustRightInd w:val="0"/>
                    <w:snapToGrid w:val="0"/>
                    <w:jc w:val="center"/>
                    <w:rPr>
                      <w:color w:val="auto"/>
                      <w:szCs w:val="21"/>
                    </w:rPr>
                  </w:pPr>
                  <w:r>
                    <w:rPr>
                      <w:rFonts w:hint="eastAsia"/>
                      <w:color w:val="auto"/>
                      <w:szCs w:val="21"/>
                    </w:rPr>
                    <w:t>/</w:t>
                  </w:r>
                </w:p>
              </w:tc>
              <w:tc>
                <w:tcPr>
                  <w:tcW w:w="1182" w:type="dxa"/>
                  <w:vAlign w:val="top"/>
                </w:tcPr>
                <w:p w14:paraId="346F8068">
                  <w:pPr>
                    <w:autoSpaceDE w:val="0"/>
                    <w:autoSpaceDN w:val="0"/>
                    <w:adjustRightInd w:val="0"/>
                    <w:snapToGrid w:val="0"/>
                    <w:jc w:val="center"/>
                    <w:rPr>
                      <w:color w:val="auto"/>
                      <w:szCs w:val="21"/>
                    </w:rPr>
                  </w:pPr>
                  <w:r>
                    <w:rPr>
                      <w:rFonts w:hint="eastAsia"/>
                      <w:color w:val="auto"/>
                      <w:szCs w:val="21"/>
                    </w:rPr>
                    <w:t>1</w:t>
                  </w:r>
                </w:p>
              </w:tc>
              <w:tc>
                <w:tcPr>
                  <w:tcW w:w="1182" w:type="dxa"/>
                  <w:vMerge w:val="continue"/>
                  <w:vAlign w:val="top"/>
                </w:tcPr>
                <w:p w14:paraId="21D74343">
                  <w:pPr>
                    <w:autoSpaceDE w:val="0"/>
                    <w:autoSpaceDN w:val="0"/>
                    <w:adjustRightInd w:val="0"/>
                    <w:snapToGrid w:val="0"/>
                    <w:jc w:val="center"/>
                    <w:rPr>
                      <w:rFonts w:hint="eastAsia"/>
                      <w:color w:val="auto"/>
                      <w:szCs w:val="21"/>
                    </w:rPr>
                  </w:pPr>
                </w:p>
              </w:tc>
            </w:tr>
            <w:tr w14:paraId="656C3C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1" w:hRule="atLeast"/>
              </w:trPr>
              <w:tc>
                <w:tcPr>
                  <w:tcW w:w="716" w:type="dxa"/>
                  <w:vAlign w:val="center"/>
                </w:tcPr>
                <w:p w14:paraId="2892B25E">
                  <w:pPr>
                    <w:widowControl/>
                    <w:jc w:val="center"/>
                    <w:textAlignment w:val="center"/>
                    <w:rPr>
                      <w:color w:val="auto"/>
                      <w:szCs w:val="21"/>
                    </w:rPr>
                  </w:pPr>
                  <w:r>
                    <w:rPr>
                      <w:rFonts w:hint="eastAsia"/>
                      <w:color w:val="auto"/>
                      <w:szCs w:val="21"/>
                    </w:rPr>
                    <w:t>15</w:t>
                  </w:r>
                </w:p>
              </w:tc>
              <w:tc>
                <w:tcPr>
                  <w:tcW w:w="950" w:type="dxa"/>
                  <w:vMerge w:val="continue"/>
                  <w:vAlign w:val="center"/>
                </w:tcPr>
                <w:p w14:paraId="13FF9644">
                  <w:pPr>
                    <w:widowControl/>
                    <w:jc w:val="center"/>
                    <w:textAlignment w:val="center"/>
                    <w:rPr>
                      <w:color w:val="auto"/>
                      <w:szCs w:val="21"/>
                    </w:rPr>
                  </w:pPr>
                </w:p>
              </w:tc>
              <w:tc>
                <w:tcPr>
                  <w:tcW w:w="2313" w:type="dxa"/>
                  <w:vAlign w:val="center"/>
                </w:tcPr>
                <w:p w14:paraId="421825F7">
                  <w:pPr>
                    <w:autoSpaceDE w:val="0"/>
                    <w:autoSpaceDN w:val="0"/>
                    <w:adjustRightInd w:val="0"/>
                    <w:snapToGrid w:val="0"/>
                    <w:jc w:val="center"/>
                    <w:rPr>
                      <w:color w:val="auto"/>
                      <w:szCs w:val="21"/>
                    </w:rPr>
                  </w:pPr>
                  <w:r>
                    <w:rPr>
                      <w:rFonts w:hint="eastAsia"/>
                      <w:color w:val="auto"/>
                      <w:szCs w:val="21"/>
                    </w:rPr>
                    <w:t>雕刻机</w:t>
                  </w:r>
                </w:p>
              </w:tc>
              <w:tc>
                <w:tcPr>
                  <w:tcW w:w="2258" w:type="dxa"/>
                  <w:vAlign w:val="top"/>
                </w:tcPr>
                <w:p w14:paraId="211393A0">
                  <w:pPr>
                    <w:autoSpaceDE w:val="0"/>
                    <w:autoSpaceDN w:val="0"/>
                    <w:adjustRightInd w:val="0"/>
                    <w:snapToGrid w:val="0"/>
                    <w:jc w:val="center"/>
                    <w:rPr>
                      <w:color w:val="auto"/>
                      <w:szCs w:val="21"/>
                    </w:rPr>
                  </w:pPr>
                  <w:r>
                    <w:rPr>
                      <w:rFonts w:hint="eastAsia"/>
                      <w:color w:val="auto"/>
                      <w:szCs w:val="21"/>
                    </w:rPr>
                    <w:t>/</w:t>
                  </w:r>
                </w:p>
              </w:tc>
              <w:tc>
                <w:tcPr>
                  <w:tcW w:w="1182" w:type="dxa"/>
                  <w:vAlign w:val="top"/>
                </w:tcPr>
                <w:p w14:paraId="7F9F0552">
                  <w:pPr>
                    <w:autoSpaceDE w:val="0"/>
                    <w:autoSpaceDN w:val="0"/>
                    <w:adjustRightInd w:val="0"/>
                    <w:snapToGrid w:val="0"/>
                    <w:jc w:val="center"/>
                    <w:rPr>
                      <w:color w:val="auto"/>
                      <w:szCs w:val="21"/>
                    </w:rPr>
                  </w:pPr>
                  <w:r>
                    <w:rPr>
                      <w:rFonts w:hint="eastAsia"/>
                      <w:color w:val="auto"/>
                      <w:szCs w:val="21"/>
                    </w:rPr>
                    <w:t>1</w:t>
                  </w:r>
                </w:p>
              </w:tc>
              <w:tc>
                <w:tcPr>
                  <w:tcW w:w="1182" w:type="dxa"/>
                  <w:vMerge w:val="continue"/>
                  <w:vAlign w:val="top"/>
                </w:tcPr>
                <w:p w14:paraId="23D85748">
                  <w:pPr>
                    <w:autoSpaceDE w:val="0"/>
                    <w:autoSpaceDN w:val="0"/>
                    <w:adjustRightInd w:val="0"/>
                    <w:snapToGrid w:val="0"/>
                    <w:jc w:val="center"/>
                    <w:rPr>
                      <w:rFonts w:hint="eastAsia"/>
                      <w:color w:val="auto"/>
                      <w:szCs w:val="21"/>
                    </w:rPr>
                  </w:pPr>
                </w:p>
              </w:tc>
            </w:tr>
            <w:tr w14:paraId="136205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716" w:type="dxa"/>
                  <w:vAlign w:val="center"/>
                </w:tcPr>
                <w:p w14:paraId="1DD18B03">
                  <w:pPr>
                    <w:widowControl/>
                    <w:jc w:val="center"/>
                    <w:textAlignment w:val="center"/>
                    <w:rPr>
                      <w:color w:val="auto"/>
                      <w:szCs w:val="21"/>
                    </w:rPr>
                  </w:pPr>
                  <w:r>
                    <w:rPr>
                      <w:rFonts w:hint="eastAsia"/>
                      <w:color w:val="auto"/>
                      <w:szCs w:val="21"/>
                    </w:rPr>
                    <w:t>16</w:t>
                  </w:r>
                </w:p>
              </w:tc>
              <w:tc>
                <w:tcPr>
                  <w:tcW w:w="950" w:type="dxa"/>
                  <w:vMerge w:val="continue"/>
                  <w:vAlign w:val="center"/>
                </w:tcPr>
                <w:p w14:paraId="49B99A57">
                  <w:pPr>
                    <w:widowControl/>
                    <w:jc w:val="center"/>
                    <w:textAlignment w:val="center"/>
                    <w:rPr>
                      <w:color w:val="auto"/>
                      <w:szCs w:val="21"/>
                    </w:rPr>
                  </w:pPr>
                </w:p>
              </w:tc>
              <w:tc>
                <w:tcPr>
                  <w:tcW w:w="2313" w:type="dxa"/>
                  <w:vAlign w:val="center"/>
                </w:tcPr>
                <w:p w14:paraId="4AA839A7">
                  <w:pPr>
                    <w:autoSpaceDE w:val="0"/>
                    <w:autoSpaceDN w:val="0"/>
                    <w:adjustRightInd w:val="0"/>
                    <w:snapToGrid w:val="0"/>
                    <w:jc w:val="center"/>
                    <w:rPr>
                      <w:color w:val="auto"/>
                      <w:szCs w:val="21"/>
                    </w:rPr>
                  </w:pPr>
                  <w:r>
                    <w:rPr>
                      <w:rFonts w:hint="eastAsia"/>
                      <w:color w:val="auto"/>
                      <w:kern w:val="0"/>
                      <w:szCs w:val="21"/>
                    </w:rPr>
                    <w:t>立式单轴木工镂铣机</w:t>
                  </w:r>
                </w:p>
              </w:tc>
              <w:tc>
                <w:tcPr>
                  <w:tcW w:w="2258" w:type="dxa"/>
                  <w:vAlign w:val="center"/>
                </w:tcPr>
                <w:p w14:paraId="614D3804">
                  <w:pPr>
                    <w:autoSpaceDE w:val="0"/>
                    <w:autoSpaceDN w:val="0"/>
                    <w:adjustRightInd w:val="0"/>
                    <w:snapToGrid w:val="0"/>
                    <w:jc w:val="center"/>
                    <w:rPr>
                      <w:color w:val="auto"/>
                      <w:szCs w:val="21"/>
                    </w:rPr>
                  </w:pPr>
                  <w:r>
                    <w:rPr>
                      <w:rFonts w:hint="eastAsia"/>
                      <w:color w:val="auto"/>
                      <w:szCs w:val="21"/>
                    </w:rPr>
                    <w:t>/</w:t>
                  </w:r>
                </w:p>
              </w:tc>
              <w:tc>
                <w:tcPr>
                  <w:tcW w:w="1182" w:type="dxa"/>
                  <w:vAlign w:val="top"/>
                </w:tcPr>
                <w:p w14:paraId="09615531">
                  <w:pPr>
                    <w:autoSpaceDE w:val="0"/>
                    <w:autoSpaceDN w:val="0"/>
                    <w:adjustRightInd w:val="0"/>
                    <w:snapToGrid w:val="0"/>
                    <w:jc w:val="center"/>
                    <w:rPr>
                      <w:color w:val="auto"/>
                      <w:szCs w:val="21"/>
                    </w:rPr>
                  </w:pPr>
                  <w:r>
                    <w:rPr>
                      <w:rFonts w:hint="eastAsia"/>
                      <w:color w:val="auto"/>
                      <w:szCs w:val="21"/>
                    </w:rPr>
                    <w:t>2</w:t>
                  </w:r>
                </w:p>
              </w:tc>
              <w:tc>
                <w:tcPr>
                  <w:tcW w:w="1182" w:type="dxa"/>
                  <w:vMerge w:val="continue"/>
                  <w:vAlign w:val="top"/>
                </w:tcPr>
                <w:p w14:paraId="462DBAB5">
                  <w:pPr>
                    <w:autoSpaceDE w:val="0"/>
                    <w:autoSpaceDN w:val="0"/>
                    <w:adjustRightInd w:val="0"/>
                    <w:snapToGrid w:val="0"/>
                    <w:jc w:val="center"/>
                    <w:rPr>
                      <w:rFonts w:hint="eastAsia"/>
                      <w:color w:val="auto"/>
                      <w:szCs w:val="21"/>
                    </w:rPr>
                  </w:pPr>
                </w:p>
              </w:tc>
            </w:tr>
            <w:tr w14:paraId="184F50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716" w:type="dxa"/>
                  <w:vAlign w:val="center"/>
                </w:tcPr>
                <w:p w14:paraId="6A852E16">
                  <w:pPr>
                    <w:widowControl/>
                    <w:jc w:val="center"/>
                    <w:textAlignment w:val="center"/>
                    <w:rPr>
                      <w:color w:val="auto"/>
                      <w:szCs w:val="21"/>
                    </w:rPr>
                  </w:pPr>
                  <w:r>
                    <w:rPr>
                      <w:rFonts w:hint="eastAsia"/>
                      <w:color w:val="auto"/>
                      <w:szCs w:val="21"/>
                    </w:rPr>
                    <w:t>17</w:t>
                  </w:r>
                </w:p>
              </w:tc>
              <w:tc>
                <w:tcPr>
                  <w:tcW w:w="950" w:type="dxa"/>
                  <w:vMerge w:val="continue"/>
                  <w:vAlign w:val="center"/>
                </w:tcPr>
                <w:p w14:paraId="00DC11F7">
                  <w:pPr>
                    <w:widowControl/>
                    <w:jc w:val="center"/>
                    <w:textAlignment w:val="center"/>
                    <w:rPr>
                      <w:color w:val="auto"/>
                      <w:szCs w:val="21"/>
                    </w:rPr>
                  </w:pPr>
                </w:p>
              </w:tc>
              <w:tc>
                <w:tcPr>
                  <w:tcW w:w="2313" w:type="dxa"/>
                  <w:vAlign w:val="center"/>
                </w:tcPr>
                <w:p w14:paraId="4BFBBF86">
                  <w:pPr>
                    <w:autoSpaceDE w:val="0"/>
                    <w:autoSpaceDN w:val="0"/>
                    <w:adjustRightInd w:val="0"/>
                    <w:snapToGrid w:val="0"/>
                    <w:jc w:val="center"/>
                    <w:rPr>
                      <w:color w:val="auto"/>
                      <w:kern w:val="0"/>
                      <w:szCs w:val="21"/>
                    </w:rPr>
                  </w:pPr>
                  <w:r>
                    <w:rPr>
                      <w:rFonts w:hint="eastAsia"/>
                      <w:color w:val="auto"/>
                      <w:kern w:val="0"/>
                      <w:szCs w:val="21"/>
                    </w:rPr>
                    <w:t>开槽机</w:t>
                  </w:r>
                </w:p>
              </w:tc>
              <w:tc>
                <w:tcPr>
                  <w:tcW w:w="2258" w:type="dxa"/>
                  <w:vAlign w:val="center"/>
                </w:tcPr>
                <w:p w14:paraId="6BFE32E6">
                  <w:pPr>
                    <w:autoSpaceDE w:val="0"/>
                    <w:autoSpaceDN w:val="0"/>
                    <w:adjustRightInd w:val="0"/>
                    <w:snapToGrid w:val="0"/>
                    <w:jc w:val="center"/>
                    <w:rPr>
                      <w:color w:val="auto"/>
                      <w:szCs w:val="21"/>
                    </w:rPr>
                  </w:pPr>
                  <w:r>
                    <w:rPr>
                      <w:rFonts w:hint="eastAsia"/>
                      <w:color w:val="auto"/>
                      <w:szCs w:val="21"/>
                    </w:rPr>
                    <w:t>/</w:t>
                  </w:r>
                </w:p>
              </w:tc>
              <w:tc>
                <w:tcPr>
                  <w:tcW w:w="1182" w:type="dxa"/>
                  <w:vAlign w:val="top"/>
                </w:tcPr>
                <w:p w14:paraId="09091409">
                  <w:pPr>
                    <w:autoSpaceDE w:val="0"/>
                    <w:autoSpaceDN w:val="0"/>
                    <w:adjustRightInd w:val="0"/>
                    <w:snapToGrid w:val="0"/>
                    <w:jc w:val="center"/>
                    <w:rPr>
                      <w:color w:val="auto"/>
                      <w:szCs w:val="21"/>
                    </w:rPr>
                  </w:pPr>
                  <w:r>
                    <w:rPr>
                      <w:rFonts w:hint="eastAsia"/>
                      <w:color w:val="auto"/>
                      <w:szCs w:val="21"/>
                    </w:rPr>
                    <w:t>1</w:t>
                  </w:r>
                </w:p>
              </w:tc>
              <w:tc>
                <w:tcPr>
                  <w:tcW w:w="1182" w:type="dxa"/>
                  <w:vMerge w:val="continue"/>
                  <w:vAlign w:val="top"/>
                </w:tcPr>
                <w:p w14:paraId="561016AB">
                  <w:pPr>
                    <w:autoSpaceDE w:val="0"/>
                    <w:autoSpaceDN w:val="0"/>
                    <w:adjustRightInd w:val="0"/>
                    <w:snapToGrid w:val="0"/>
                    <w:jc w:val="center"/>
                    <w:rPr>
                      <w:rFonts w:hint="eastAsia"/>
                      <w:color w:val="auto"/>
                      <w:szCs w:val="21"/>
                    </w:rPr>
                  </w:pPr>
                </w:p>
              </w:tc>
            </w:tr>
            <w:tr w14:paraId="1B9DB5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716" w:type="dxa"/>
                  <w:vAlign w:val="center"/>
                </w:tcPr>
                <w:p w14:paraId="25A8D7E9">
                  <w:pPr>
                    <w:widowControl/>
                    <w:jc w:val="center"/>
                    <w:textAlignment w:val="center"/>
                    <w:rPr>
                      <w:color w:val="auto"/>
                      <w:szCs w:val="21"/>
                    </w:rPr>
                  </w:pPr>
                  <w:r>
                    <w:rPr>
                      <w:rFonts w:hint="eastAsia"/>
                      <w:color w:val="auto"/>
                      <w:szCs w:val="21"/>
                    </w:rPr>
                    <w:t>18</w:t>
                  </w:r>
                </w:p>
              </w:tc>
              <w:tc>
                <w:tcPr>
                  <w:tcW w:w="950" w:type="dxa"/>
                  <w:vMerge w:val="continue"/>
                  <w:vAlign w:val="center"/>
                </w:tcPr>
                <w:p w14:paraId="7FFDE324">
                  <w:pPr>
                    <w:widowControl/>
                    <w:jc w:val="center"/>
                    <w:textAlignment w:val="center"/>
                    <w:rPr>
                      <w:color w:val="auto"/>
                      <w:szCs w:val="21"/>
                    </w:rPr>
                  </w:pPr>
                </w:p>
              </w:tc>
              <w:tc>
                <w:tcPr>
                  <w:tcW w:w="2313" w:type="dxa"/>
                  <w:vAlign w:val="center"/>
                </w:tcPr>
                <w:p w14:paraId="079FE813">
                  <w:pPr>
                    <w:autoSpaceDE w:val="0"/>
                    <w:autoSpaceDN w:val="0"/>
                    <w:adjustRightInd w:val="0"/>
                    <w:snapToGrid w:val="0"/>
                    <w:jc w:val="center"/>
                    <w:rPr>
                      <w:color w:val="auto"/>
                      <w:kern w:val="0"/>
                      <w:szCs w:val="21"/>
                    </w:rPr>
                  </w:pPr>
                  <w:r>
                    <w:rPr>
                      <w:rFonts w:hint="eastAsia"/>
                      <w:color w:val="auto"/>
                      <w:kern w:val="0"/>
                      <w:szCs w:val="21"/>
                    </w:rPr>
                    <w:t>组装机</w:t>
                  </w:r>
                </w:p>
              </w:tc>
              <w:tc>
                <w:tcPr>
                  <w:tcW w:w="2258" w:type="dxa"/>
                  <w:vAlign w:val="center"/>
                </w:tcPr>
                <w:p w14:paraId="50816B4B">
                  <w:pPr>
                    <w:autoSpaceDE w:val="0"/>
                    <w:autoSpaceDN w:val="0"/>
                    <w:adjustRightInd w:val="0"/>
                    <w:snapToGrid w:val="0"/>
                    <w:jc w:val="center"/>
                    <w:rPr>
                      <w:color w:val="auto"/>
                      <w:szCs w:val="21"/>
                    </w:rPr>
                  </w:pPr>
                  <w:r>
                    <w:rPr>
                      <w:rFonts w:hint="eastAsia"/>
                      <w:color w:val="auto"/>
                      <w:szCs w:val="21"/>
                    </w:rPr>
                    <w:t>/</w:t>
                  </w:r>
                </w:p>
              </w:tc>
              <w:tc>
                <w:tcPr>
                  <w:tcW w:w="1182" w:type="dxa"/>
                  <w:vAlign w:val="top"/>
                </w:tcPr>
                <w:p w14:paraId="083BF9EE">
                  <w:pPr>
                    <w:autoSpaceDE w:val="0"/>
                    <w:autoSpaceDN w:val="0"/>
                    <w:adjustRightInd w:val="0"/>
                    <w:snapToGrid w:val="0"/>
                    <w:jc w:val="center"/>
                    <w:rPr>
                      <w:color w:val="auto"/>
                      <w:szCs w:val="21"/>
                    </w:rPr>
                  </w:pPr>
                  <w:r>
                    <w:rPr>
                      <w:rFonts w:hint="eastAsia"/>
                      <w:color w:val="auto"/>
                      <w:szCs w:val="21"/>
                    </w:rPr>
                    <w:t>1</w:t>
                  </w:r>
                </w:p>
              </w:tc>
              <w:tc>
                <w:tcPr>
                  <w:tcW w:w="1182" w:type="dxa"/>
                  <w:vMerge w:val="continue"/>
                  <w:vAlign w:val="top"/>
                </w:tcPr>
                <w:p w14:paraId="7F065AB8">
                  <w:pPr>
                    <w:autoSpaceDE w:val="0"/>
                    <w:autoSpaceDN w:val="0"/>
                    <w:adjustRightInd w:val="0"/>
                    <w:snapToGrid w:val="0"/>
                    <w:jc w:val="center"/>
                    <w:rPr>
                      <w:rFonts w:hint="eastAsia"/>
                      <w:color w:val="auto"/>
                      <w:szCs w:val="21"/>
                    </w:rPr>
                  </w:pPr>
                </w:p>
              </w:tc>
            </w:tr>
            <w:tr w14:paraId="7976E9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716" w:type="dxa"/>
                  <w:vAlign w:val="center"/>
                </w:tcPr>
                <w:p w14:paraId="10A369F3">
                  <w:pPr>
                    <w:widowControl/>
                    <w:jc w:val="center"/>
                    <w:textAlignment w:val="center"/>
                    <w:rPr>
                      <w:color w:val="auto"/>
                      <w:szCs w:val="21"/>
                    </w:rPr>
                  </w:pPr>
                  <w:r>
                    <w:rPr>
                      <w:rFonts w:hint="eastAsia"/>
                      <w:color w:val="auto"/>
                      <w:szCs w:val="21"/>
                    </w:rPr>
                    <w:t>19</w:t>
                  </w:r>
                </w:p>
              </w:tc>
              <w:tc>
                <w:tcPr>
                  <w:tcW w:w="950" w:type="dxa"/>
                  <w:vMerge w:val="continue"/>
                  <w:vAlign w:val="center"/>
                </w:tcPr>
                <w:p w14:paraId="0393FD71">
                  <w:pPr>
                    <w:widowControl/>
                    <w:jc w:val="center"/>
                    <w:textAlignment w:val="center"/>
                    <w:rPr>
                      <w:color w:val="auto"/>
                      <w:szCs w:val="21"/>
                    </w:rPr>
                  </w:pPr>
                </w:p>
              </w:tc>
              <w:tc>
                <w:tcPr>
                  <w:tcW w:w="2313" w:type="dxa"/>
                  <w:vAlign w:val="center"/>
                </w:tcPr>
                <w:p w14:paraId="23A3E4AE">
                  <w:pPr>
                    <w:autoSpaceDE w:val="0"/>
                    <w:autoSpaceDN w:val="0"/>
                    <w:adjustRightInd w:val="0"/>
                    <w:snapToGrid w:val="0"/>
                    <w:jc w:val="center"/>
                    <w:rPr>
                      <w:color w:val="auto"/>
                      <w:kern w:val="0"/>
                      <w:szCs w:val="21"/>
                    </w:rPr>
                  </w:pPr>
                  <w:r>
                    <w:rPr>
                      <w:rFonts w:hint="eastAsia"/>
                      <w:color w:val="auto"/>
                      <w:kern w:val="0"/>
                      <w:szCs w:val="21"/>
                    </w:rPr>
                    <w:t>单边锯</w:t>
                  </w:r>
                </w:p>
              </w:tc>
              <w:tc>
                <w:tcPr>
                  <w:tcW w:w="2258" w:type="dxa"/>
                  <w:vAlign w:val="center"/>
                </w:tcPr>
                <w:p w14:paraId="20B838C1">
                  <w:pPr>
                    <w:autoSpaceDE w:val="0"/>
                    <w:autoSpaceDN w:val="0"/>
                    <w:adjustRightInd w:val="0"/>
                    <w:snapToGrid w:val="0"/>
                    <w:jc w:val="center"/>
                    <w:rPr>
                      <w:color w:val="auto"/>
                      <w:szCs w:val="21"/>
                    </w:rPr>
                  </w:pPr>
                  <w:r>
                    <w:rPr>
                      <w:rFonts w:hint="eastAsia"/>
                      <w:color w:val="auto"/>
                      <w:szCs w:val="21"/>
                    </w:rPr>
                    <w:t>/</w:t>
                  </w:r>
                </w:p>
              </w:tc>
              <w:tc>
                <w:tcPr>
                  <w:tcW w:w="1182" w:type="dxa"/>
                  <w:vAlign w:val="top"/>
                </w:tcPr>
                <w:p w14:paraId="25C9BC4B">
                  <w:pPr>
                    <w:autoSpaceDE w:val="0"/>
                    <w:autoSpaceDN w:val="0"/>
                    <w:adjustRightInd w:val="0"/>
                    <w:snapToGrid w:val="0"/>
                    <w:jc w:val="center"/>
                    <w:rPr>
                      <w:color w:val="auto"/>
                      <w:szCs w:val="21"/>
                    </w:rPr>
                  </w:pPr>
                  <w:r>
                    <w:rPr>
                      <w:rFonts w:hint="eastAsia"/>
                      <w:color w:val="auto"/>
                      <w:szCs w:val="21"/>
                    </w:rPr>
                    <w:t>1</w:t>
                  </w:r>
                </w:p>
              </w:tc>
              <w:tc>
                <w:tcPr>
                  <w:tcW w:w="1182" w:type="dxa"/>
                  <w:vMerge w:val="continue"/>
                  <w:vAlign w:val="top"/>
                </w:tcPr>
                <w:p w14:paraId="7B4E0069">
                  <w:pPr>
                    <w:autoSpaceDE w:val="0"/>
                    <w:autoSpaceDN w:val="0"/>
                    <w:adjustRightInd w:val="0"/>
                    <w:snapToGrid w:val="0"/>
                    <w:jc w:val="center"/>
                    <w:rPr>
                      <w:rFonts w:hint="eastAsia"/>
                      <w:color w:val="auto"/>
                      <w:szCs w:val="21"/>
                    </w:rPr>
                  </w:pPr>
                </w:p>
              </w:tc>
            </w:tr>
            <w:tr w14:paraId="023E4A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716" w:type="dxa"/>
                  <w:vAlign w:val="center"/>
                </w:tcPr>
                <w:p w14:paraId="46A6D04A">
                  <w:pPr>
                    <w:widowControl/>
                    <w:jc w:val="center"/>
                    <w:textAlignment w:val="center"/>
                    <w:rPr>
                      <w:color w:val="auto"/>
                      <w:szCs w:val="21"/>
                    </w:rPr>
                  </w:pPr>
                  <w:r>
                    <w:rPr>
                      <w:rFonts w:hint="eastAsia"/>
                      <w:color w:val="auto"/>
                      <w:szCs w:val="21"/>
                    </w:rPr>
                    <w:t>20</w:t>
                  </w:r>
                </w:p>
              </w:tc>
              <w:tc>
                <w:tcPr>
                  <w:tcW w:w="950" w:type="dxa"/>
                  <w:vMerge w:val="continue"/>
                  <w:vAlign w:val="center"/>
                </w:tcPr>
                <w:p w14:paraId="7F9385A9">
                  <w:pPr>
                    <w:widowControl/>
                    <w:jc w:val="center"/>
                    <w:textAlignment w:val="center"/>
                    <w:rPr>
                      <w:color w:val="auto"/>
                      <w:szCs w:val="21"/>
                    </w:rPr>
                  </w:pPr>
                </w:p>
              </w:tc>
              <w:tc>
                <w:tcPr>
                  <w:tcW w:w="2313" w:type="dxa"/>
                  <w:vAlign w:val="center"/>
                </w:tcPr>
                <w:p w14:paraId="1BFE4F58">
                  <w:pPr>
                    <w:autoSpaceDE w:val="0"/>
                    <w:autoSpaceDN w:val="0"/>
                    <w:adjustRightInd w:val="0"/>
                    <w:snapToGrid w:val="0"/>
                    <w:jc w:val="center"/>
                    <w:rPr>
                      <w:color w:val="auto"/>
                      <w:kern w:val="0"/>
                      <w:szCs w:val="21"/>
                    </w:rPr>
                  </w:pPr>
                  <w:r>
                    <w:rPr>
                      <w:rFonts w:hint="eastAsia"/>
                      <w:color w:val="auto"/>
                      <w:kern w:val="0"/>
                      <w:szCs w:val="21"/>
                    </w:rPr>
                    <w:t>多边锯</w:t>
                  </w:r>
                </w:p>
              </w:tc>
              <w:tc>
                <w:tcPr>
                  <w:tcW w:w="2258" w:type="dxa"/>
                  <w:vAlign w:val="center"/>
                </w:tcPr>
                <w:p w14:paraId="7C05D013">
                  <w:pPr>
                    <w:autoSpaceDE w:val="0"/>
                    <w:autoSpaceDN w:val="0"/>
                    <w:adjustRightInd w:val="0"/>
                    <w:snapToGrid w:val="0"/>
                    <w:jc w:val="center"/>
                    <w:rPr>
                      <w:color w:val="auto"/>
                      <w:szCs w:val="21"/>
                    </w:rPr>
                  </w:pPr>
                  <w:r>
                    <w:rPr>
                      <w:rFonts w:hint="eastAsia"/>
                      <w:color w:val="auto"/>
                      <w:szCs w:val="21"/>
                    </w:rPr>
                    <w:t>/</w:t>
                  </w:r>
                </w:p>
              </w:tc>
              <w:tc>
                <w:tcPr>
                  <w:tcW w:w="1182" w:type="dxa"/>
                  <w:vAlign w:val="top"/>
                </w:tcPr>
                <w:p w14:paraId="680CD5DF">
                  <w:pPr>
                    <w:autoSpaceDE w:val="0"/>
                    <w:autoSpaceDN w:val="0"/>
                    <w:adjustRightInd w:val="0"/>
                    <w:snapToGrid w:val="0"/>
                    <w:jc w:val="center"/>
                    <w:rPr>
                      <w:color w:val="auto"/>
                      <w:szCs w:val="21"/>
                    </w:rPr>
                  </w:pPr>
                  <w:r>
                    <w:rPr>
                      <w:rFonts w:hint="eastAsia"/>
                      <w:color w:val="auto"/>
                      <w:szCs w:val="21"/>
                    </w:rPr>
                    <w:t>1</w:t>
                  </w:r>
                </w:p>
              </w:tc>
              <w:tc>
                <w:tcPr>
                  <w:tcW w:w="1182" w:type="dxa"/>
                  <w:vMerge w:val="continue"/>
                  <w:vAlign w:val="top"/>
                </w:tcPr>
                <w:p w14:paraId="43756ED6">
                  <w:pPr>
                    <w:autoSpaceDE w:val="0"/>
                    <w:autoSpaceDN w:val="0"/>
                    <w:adjustRightInd w:val="0"/>
                    <w:snapToGrid w:val="0"/>
                    <w:jc w:val="center"/>
                    <w:rPr>
                      <w:rFonts w:hint="eastAsia"/>
                      <w:color w:val="auto"/>
                      <w:szCs w:val="21"/>
                    </w:rPr>
                  </w:pPr>
                </w:p>
              </w:tc>
            </w:tr>
            <w:tr w14:paraId="0C5DF4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716" w:type="dxa"/>
                  <w:vAlign w:val="center"/>
                </w:tcPr>
                <w:p w14:paraId="74733D85">
                  <w:pPr>
                    <w:widowControl/>
                    <w:jc w:val="center"/>
                    <w:textAlignment w:val="center"/>
                    <w:rPr>
                      <w:color w:val="auto"/>
                      <w:szCs w:val="21"/>
                    </w:rPr>
                  </w:pPr>
                  <w:r>
                    <w:rPr>
                      <w:rFonts w:hint="eastAsia"/>
                      <w:color w:val="auto"/>
                      <w:szCs w:val="21"/>
                    </w:rPr>
                    <w:t>21</w:t>
                  </w:r>
                </w:p>
              </w:tc>
              <w:tc>
                <w:tcPr>
                  <w:tcW w:w="950" w:type="dxa"/>
                  <w:vMerge w:val="continue"/>
                  <w:vAlign w:val="center"/>
                </w:tcPr>
                <w:p w14:paraId="2CD31306">
                  <w:pPr>
                    <w:widowControl/>
                    <w:jc w:val="center"/>
                    <w:textAlignment w:val="center"/>
                    <w:rPr>
                      <w:color w:val="auto"/>
                      <w:szCs w:val="21"/>
                    </w:rPr>
                  </w:pPr>
                </w:p>
              </w:tc>
              <w:tc>
                <w:tcPr>
                  <w:tcW w:w="2313" w:type="dxa"/>
                  <w:vAlign w:val="center"/>
                </w:tcPr>
                <w:p w14:paraId="215DD41B">
                  <w:pPr>
                    <w:autoSpaceDE w:val="0"/>
                    <w:autoSpaceDN w:val="0"/>
                    <w:adjustRightInd w:val="0"/>
                    <w:snapToGrid w:val="0"/>
                    <w:jc w:val="center"/>
                    <w:rPr>
                      <w:color w:val="auto"/>
                      <w:kern w:val="0"/>
                      <w:szCs w:val="21"/>
                    </w:rPr>
                  </w:pPr>
                  <w:r>
                    <w:rPr>
                      <w:rFonts w:hint="eastAsia"/>
                      <w:color w:val="auto"/>
                      <w:kern w:val="0"/>
                      <w:szCs w:val="21"/>
                    </w:rPr>
                    <w:t>拼脸线机</w:t>
                  </w:r>
                </w:p>
              </w:tc>
              <w:tc>
                <w:tcPr>
                  <w:tcW w:w="2258" w:type="dxa"/>
                  <w:vAlign w:val="center"/>
                </w:tcPr>
                <w:p w14:paraId="2FECC84C">
                  <w:pPr>
                    <w:autoSpaceDE w:val="0"/>
                    <w:autoSpaceDN w:val="0"/>
                    <w:adjustRightInd w:val="0"/>
                    <w:snapToGrid w:val="0"/>
                    <w:jc w:val="center"/>
                    <w:rPr>
                      <w:color w:val="auto"/>
                      <w:szCs w:val="21"/>
                    </w:rPr>
                  </w:pPr>
                  <w:r>
                    <w:rPr>
                      <w:rFonts w:hint="eastAsia"/>
                      <w:color w:val="auto"/>
                      <w:szCs w:val="21"/>
                    </w:rPr>
                    <w:t>/</w:t>
                  </w:r>
                </w:p>
              </w:tc>
              <w:tc>
                <w:tcPr>
                  <w:tcW w:w="1182" w:type="dxa"/>
                  <w:vAlign w:val="top"/>
                </w:tcPr>
                <w:p w14:paraId="1FB7F679">
                  <w:pPr>
                    <w:autoSpaceDE w:val="0"/>
                    <w:autoSpaceDN w:val="0"/>
                    <w:adjustRightInd w:val="0"/>
                    <w:snapToGrid w:val="0"/>
                    <w:jc w:val="center"/>
                    <w:rPr>
                      <w:color w:val="auto"/>
                      <w:szCs w:val="21"/>
                    </w:rPr>
                  </w:pPr>
                  <w:r>
                    <w:rPr>
                      <w:rFonts w:hint="eastAsia"/>
                      <w:color w:val="auto"/>
                      <w:szCs w:val="21"/>
                    </w:rPr>
                    <w:t>2</w:t>
                  </w:r>
                </w:p>
              </w:tc>
              <w:tc>
                <w:tcPr>
                  <w:tcW w:w="1182" w:type="dxa"/>
                  <w:vMerge w:val="continue"/>
                  <w:vAlign w:val="top"/>
                </w:tcPr>
                <w:p w14:paraId="019CFFED">
                  <w:pPr>
                    <w:autoSpaceDE w:val="0"/>
                    <w:autoSpaceDN w:val="0"/>
                    <w:adjustRightInd w:val="0"/>
                    <w:snapToGrid w:val="0"/>
                    <w:jc w:val="center"/>
                    <w:rPr>
                      <w:rFonts w:hint="eastAsia"/>
                      <w:color w:val="auto"/>
                      <w:szCs w:val="21"/>
                    </w:rPr>
                  </w:pPr>
                </w:p>
              </w:tc>
            </w:tr>
            <w:tr w14:paraId="7908E7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2" w:hRule="atLeast"/>
              </w:trPr>
              <w:tc>
                <w:tcPr>
                  <w:tcW w:w="716" w:type="dxa"/>
                  <w:vAlign w:val="center"/>
                </w:tcPr>
                <w:p w14:paraId="7B31C6F2">
                  <w:pPr>
                    <w:widowControl/>
                    <w:jc w:val="center"/>
                    <w:textAlignment w:val="center"/>
                    <w:rPr>
                      <w:color w:val="auto"/>
                      <w:szCs w:val="21"/>
                    </w:rPr>
                  </w:pPr>
                  <w:r>
                    <w:rPr>
                      <w:rFonts w:hint="eastAsia"/>
                      <w:color w:val="auto"/>
                      <w:szCs w:val="21"/>
                    </w:rPr>
                    <w:t>22</w:t>
                  </w:r>
                </w:p>
              </w:tc>
              <w:tc>
                <w:tcPr>
                  <w:tcW w:w="950" w:type="dxa"/>
                  <w:vMerge w:val="continue"/>
                  <w:vAlign w:val="center"/>
                </w:tcPr>
                <w:p w14:paraId="2F7DF9BE">
                  <w:pPr>
                    <w:widowControl/>
                    <w:jc w:val="center"/>
                    <w:textAlignment w:val="center"/>
                    <w:rPr>
                      <w:color w:val="auto"/>
                      <w:szCs w:val="21"/>
                    </w:rPr>
                  </w:pPr>
                </w:p>
              </w:tc>
              <w:tc>
                <w:tcPr>
                  <w:tcW w:w="2313" w:type="dxa"/>
                  <w:vAlign w:val="center"/>
                </w:tcPr>
                <w:p w14:paraId="0AA03FEF">
                  <w:pPr>
                    <w:autoSpaceDE w:val="0"/>
                    <w:autoSpaceDN w:val="0"/>
                    <w:adjustRightInd w:val="0"/>
                    <w:snapToGrid w:val="0"/>
                    <w:jc w:val="center"/>
                    <w:rPr>
                      <w:color w:val="auto"/>
                      <w:kern w:val="0"/>
                      <w:szCs w:val="21"/>
                    </w:rPr>
                  </w:pPr>
                  <w:r>
                    <w:rPr>
                      <w:rFonts w:hint="eastAsia"/>
                      <w:color w:val="auto"/>
                      <w:kern w:val="0"/>
                      <w:szCs w:val="21"/>
                    </w:rPr>
                    <w:t>排钻</w:t>
                  </w:r>
                </w:p>
              </w:tc>
              <w:tc>
                <w:tcPr>
                  <w:tcW w:w="2258" w:type="dxa"/>
                  <w:vAlign w:val="center"/>
                </w:tcPr>
                <w:p w14:paraId="6E2C0331">
                  <w:pPr>
                    <w:autoSpaceDE w:val="0"/>
                    <w:autoSpaceDN w:val="0"/>
                    <w:adjustRightInd w:val="0"/>
                    <w:snapToGrid w:val="0"/>
                    <w:jc w:val="center"/>
                    <w:rPr>
                      <w:color w:val="auto"/>
                      <w:szCs w:val="21"/>
                    </w:rPr>
                  </w:pPr>
                  <w:r>
                    <w:rPr>
                      <w:rFonts w:hint="eastAsia"/>
                      <w:color w:val="auto"/>
                      <w:szCs w:val="21"/>
                    </w:rPr>
                    <w:t>/</w:t>
                  </w:r>
                </w:p>
              </w:tc>
              <w:tc>
                <w:tcPr>
                  <w:tcW w:w="1182" w:type="dxa"/>
                  <w:vAlign w:val="top"/>
                </w:tcPr>
                <w:p w14:paraId="41C58362">
                  <w:pPr>
                    <w:autoSpaceDE w:val="0"/>
                    <w:autoSpaceDN w:val="0"/>
                    <w:adjustRightInd w:val="0"/>
                    <w:snapToGrid w:val="0"/>
                    <w:jc w:val="center"/>
                    <w:rPr>
                      <w:color w:val="auto"/>
                      <w:szCs w:val="21"/>
                    </w:rPr>
                  </w:pPr>
                  <w:r>
                    <w:rPr>
                      <w:rFonts w:hint="eastAsia"/>
                      <w:color w:val="auto"/>
                      <w:szCs w:val="21"/>
                    </w:rPr>
                    <w:t>1</w:t>
                  </w:r>
                </w:p>
              </w:tc>
              <w:tc>
                <w:tcPr>
                  <w:tcW w:w="1182" w:type="dxa"/>
                  <w:vMerge w:val="continue"/>
                  <w:vAlign w:val="top"/>
                </w:tcPr>
                <w:p w14:paraId="4AE03622">
                  <w:pPr>
                    <w:autoSpaceDE w:val="0"/>
                    <w:autoSpaceDN w:val="0"/>
                    <w:adjustRightInd w:val="0"/>
                    <w:snapToGrid w:val="0"/>
                    <w:jc w:val="center"/>
                    <w:rPr>
                      <w:rFonts w:hint="eastAsia"/>
                      <w:color w:val="auto"/>
                      <w:szCs w:val="21"/>
                    </w:rPr>
                  </w:pPr>
                </w:p>
              </w:tc>
            </w:tr>
            <w:tr w14:paraId="1F2CFD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0" w:hRule="atLeast"/>
              </w:trPr>
              <w:tc>
                <w:tcPr>
                  <w:tcW w:w="716" w:type="dxa"/>
                  <w:vAlign w:val="center"/>
                </w:tcPr>
                <w:p w14:paraId="4CB2A5AB">
                  <w:pPr>
                    <w:widowControl/>
                    <w:jc w:val="center"/>
                    <w:textAlignment w:val="center"/>
                    <w:rPr>
                      <w:color w:val="auto"/>
                      <w:kern w:val="0"/>
                      <w:szCs w:val="21"/>
                      <w:lang w:bidi="ar"/>
                    </w:rPr>
                  </w:pPr>
                  <w:r>
                    <w:rPr>
                      <w:rFonts w:hint="eastAsia"/>
                      <w:color w:val="auto"/>
                      <w:kern w:val="0"/>
                      <w:szCs w:val="21"/>
                      <w:lang w:bidi="ar"/>
                    </w:rPr>
                    <w:t>23</w:t>
                  </w:r>
                </w:p>
              </w:tc>
              <w:tc>
                <w:tcPr>
                  <w:tcW w:w="950" w:type="dxa"/>
                  <w:vMerge w:val="continue"/>
                  <w:vAlign w:val="center"/>
                </w:tcPr>
                <w:p w14:paraId="4D6FC6BD">
                  <w:pPr>
                    <w:widowControl/>
                    <w:jc w:val="center"/>
                    <w:textAlignment w:val="center"/>
                    <w:rPr>
                      <w:color w:val="auto"/>
                      <w:kern w:val="0"/>
                      <w:szCs w:val="21"/>
                      <w:lang w:bidi="ar"/>
                    </w:rPr>
                  </w:pPr>
                </w:p>
              </w:tc>
              <w:tc>
                <w:tcPr>
                  <w:tcW w:w="2313" w:type="dxa"/>
                  <w:vAlign w:val="center"/>
                </w:tcPr>
                <w:p w14:paraId="11D3BD03">
                  <w:pPr>
                    <w:autoSpaceDE w:val="0"/>
                    <w:autoSpaceDN w:val="0"/>
                    <w:adjustRightInd w:val="0"/>
                    <w:snapToGrid w:val="0"/>
                    <w:jc w:val="center"/>
                    <w:rPr>
                      <w:color w:val="auto"/>
                      <w:kern w:val="0"/>
                      <w:szCs w:val="21"/>
                    </w:rPr>
                  </w:pPr>
                  <w:r>
                    <w:rPr>
                      <w:rFonts w:hint="eastAsia"/>
                      <w:color w:val="auto"/>
                      <w:kern w:val="0"/>
                      <w:szCs w:val="21"/>
                    </w:rPr>
                    <w:t>平刨</w:t>
                  </w:r>
                </w:p>
              </w:tc>
              <w:tc>
                <w:tcPr>
                  <w:tcW w:w="2258" w:type="dxa"/>
                  <w:vAlign w:val="center"/>
                </w:tcPr>
                <w:p w14:paraId="0DC8FDAB">
                  <w:pPr>
                    <w:autoSpaceDE w:val="0"/>
                    <w:autoSpaceDN w:val="0"/>
                    <w:adjustRightInd w:val="0"/>
                    <w:snapToGrid w:val="0"/>
                    <w:jc w:val="center"/>
                    <w:rPr>
                      <w:color w:val="auto"/>
                      <w:szCs w:val="21"/>
                    </w:rPr>
                  </w:pPr>
                  <w:r>
                    <w:rPr>
                      <w:rFonts w:hint="eastAsia"/>
                      <w:color w:val="auto"/>
                      <w:szCs w:val="21"/>
                    </w:rPr>
                    <w:t>/</w:t>
                  </w:r>
                </w:p>
              </w:tc>
              <w:tc>
                <w:tcPr>
                  <w:tcW w:w="1182" w:type="dxa"/>
                  <w:vAlign w:val="top"/>
                </w:tcPr>
                <w:p w14:paraId="4FD7139F">
                  <w:pPr>
                    <w:autoSpaceDE w:val="0"/>
                    <w:autoSpaceDN w:val="0"/>
                    <w:adjustRightInd w:val="0"/>
                    <w:snapToGrid w:val="0"/>
                    <w:jc w:val="center"/>
                    <w:rPr>
                      <w:rFonts w:hint="eastAsia"/>
                      <w:color w:val="auto"/>
                      <w:szCs w:val="21"/>
                    </w:rPr>
                  </w:pPr>
                  <w:r>
                    <w:rPr>
                      <w:rFonts w:hint="eastAsia"/>
                      <w:color w:val="auto"/>
                      <w:szCs w:val="21"/>
                    </w:rPr>
                    <w:t>1</w:t>
                  </w:r>
                </w:p>
              </w:tc>
              <w:tc>
                <w:tcPr>
                  <w:tcW w:w="1182" w:type="dxa"/>
                  <w:vMerge w:val="continue"/>
                  <w:vAlign w:val="top"/>
                </w:tcPr>
                <w:p w14:paraId="15393C25">
                  <w:pPr>
                    <w:autoSpaceDE w:val="0"/>
                    <w:autoSpaceDN w:val="0"/>
                    <w:adjustRightInd w:val="0"/>
                    <w:snapToGrid w:val="0"/>
                    <w:jc w:val="center"/>
                    <w:rPr>
                      <w:rFonts w:hint="eastAsia"/>
                      <w:color w:val="auto"/>
                      <w:szCs w:val="21"/>
                    </w:rPr>
                  </w:pPr>
                </w:p>
              </w:tc>
            </w:tr>
            <w:tr w14:paraId="622C5A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3" w:hRule="atLeast"/>
              </w:trPr>
              <w:tc>
                <w:tcPr>
                  <w:tcW w:w="716" w:type="dxa"/>
                  <w:vAlign w:val="center"/>
                </w:tcPr>
                <w:p w14:paraId="179D4BAD">
                  <w:pPr>
                    <w:widowControl/>
                    <w:jc w:val="center"/>
                    <w:textAlignment w:val="center"/>
                    <w:rPr>
                      <w:color w:val="auto"/>
                      <w:kern w:val="0"/>
                      <w:szCs w:val="21"/>
                      <w:lang w:bidi="ar"/>
                    </w:rPr>
                  </w:pPr>
                  <w:r>
                    <w:rPr>
                      <w:rFonts w:hint="eastAsia"/>
                      <w:color w:val="auto"/>
                      <w:kern w:val="0"/>
                      <w:szCs w:val="21"/>
                      <w:lang w:bidi="ar"/>
                    </w:rPr>
                    <w:t>24</w:t>
                  </w:r>
                </w:p>
              </w:tc>
              <w:tc>
                <w:tcPr>
                  <w:tcW w:w="950" w:type="dxa"/>
                  <w:vMerge w:val="continue"/>
                  <w:vAlign w:val="center"/>
                </w:tcPr>
                <w:p w14:paraId="4A0480BA">
                  <w:pPr>
                    <w:widowControl/>
                    <w:jc w:val="center"/>
                    <w:textAlignment w:val="center"/>
                    <w:rPr>
                      <w:color w:val="auto"/>
                      <w:kern w:val="0"/>
                      <w:szCs w:val="21"/>
                      <w:lang w:bidi="ar"/>
                    </w:rPr>
                  </w:pPr>
                </w:p>
              </w:tc>
              <w:tc>
                <w:tcPr>
                  <w:tcW w:w="2313" w:type="dxa"/>
                  <w:vAlign w:val="center"/>
                </w:tcPr>
                <w:p w14:paraId="09ADEE2A">
                  <w:pPr>
                    <w:autoSpaceDE w:val="0"/>
                    <w:autoSpaceDN w:val="0"/>
                    <w:adjustRightInd w:val="0"/>
                    <w:snapToGrid w:val="0"/>
                    <w:jc w:val="center"/>
                    <w:rPr>
                      <w:color w:val="auto"/>
                      <w:kern w:val="0"/>
                      <w:szCs w:val="21"/>
                    </w:rPr>
                  </w:pPr>
                  <w:r>
                    <w:rPr>
                      <w:rFonts w:hint="eastAsia"/>
                      <w:color w:val="auto"/>
                      <w:kern w:val="0"/>
                      <w:szCs w:val="21"/>
                    </w:rPr>
                    <w:t>立锯</w:t>
                  </w:r>
                </w:p>
              </w:tc>
              <w:tc>
                <w:tcPr>
                  <w:tcW w:w="2258" w:type="dxa"/>
                  <w:vAlign w:val="center"/>
                </w:tcPr>
                <w:p w14:paraId="0E8837F8">
                  <w:pPr>
                    <w:autoSpaceDE w:val="0"/>
                    <w:autoSpaceDN w:val="0"/>
                    <w:adjustRightInd w:val="0"/>
                    <w:snapToGrid w:val="0"/>
                    <w:jc w:val="center"/>
                    <w:rPr>
                      <w:color w:val="auto"/>
                      <w:szCs w:val="21"/>
                    </w:rPr>
                  </w:pPr>
                  <w:r>
                    <w:rPr>
                      <w:rFonts w:hint="eastAsia"/>
                      <w:color w:val="auto"/>
                      <w:szCs w:val="21"/>
                    </w:rPr>
                    <w:t>/</w:t>
                  </w:r>
                </w:p>
              </w:tc>
              <w:tc>
                <w:tcPr>
                  <w:tcW w:w="1182" w:type="dxa"/>
                  <w:vAlign w:val="top"/>
                </w:tcPr>
                <w:p w14:paraId="2E2DC93F">
                  <w:pPr>
                    <w:autoSpaceDE w:val="0"/>
                    <w:autoSpaceDN w:val="0"/>
                    <w:adjustRightInd w:val="0"/>
                    <w:snapToGrid w:val="0"/>
                    <w:jc w:val="center"/>
                    <w:rPr>
                      <w:rFonts w:hint="eastAsia"/>
                      <w:color w:val="auto"/>
                      <w:szCs w:val="21"/>
                    </w:rPr>
                  </w:pPr>
                  <w:r>
                    <w:rPr>
                      <w:rFonts w:hint="eastAsia"/>
                      <w:color w:val="auto"/>
                      <w:szCs w:val="21"/>
                    </w:rPr>
                    <w:t>1</w:t>
                  </w:r>
                </w:p>
              </w:tc>
              <w:tc>
                <w:tcPr>
                  <w:tcW w:w="1182" w:type="dxa"/>
                  <w:vMerge w:val="continue"/>
                  <w:vAlign w:val="top"/>
                </w:tcPr>
                <w:p w14:paraId="11F713F3">
                  <w:pPr>
                    <w:autoSpaceDE w:val="0"/>
                    <w:autoSpaceDN w:val="0"/>
                    <w:adjustRightInd w:val="0"/>
                    <w:snapToGrid w:val="0"/>
                    <w:jc w:val="center"/>
                    <w:rPr>
                      <w:rFonts w:hint="eastAsia"/>
                      <w:color w:val="auto"/>
                      <w:szCs w:val="21"/>
                    </w:rPr>
                  </w:pPr>
                </w:p>
              </w:tc>
            </w:tr>
            <w:tr w14:paraId="1418A6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716" w:type="dxa"/>
                  <w:vAlign w:val="center"/>
                </w:tcPr>
                <w:p w14:paraId="43E3ED18">
                  <w:pPr>
                    <w:widowControl/>
                    <w:jc w:val="center"/>
                    <w:textAlignment w:val="center"/>
                    <w:rPr>
                      <w:color w:val="auto"/>
                      <w:kern w:val="0"/>
                      <w:szCs w:val="21"/>
                      <w:lang w:bidi="ar"/>
                    </w:rPr>
                  </w:pPr>
                  <w:r>
                    <w:rPr>
                      <w:rFonts w:hint="eastAsia"/>
                      <w:color w:val="auto"/>
                      <w:kern w:val="0"/>
                      <w:szCs w:val="21"/>
                      <w:lang w:bidi="ar"/>
                    </w:rPr>
                    <w:t>25</w:t>
                  </w:r>
                </w:p>
              </w:tc>
              <w:tc>
                <w:tcPr>
                  <w:tcW w:w="950" w:type="dxa"/>
                  <w:vMerge w:val="continue"/>
                  <w:vAlign w:val="center"/>
                </w:tcPr>
                <w:p w14:paraId="5D977DD2">
                  <w:pPr>
                    <w:widowControl/>
                    <w:jc w:val="center"/>
                    <w:textAlignment w:val="center"/>
                    <w:rPr>
                      <w:color w:val="auto"/>
                      <w:kern w:val="0"/>
                      <w:szCs w:val="21"/>
                      <w:lang w:bidi="ar"/>
                    </w:rPr>
                  </w:pPr>
                </w:p>
              </w:tc>
              <w:tc>
                <w:tcPr>
                  <w:tcW w:w="2313" w:type="dxa"/>
                  <w:vAlign w:val="center"/>
                </w:tcPr>
                <w:p w14:paraId="445ECBAD">
                  <w:pPr>
                    <w:autoSpaceDE w:val="0"/>
                    <w:autoSpaceDN w:val="0"/>
                    <w:adjustRightInd w:val="0"/>
                    <w:snapToGrid w:val="0"/>
                    <w:jc w:val="center"/>
                    <w:rPr>
                      <w:color w:val="auto"/>
                      <w:kern w:val="0"/>
                      <w:szCs w:val="21"/>
                    </w:rPr>
                  </w:pPr>
                  <w:r>
                    <w:rPr>
                      <w:rFonts w:hint="eastAsia"/>
                      <w:color w:val="auto"/>
                      <w:kern w:val="0"/>
                      <w:szCs w:val="21"/>
                    </w:rPr>
                    <w:t>切角锯</w:t>
                  </w:r>
                </w:p>
              </w:tc>
              <w:tc>
                <w:tcPr>
                  <w:tcW w:w="2258" w:type="dxa"/>
                  <w:vAlign w:val="center"/>
                </w:tcPr>
                <w:p w14:paraId="6440B85A">
                  <w:pPr>
                    <w:autoSpaceDE w:val="0"/>
                    <w:autoSpaceDN w:val="0"/>
                    <w:adjustRightInd w:val="0"/>
                    <w:snapToGrid w:val="0"/>
                    <w:jc w:val="center"/>
                    <w:rPr>
                      <w:color w:val="auto"/>
                      <w:szCs w:val="21"/>
                    </w:rPr>
                  </w:pPr>
                  <w:r>
                    <w:rPr>
                      <w:rFonts w:hint="eastAsia"/>
                      <w:color w:val="auto"/>
                      <w:szCs w:val="21"/>
                    </w:rPr>
                    <w:t>/</w:t>
                  </w:r>
                </w:p>
              </w:tc>
              <w:tc>
                <w:tcPr>
                  <w:tcW w:w="1182" w:type="dxa"/>
                  <w:vAlign w:val="top"/>
                </w:tcPr>
                <w:p w14:paraId="5CBDE9A0">
                  <w:pPr>
                    <w:autoSpaceDE w:val="0"/>
                    <w:autoSpaceDN w:val="0"/>
                    <w:adjustRightInd w:val="0"/>
                    <w:snapToGrid w:val="0"/>
                    <w:jc w:val="center"/>
                    <w:rPr>
                      <w:color w:val="auto"/>
                      <w:szCs w:val="21"/>
                    </w:rPr>
                  </w:pPr>
                  <w:r>
                    <w:rPr>
                      <w:rFonts w:hint="eastAsia"/>
                      <w:color w:val="auto"/>
                      <w:szCs w:val="21"/>
                    </w:rPr>
                    <w:t>1</w:t>
                  </w:r>
                </w:p>
              </w:tc>
              <w:tc>
                <w:tcPr>
                  <w:tcW w:w="1182" w:type="dxa"/>
                  <w:vMerge w:val="continue"/>
                  <w:vAlign w:val="top"/>
                </w:tcPr>
                <w:p w14:paraId="4CF796F8">
                  <w:pPr>
                    <w:autoSpaceDE w:val="0"/>
                    <w:autoSpaceDN w:val="0"/>
                    <w:adjustRightInd w:val="0"/>
                    <w:snapToGrid w:val="0"/>
                    <w:jc w:val="center"/>
                    <w:rPr>
                      <w:rFonts w:hint="eastAsia"/>
                      <w:color w:val="auto"/>
                      <w:szCs w:val="21"/>
                    </w:rPr>
                  </w:pPr>
                </w:p>
              </w:tc>
            </w:tr>
            <w:tr w14:paraId="41AA3B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716" w:type="dxa"/>
                  <w:vAlign w:val="center"/>
                </w:tcPr>
                <w:p w14:paraId="253A05D9">
                  <w:pPr>
                    <w:widowControl/>
                    <w:jc w:val="center"/>
                    <w:textAlignment w:val="center"/>
                    <w:rPr>
                      <w:color w:val="auto"/>
                      <w:szCs w:val="21"/>
                    </w:rPr>
                  </w:pPr>
                  <w:r>
                    <w:rPr>
                      <w:rFonts w:hint="eastAsia"/>
                      <w:color w:val="auto"/>
                      <w:szCs w:val="21"/>
                    </w:rPr>
                    <w:t>26</w:t>
                  </w:r>
                </w:p>
              </w:tc>
              <w:tc>
                <w:tcPr>
                  <w:tcW w:w="950" w:type="dxa"/>
                  <w:vMerge w:val="continue"/>
                  <w:vAlign w:val="center"/>
                </w:tcPr>
                <w:p w14:paraId="3B4E63FB">
                  <w:pPr>
                    <w:widowControl/>
                    <w:jc w:val="center"/>
                    <w:textAlignment w:val="center"/>
                    <w:rPr>
                      <w:color w:val="auto"/>
                      <w:szCs w:val="21"/>
                    </w:rPr>
                  </w:pPr>
                </w:p>
              </w:tc>
              <w:tc>
                <w:tcPr>
                  <w:tcW w:w="2313" w:type="dxa"/>
                  <w:vAlign w:val="center"/>
                </w:tcPr>
                <w:p w14:paraId="3D2A06F6">
                  <w:pPr>
                    <w:autoSpaceDE w:val="0"/>
                    <w:autoSpaceDN w:val="0"/>
                    <w:adjustRightInd w:val="0"/>
                    <w:snapToGrid w:val="0"/>
                    <w:jc w:val="center"/>
                    <w:rPr>
                      <w:color w:val="auto"/>
                      <w:kern w:val="0"/>
                      <w:szCs w:val="21"/>
                    </w:rPr>
                  </w:pPr>
                  <w:r>
                    <w:rPr>
                      <w:rFonts w:hint="eastAsia"/>
                      <w:color w:val="auto"/>
                      <w:kern w:val="0"/>
                      <w:szCs w:val="21"/>
                    </w:rPr>
                    <w:t>精密锯</w:t>
                  </w:r>
                </w:p>
              </w:tc>
              <w:tc>
                <w:tcPr>
                  <w:tcW w:w="2258" w:type="dxa"/>
                  <w:vAlign w:val="center"/>
                </w:tcPr>
                <w:p w14:paraId="691F21DF">
                  <w:pPr>
                    <w:autoSpaceDE w:val="0"/>
                    <w:autoSpaceDN w:val="0"/>
                    <w:adjustRightInd w:val="0"/>
                    <w:snapToGrid w:val="0"/>
                    <w:jc w:val="center"/>
                    <w:rPr>
                      <w:color w:val="auto"/>
                      <w:szCs w:val="21"/>
                    </w:rPr>
                  </w:pPr>
                  <w:r>
                    <w:rPr>
                      <w:rFonts w:hint="eastAsia"/>
                      <w:color w:val="auto"/>
                      <w:szCs w:val="21"/>
                    </w:rPr>
                    <w:t>/</w:t>
                  </w:r>
                </w:p>
              </w:tc>
              <w:tc>
                <w:tcPr>
                  <w:tcW w:w="1182" w:type="dxa"/>
                  <w:vAlign w:val="top"/>
                </w:tcPr>
                <w:p w14:paraId="028AC137">
                  <w:pPr>
                    <w:autoSpaceDE w:val="0"/>
                    <w:autoSpaceDN w:val="0"/>
                    <w:adjustRightInd w:val="0"/>
                    <w:snapToGrid w:val="0"/>
                    <w:jc w:val="center"/>
                    <w:rPr>
                      <w:color w:val="auto"/>
                      <w:szCs w:val="21"/>
                    </w:rPr>
                  </w:pPr>
                  <w:r>
                    <w:rPr>
                      <w:rFonts w:hint="eastAsia"/>
                      <w:color w:val="auto"/>
                      <w:szCs w:val="21"/>
                    </w:rPr>
                    <w:t>1</w:t>
                  </w:r>
                </w:p>
              </w:tc>
              <w:tc>
                <w:tcPr>
                  <w:tcW w:w="1182" w:type="dxa"/>
                  <w:vMerge w:val="continue"/>
                  <w:vAlign w:val="top"/>
                </w:tcPr>
                <w:p w14:paraId="72DE37E2">
                  <w:pPr>
                    <w:autoSpaceDE w:val="0"/>
                    <w:autoSpaceDN w:val="0"/>
                    <w:adjustRightInd w:val="0"/>
                    <w:snapToGrid w:val="0"/>
                    <w:jc w:val="center"/>
                    <w:rPr>
                      <w:rFonts w:hint="eastAsia"/>
                      <w:color w:val="auto"/>
                      <w:szCs w:val="21"/>
                    </w:rPr>
                  </w:pPr>
                </w:p>
              </w:tc>
            </w:tr>
            <w:tr w14:paraId="474FCB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3" w:hRule="atLeast"/>
              </w:trPr>
              <w:tc>
                <w:tcPr>
                  <w:tcW w:w="716" w:type="dxa"/>
                  <w:vAlign w:val="center"/>
                </w:tcPr>
                <w:p w14:paraId="00E0EA38">
                  <w:pPr>
                    <w:widowControl/>
                    <w:jc w:val="center"/>
                    <w:textAlignment w:val="center"/>
                    <w:rPr>
                      <w:rFonts w:hint="eastAsia"/>
                      <w:color w:val="auto"/>
                      <w:kern w:val="2"/>
                      <w:sz w:val="21"/>
                      <w:szCs w:val="21"/>
                      <w:lang w:val="en-US" w:eastAsia="zh-CN" w:bidi="ar-SA"/>
                    </w:rPr>
                  </w:pPr>
                  <w:r>
                    <w:rPr>
                      <w:rFonts w:hint="eastAsia"/>
                      <w:color w:val="auto"/>
                      <w:szCs w:val="21"/>
                    </w:rPr>
                    <w:t>27</w:t>
                  </w:r>
                </w:p>
              </w:tc>
              <w:tc>
                <w:tcPr>
                  <w:tcW w:w="950" w:type="dxa"/>
                  <w:vMerge w:val="continue"/>
                  <w:vAlign w:val="center"/>
                </w:tcPr>
                <w:p w14:paraId="27AE7AF0">
                  <w:pPr>
                    <w:widowControl/>
                    <w:jc w:val="center"/>
                    <w:textAlignment w:val="center"/>
                    <w:rPr>
                      <w:color w:val="auto"/>
                      <w:szCs w:val="21"/>
                    </w:rPr>
                  </w:pPr>
                </w:p>
              </w:tc>
              <w:tc>
                <w:tcPr>
                  <w:tcW w:w="2313" w:type="dxa"/>
                  <w:vAlign w:val="center"/>
                </w:tcPr>
                <w:p w14:paraId="0AA4E67C">
                  <w:pPr>
                    <w:autoSpaceDE w:val="0"/>
                    <w:autoSpaceDN w:val="0"/>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底漆喷漆、晾干房</w:t>
                  </w:r>
                </w:p>
              </w:tc>
              <w:tc>
                <w:tcPr>
                  <w:tcW w:w="2258" w:type="dxa"/>
                  <w:vAlign w:val="center"/>
                </w:tcPr>
                <w:p w14:paraId="1FFAD132">
                  <w:pPr>
                    <w:autoSpaceDE w:val="0"/>
                    <w:autoSpaceDN w:val="0"/>
                    <w:adjustRightInd w:val="0"/>
                    <w:snapToGrid w:val="0"/>
                    <w:jc w:val="center"/>
                    <w:rPr>
                      <w:rFonts w:hint="default" w:eastAsia="宋体"/>
                      <w:color w:val="auto"/>
                      <w:szCs w:val="21"/>
                      <w:lang w:val="en-US" w:eastAsia="zh-CN"/>
                    </w:rPr>
                  </w:pPr>
                  <w:r>
                    <w:rPr>
                      <w:rFonts w:hint="eastAsia"/>
                      <w:color w:val="auto"/>
                      <w:szCs w:val="21"/>
                      <w:lang w:val="en-US" w:eastAsia="zh-CN"/>
                    </w:rPr>
                    <w:t>150m</w:t>
                  </w:r>
                  <w:r>
                    <w:rPr>
                      <w:rFonts w:hint="eastAsia"/>
                      <w:color w:val="auto"/>
                      <w:szCs w:val="21"/>
                      <w:vertAlign w:val="superscript"/>
                      <w:lang w:val="en-US" w:eastAsia="zh-CN"/>
                    </w:rPr>
                    <w:t>2</w:t>
                  </w:r>
                </w:p>
              </w:tc>
              <w:tc>
                <w:tcPr>
                  <w:tcW w:w="1182" w:type="dxa"/>
                  <w:vAlign w:val="top"/>
                </w:tcPr>
                <w:p w14:paraId="4E4C1B4D">
                  <w:pPr>
                    <w:autoSpaceDE w:val="0"/>
                    <w:autoSpaceDN w:val="0"/>
                    <w:adjustRightInd w:val="0"/>
                    <w:snapToGrid w:val="0"/>
                    <w:jc w:val="center"/>
                    <w:rPr>
                      <w:rFonts w:hint="eastAsia" w:eastAsia="宋体"/>
                      <w:color w:val="auto"/>
                      <w:szCs w:val="21"/>
                      <w:lang w:val="en-US" w:eastAsia="zh-CN"/>
                    </w:rPr>
                  </w:pPr>
                  <w:r>
                    <w:rPr>
                      <w:rFonts w:hint="eastAsia"/>
                      <w:color w:val="auto"/>
                      <w:szCs w:val="21"/>
                      <w:lang w:val="en-US" w:eastAsia="zh-CN"/>
                    </w:rPr>
                    <w:t>1</w:t>
                  </w:r>
                </w:p>
              </w:tc>
              <w:tc>
                <w:tcPr>
                  <w:tcW w:w="1182" w:type="dxa"/>
                  <w:vMerge w:val="continue"/>
                  <w:vAlign w:val="top"/>
                </w:tcPr>
                <w:p w14:paraId="620E1170">
                  <w:pPr>
                    <w:autoSpaceDE w:val="0"/>
                    <w:autoSpaceDN w:val="0"/>
                    <w:adjustRightInd w:val="0"/>
                    <w:snapToGrid w:val="0"/>
                    <w:jc w:val="center"/>
                    <w:rPr>
                      <w:rFonts w:hint="eastAsia"/>
                      <w:color w:val="auto"/>
                      <w:szCs w:val="21"/>
                      <w:lang w:val="en-US" w:eastAsia="zh-CN"/>
                    </w:rPr>
                  </w:pPr>
                </w:p>
              </w:tc>
            </w:tr>
            <w:tr w14:paraId="669374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716" w:type="dxa"/>
                  <w:vAlign w:val="center"/>
                </w:tcPr>
                <w:p w14:paraId="520B102F">
                  <w:pPr>
                    <w:widowControl/>
                    <w:jc w:val="center"/>
                    <w:textAlignment w:val="center"/>
                    <w:rPr>
                      <w:rFonts w:hint="eastAsia"/>
                      <w:color w:val="auto"/>
                      <w:kern w:val="2"/>
                      <w:sz w:val="21"/>
                      <w:szCs w:val="21"/>
                      <w:lang w:val="en-US" w:eastAsia="zh-CN" w:bidi="ar-SA"/>
                    </w:rPr>
                  </w:pPr>
                  <w:r>
                    <w:rPr>
                      <w:rFonts w:hint="eastAsia"/>
                      <w:color w:val="auto"/>
                      <w:szCs w:val="21"/>
                    </w:rPr>
                    <w:t>28</w:t>
                  </w:r>
                </w:p>
              </w:tc>
              <w:tc>
                <w:tcPr>
                  <w:tcW w:w="950" w:type="dxa"/>
                  <w:vMerge w:val="continue"/>
                  <w:vAlign w:val="center"/>
                </w:tcPr>
                <w:p w14:paraId="4282F994">
                  <w:pPr>
                    <w:widowControl/>
                    <w:jc w:val="center"/>
                    <w:textAlignment w:val="center"/>
                    <w:rPr>
                      <w:color w:val="auto"/>
                      <w:szCs w:val="21"/>
                    </w:rPr>
                  </w:pPr>
                </w:p>
              </w:tc>
              <w:tc>
                <w:tcPr>
                  <w:tcW w:w="2313" w:type="dxa"/>
                  <w:vAlign w:val="center"/>
                </w:tcPr>
                <w:p w14:paraId="2E96AA78">
                  <w:pPr>
                    <w:autoSpaceDE w:val="0"/>
                    <w:autoSpaceDN w:val="0"/>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面漆喷漆、晾干房</w:t>
                  </w:r>
                </w:p>
              </w:tc>
              <w:tc>
                <w:tcPr>
                  <w:tcW w:w="2258" w:type="dxa"/>
                  <w:vAlign w:val="center"/>
                </w:tcPr>
                <w:p w14:paraId="236B36F0">
                  <w:pPr>
                    <w:autoSpaceDE w:val="0"/>
                    <w:autoSpaceDN w:val="0"/>
                    <w:adjustRightInd w:val="0"/>
                    <w:snapToGrid w:val="0"/>
                    <w:jc w:val="center"/>
                    <w:rPr>
                      <w:rFonts w:hint="eastAsia"/>
                      <w:color w:val="auto"/>
                      <w:szCs w:val="21"/>
                    </w:rPr>
                  </w:pPr>
                  <w:r>
                    <w:rPr>
                      <w:rFonts w:hint="eastAsia"/>
                      <w:color w:val="auto"/>
                      <w:szCs w:val="21"/>
                      <w:lang w:val="en-US" w:eastAsia="zh-CN"/>
                    </w:rPr>
                    <w:t>120m</w:t>
                  </w:r>
                  <w:r>
                    <w:rPr>
                      <w:rFonts w:hint="eastAsia"/>
                      <w:color w:val="auto"/>
                      <w:szCs w:val="21"/>
                      <w:vertAlign w:val="superscript"/>
                      <w:lang w:val="en-US" w:eastAsia="zh-CN"/>
                    </w:rPr>
                    <w:t>2</w:t>
                  </w:r>
                </w:p>
              </w:tc>
              <w:tc>
                <w:tcPr>
                  <w:tcW w:w="1182" w:type="dxa"/>
                  <w:vAlign w:val="top"/>
                </w:tcPr>
                <w:p w14:paraId="7D642C6E">
                  <w:pPr>
                    <w:autoSpaceDE w:val="0"/>
                    <w:autoSpaceDN w:val="0"/>
                    <w:adjustRightInd w:val="0"/>
                    <w:snapToGrid w:val="0"/>
                    <w:jc w:val="center"/>
                    <w:rPr>
                      <w:rFonts w:hint="eastAsia" w:eastAsia="宋体"/>
                      <w:color w:val="auto"/>
                      <w:szCs w:val="21"/>
                      <w:lang w:val="en-US" w:eastAsia="zh-CN"/>
                    </w:rPr>
                  </w:pPr>
                  <w:r>
                    <w:rPr>
                      <w:rFonts w:hint="eastAsia"/>
                      <w:color w:val="auto"/>
                      <w:szCs w:val="21"/>
                      <w:lang w:val="en-US" w:eastAsia="zh-CN"/>
                    </w:rPr>
                    <w:t>1</w:t>
                  </w:r>
                </w:p>
              </w:tc>
              <w:tc>
                <w:tcPr>
                  <w:tcW w:w="1182" w:type="dxa"/>
                  <w:vMerge w:val="continue"/>
                  <w:vAlign w:val="top"/>
                </w:tcPr>
                <w:p w14:paraId="0010726F">
                  <w:pPr>
                    <w:autoSpaceDE w:val="0"/>
                    <w:autoSpaceDN w:val="0"/>
                    <w:adjustRightInd w:val="0"/>
                    <w:snapToGrid w:val="0"/>
                    <w:jc w:val="center"/>
                    <w:rPr>
                      <w:rFonts w:hint="eastAsia"/>
                      <w:color w:val="auto"/>
                      <w:szCs w:val="21"/>
                      <w:lang w:val="en-US" w:eastAsia="zh-CN"/>
                    </w:rPr>
                  </w:pPr>
                </w:p>
              </w:tc>
            </w:tr>
            <w:tr w14:paraId="7AB460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716" w:type="dxa"/>
                  <w:vAlign w:val="center"/>
                </w:tcPr>
                <w:p w14:paraId="33E7E38A">
                  <w:pPr>
                    <w:widowControl/>
                    <w:jc w:val="center"/>
                    <w:textAlignment w:val="center"/>
                    <w:rPr>
                      <w:rFonts w:hint="eastAsia"/>
                      <w:color w:val="auto"/>
                      <w:kern w:val="2"/>
                      <w:sz w:val="21"/>
                      <w:szCs w:val="21"/>
                      <w:lang w:val="en-US" w:eastAsia="zh-CN" w:bidi="ar-SA"/>
                    </w:rPr>
                  </w:pPr>
                  <w:r>
                    <w:rPr>
                      <w:rFonts w:hint="eastAsia"/>
                      <w:color w:val="auto"/>
                      <w:szCs w:val="21"/>
                    </w:rPr>
                    <w:t>29</w:t>
                  </w:r>
                </w:p>
              </w:tc>
              <w:tc>
                <w:tcPr>
                  <w:tcW w:w="950" w:type="dxa"/>
                  <w:vMerge w:val="continue"/>
                  <w:vAlign w:val="center"/>
                </w:tcPr>
                <w:p w14:paraId="298F6AF6">
                  <w:pPr>
                    <w:widowControl/>
                    <w:jc w:val="center"/>
                    <w:textAlignment w:val="center"/>
                    <w:rPr>
                      <w:color w:val="auto"/>
                      <w:szCs w:val="21"/>
                    </w:rPr>
                  </w:pPr>
                </w:p>
              </w:tc>
              <w:tc>
                <w:tcPr>
                  <w:tcW w:w="2313" w:type="dxa"/>
                  <w:vAlign w:val="center"/>
                </w:tcPr>
                <w:p w14:paraId="42517306">
                  <w:pPr>
                    <w:autoSpaceDE w:val="0"/>
                    <w:autoSpaceDN w:val="0"/>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修色间</w:t>
                  </w:r>
                </w:p>
              </w:tc>
              <w:tc>
                <w:tcPr>
                  <w:tcW w:w="2258" w:type="dxa"/>
                  <w:vAlign w:val="center"/>
                </w:tcPr>
                <w:p w14:paraId="6FF4D210">
                  <w:pPr>
                    <w:autoSpaceDE w:val="0"/>
                    <w:autoSpaceDN w:val="0"/>
                    <w:adjustRightInd w:val="0"/>
                    <w:snapToGrid w:val="0"/>
                    <w:jc w:val="center"/>
                    <w:rPr>
                      <w:rFonts w:hint="eastAsia"/>
                      <w:color w:val="auto"/>
                      <w:szCs w:val="21"/>
                    </w:rPr>
                  </w:pPr>
                  <w:r>
                    <w:rPr>
                      <w:rFonts w:hint="eastAsia"/>
                      <w:color w:val="auto"/>
                      <w:szCs w:val="21"/>
                      <w:lang w:val="en-US" w:eastAsia="zh-CN"/>
                    </w:rPr>
                    <w:t>120m</w:t>
                  </w:r>
                  <w:r>
                    <w:rPr>
                      <w:rFonts w:hint="eastAsia"/>
                      <w:color w:val="auto"/>
                      <w:szCs w:val="21"/>
                      <w:vertAlign w:val="superscript"/>
                      <w:lang w:val="en-US" w:eastAsia="zh-CN"/>
                    </w:rPr>
                    <w:t>2</w:t>
                  </w:r>
                </w:p>
              </w:tc>
              <w:tc>
                <w:tcPr>
                  <w:tcW w:w="1182" w:type="dxa"/>
                  <w:vAlign w:val="top"/>
                </w:tcPr>
                <w:p w14:paraId="78685B1B">
                  <w:pPr>
                    <w:autoSpaceDE w:val="0"/>
                    <w:autoSpaceDN w:val="0"/>
                    <w:adjustRightInd w:val="0"/>
                    <w:snapToGrid w:val="0"/>
                    <w:jc w:val="center"/>
                    <w:rPr>
                      <w:rFonts w:hint="eastAsia" w:eastAsia="宋体"/>
                      <w:color w:val="auto"/>
                      <w:szCs w:val="21"/>
                      <w:lang w:val="en-US" w:eastAsia="zh-CN"/>
                    </w:rPr>
                  </w:pPr>
                  <w:r>
                    <w:rPr>
                      <w:rFonts w:hint="eastAsia"/>
                      <w:color w:val="auto"/>
                      <w:szCs w:val="21"/>
                      <w:lang w:val="en-US" w:eastAsia="zh-CN"/>
                    </w:rPr>
                    <w:t>1</w:t>
                  </w:r>
                </w:p>
              </w:tc>
              <w:tc>
                <w:tcPr>
                  <w:tcW w:w="1182" w:type="dxa"/>
                  <w:vMerge w:val="continue"/>
                  <w:vAlign w:val="top"/>
                </w:tcPr>
                <w:p w14:paraId="3952E4D5">
                  <w:pPr>
                    <w:autoSpaceDE w:val="0"/>
                    <w:autoSpaceDN w:val="0"/>
                    <w:adjustRightInd w:val="0"/>
                    <w:snapToGrid w:val="0"/>
                    <w:jc w:val="center"/>
                    <w:rPr>
                      <w:rFonts w:hint="eastAsia"/>
                      <w:color w:val="auto"/>
                      <w:szCs w:val="21"/>
                      <w:lang w:val="en-US" w:eastAsia="zh-CN"/>
                    </w:rPr>
                  </w:pPr>
                </w:p>
              </w:tc>
            </w:tr>
            <w:tr w14:paraId="03DFE5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716" w:type="dxa"/>
                  <w:vAlign w:val="center"/>
                </w:tcPr>
                <w:p w14:paraId="1AC15713">
                  <w:pPr>
                    <w:widowControl/>
                    <w:jc w:val="center"/>
                    <w:textAlignment w:val="center"/>
                    <w:rPr>
                      <w:rFonts w:hint="default" w:eastAsia="宋体"/>
                      <w:color w:val="auto"/>
                      <w:szCs w:val="21"/>
                      <w:lang w:val="en-US" w:eastAsia="zh-CN"/>
                    </w:rPr>
                  </w:pPr>
                  <w:r>
                    <w:rPr>
                      <w:rFonts w:hint="eastAsia"/>
                      <w:color w:val="auto"/>
                      <w:szCs w:val="21"/>
                      <w:lang w:val="en-US" w:eastAsia="zh-CN"/>
                    </w:rPr>
                    <w:t>30</w:t>
                  </w:r>
                </w:p>
              </w:tc>
              <w:tc>
                <w:tcPr>
                  <w:tcW w:w="950" w:type="dxa"/>
                  <w:vMerge w:val="continue"/>
                  <w:vAlign w:val="center"/>
                </w:tcPr>
                <w:p w14:paraId="48894750">
                  <w:pPr>
                    <w:widowControl/>
                    <w:jc w:val="center"/>
                    <w:textAlignment w:val="center"/>
                    <w:rPr>
                      <w:color w:val="auto"/>
                      <w:szCs w:val="21"/>
                    </w:rPr>
                  </w:pPr>
                </w:p>
              </w:tc>
              <w:tc>
                <w:tcPr>
                  <w:tcW w:w="2313" w:type="dxa"/>
                  <w:vAlign w:val="center"/>
                </w:tcPr>
                <w:p w14:paraId="686FF75D">
                  <w:pPr>
                    <w:autoSpaceDE w:val="0"/>
                    <w:autoSpaceDN w:val="0"/>
                    <w:adjustRightInd w:val="0"/>
                    <w:snapToGrid w:val="0"/>
                    <w:jc w:val="center"/>
                    <w:rPr>
                      <w:rFonts w:hint="default"/>
                      <w:color w:val="auto"/>
                      <w:kern w:val="0"/>
                      <w:szCs w:val="21"/>
                      <w:lang w:val="en-US" w:eastAsia="zh-CN"/>
                    </w:rPr>
                  </w:pPr>
                  <w:r>
                    <w:rPr>
                      <w:rFonts w:hint="eastAsia"/>
                      <w:color w:val="auto"/>
                      <w:kern w:val="0"/>
                      <w:szCs w:val="21"/>
                      <w:lang w:val="en-US" w:eastAsia="zh-CN"/>
                    </w:rPr>
                    <w:t>饮水机</w:t>
                  </w:r>
                </w:p>
              </w:tc>
              <w:tc>
                <w:tcPr>
                  <w:tcW w:w="2258" w:type="dxa"/>
                  <w:vAlign w:val="center"/>
                </w:tcPr>
                <w:p w14:paraId="69793C44">
                  <w:pPr>
                    <w:autoSpaceDE w:val="0"/>
                    <w:autoSpaceDN w:val="0"/>
                    <w:adjustRightInd w:val="0"/>
                    <w:snapToGrid w:val="0"/>
                    <w:jc w:val="center"/>
                    <w:rPr>
                      <w:rFonts w:hint="default"/>
                      <w:color w:val="auto"/>
                      <w:szCs w:val="21"/>
                      <w:lang w:val="en-US" w:eastAsia="zh-CN"/>
                    </w:rPr>
                  </w:pPr>
                  <w:r>
                    <w:rPr>
                      <w:rFonts w:hint="eastAsia"/>
                      <w:color w:val="auto"/>
                      <w:szCs w:val="21"/>
                      <w:lang w:val="en-US" w:eastAsia="zh-CN"/>
                    </w:rPr>
                    <w:t>/</w:t>
                  </w:r>
                </w:p>
              </w:tc>
              <w:tc>
                <w:tcPr>
                  <w:tcW w:w="1182" w:type="dxa"/>
                  <w:vAlign w:val="top"/>
                </w:tcPr>
                <w:p w14:paraId="3A7C9F7D">
                  <w:pPr>
                    <w:autoSpaceDE w:val="0"/>
                    <w:autoSpaceDN w:val="0"/>
                    <w:adjustRightInd w:val="0"/>
                    <w:snapToGrid w:val="0"/>
                    <w:jc w:val="center"/>
                    <w:rPr>
                      <w:rFonts w:hint="default"/>
                      <w:color w:val="auto"/>
                      <w:szCs w:val="21"/>
                      <w:lang w:val="en-US" w:eastAsia="zh-CN"/>
                    </w:rPr>
                  </w:pPr>
                  <w:r>
                    <w:rPr>
                      <w:rFonts w:hint="eastAsia"/>
                      <w:color w:val="auto"/>
                      <w:szCs w:val="21"/>
                      <w:lang w:val="en-US" w:eastAsia="zh-CN"/>
                    </w:rPr>
                    <w:t>1</w:t>
                  </w:r>
                </w:p>
              </w:tc>
              <w:tc>
                <w:tcPr>
                  <w:tcW w:w="1182" w:type="dxa"/>
                  <w:vMerge w:val="continue"/>
                  <w:vAlign w:val="top"/>
                </w:tcPr>
                <w:p w14:paraId="5DDAECDF">
                  <w:pPr>
                    <w:autoSpaceDE w:val="0"/>
                    <w:autoSpaceDN w:val="0"/>
                    <w:adjustRightInd w:val="0"/>
                    <w:snapToGrid w:val="0"/>
                    <w:jc w:val="center"/>
                    <w:rPr>
                      <w:rFonts w:hint="eastAsia"/>
                      <w:color w:val="auto"/>
                      <w:szCs w:val="21"/>
                      <w:lang w:val="en-US" w:eastAsia="zh-CN"/>
                    </w:rPr>
                  </w:pPr>
                </w:p>
              </w:tc>
            </w:tr>
            <w:tr w14:paraId="59CF4A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3" w:hRule="atLeast"/>
              </w:trPr>
              <w:tc>
                <w:tcPr>
                  <w:tcW w:w="716" w:type="dxa"/>
                  <w:vAlign w:val="center"/>
                </w:tcPr>
                <w:p w14:paraId="001731DB">
                  <w:pPr>
                    <w:widowControl/>
                    <w:jc w:val="center"/>
                    <w:textAlignment w:val="center"/>
                    <w:rPr>
                      <w:rFonts w:hint="eastAsia" w:eastAsia="宋体"/>
                      <w:color w:val="auto"/>
                      <w:kern w:val="2"/>
                      <w:sz w:val="21"/>
                      <w:szCs w:val="21"/>
                      <w:lang w:val="en-US" w:eastAsia="zh-CN" w:bidi="ar-SA"/>
                    </w:rPr>
                  </w:pPr>
                  <w:r>
                    <w:rPr>
                      <w:rFonts w:hint="eastAsia"/>
                      <w:color w:val="auto"/>
                      <w:szCs w:val="21"/>
                    </w:rPr>
                    <w:t>3</w:t>
                  </w:r>
                  <w:r>
                    <w:rPr>
                      <w:rFonts w:hint="eastAsia"/>
                      <w:color w:val="auto"/>
                      <w:szCs w:val="21"/>
                      <w:lang w:val="en-US" w:eastAsia="zh-CN"/>
                    </w:rPr>
                    <w:t>1</w:t>
                  </w:r>
                </w:p>
              </w:tc>
              <w:tc>
                <w:tcPr>
                  <w:tcW w:w="950" w:type="dxa"/>
                  <w:vMerge w:val="restart"/>
                  <w:vAlign w:val="center"/>
                </w:tcPr>
                <w:p w14:paraId="043AA228">
                  <w:pPr>
                    <w:widowControl/>
                    <w:jc w:val="center"/>
                    <w:textAlignment w:val="center"/>
                    <w:rPr>
                      <w:rFonts w:hint="eastAsia"/>
                      <w:color w:val="auto"/>
                      <w:szCs w:val="21"/>
                    </w:rPr>
                  </w:pPr>
                  <w:r>
                    <w:rPr>
                      <w:rFonts w:hint="eastAsia"/>
                      <w:color w:val="auto"/>
                      <w:szCs w:val="21"/>
                    </w:rPr>
                    <w:t>二车间</w:t>
                  </w:r>
                </w:p>
              </w:tc>
              <w:tc>
                <w:tcPr>
                  <w:tcW w:w="2313" w:type="dxa"/>
                  <w:vAlign w:val="center"/>
                </w:tcPr>
                <w:p w14:paraId="36CCD53D">
                  <w:pPr>
                    <w:autoSpaceDE w:val="0"/>
                    <w:autoSpaceDN w:val="0"/>
                    <w:adjustRightInd w:val="0"/>
                    <w:snapToGrid w:val="0"/>
                    <w:jc w:val="center"/>
                    <w:rPr>
                      <w:color w:val="auto"/>
                      <w:szCs w:val="21"/>
                    </w:rPr>
                  </w:pPr>
                  <w:r>
                    <w:rPr>
                      <w:rFonts w:hint="eastAsia"/>
                      <w:color w:val="auto"/>
                      <w:szCs w:val="21"/>
                    </w:rPr>
                    <w:t>精密推台锯</w:t>
                  </w:r>
                </w:p>
              </w:tc>
              <w:tc>
                <w:tcPr>
                  <w:tcW w:w="2258" w:type="dxa"/>
                  <w:vAlign w:val="center"/>
                </w:tcPr>
                <w:p w14:paraId="61D85E4E">
                  <w:pPr>
                    <w:autoSpaceDE w:val="0"/>
                    <w:autoSpaceDN w:val="0"/>
                    <w:adjustRightInd w:val="0"/>
                    <w:snapToGrid w:val="0"/>
                    <w:jc w:val="center"/>
                    <w:rPr>
                      <w:color w:val="auto"/>
                      <w:kern w:val="0"/>
                      <w:szCs w:val="21"/>
                      <w:lang w:bidi="ar"/>
                    </w:rPr>
                  </w:pPr>
                  <w:r>
                    <w:rPr>
                      <w:rFonts w:hint="eastAsia"/>
                      <w:color w:val="auto"/>
                      <w:szCs w:val="21"/>
                    </w:rPr>
                    <w:t>MJ1130B</w:t>
                  </w:r>
                </w:p>
              </w:tc>
              <w:tc>
                <w:tcPr>
                  <w:tcW w:w="1182" w:type="dxa"/>
                  <w:vAlign w:val="center"/>
                </w:tcPr>
                <w:p w14:paraId="6D8866E3">
                  <w:pPr>
                    <w:autoSpaceDE w:val="0"/>
                    <w:autoSpaceDN w:val="0"/>
                    <w:adjustRightInd w:val="0"/>
                    <w:snapToGrid w:val="0"/>
                    <w:jc w:val="center"/>
                    <w:rPr>
                      <w:color w:val="auto"/>
                      <w:kern w:val="0"/>
                      <w:szCs w:val="21"/>
                      <w:lang w:bidi="ar"/>
                    </w:rPr>
                  </w:pPr>
                  <w:r>
                    <w:rPr>
                      <w:rFonts w:hint="eastAsia"/>
                      <w:color w:val="auto"/>
                      <w:szCs w:val="21"/>
                    </w:rPr>
                    <w:t>1</w:t>
                  </w:r>
                </w:p>
              </w:tc>
              <w:tc>
                <w:tcPr>
                  <w:tcW w:w="1182" w:type="dxa"/>
                  <w:vMerge w:val="continue"/>
                  <w:vAlign w:val="center"/>
                </w:tcPr>
                <w:p w14:paraId="7D9AEEC3">
                  <w:pPr>
                    <w:autoSpaceDE w:val="0"/>
                    <w:autoSpaceDN w:val="0"/>
                    <w:adjustRightInd w:val="0"/>
                    <w:snapToGrid w:val="0"/>
                    <w:jc w:val="center"/>
                    <w:rPr>
                      <w:rFonts w:hint="eastAsia"/>
                      <w:color w:val="auto"/>
                      <w:szCs w:val="21"/>
                    </w:rPr>
                  </w:pPr>
                </w:p>
              </w:tc>
            </w:tr>
            <w:tr w14:paraId="7A4014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716" w:type="dxa"/>
                  <w:vAlign w:val="center"/>
                </w:tcPr>
                <w:p w14:paraId="00EB6D89">
                  <w:pPr>
                    <w:widowControl/>
                    <w:jc w:val="center"/>
                    <w:textAlignment w:val="center"/>
                    <w:rPr>
                      <w:rFonts w:hint="eastAsia" w:eastAsia="宋体"/>
                      <w:color w:val="auto"/>
                      <w:kern w:val="2"/>
                      <w:sz w:val="21"/>
                      <w:szCs w:val="21"/>
                      <w:lang w:val="en-US" w:eastAsia="zh-CN" w:bidi="ar-SA"/>
                    </w:rPr>
                  </w:pPr>
                  <w:r>
                    <w:rPr>
                      <w:rFonts w:hint="eastAsia"/>
                      <w:color w:val="auto"/>
                      <w:szCs w:val="21"/>
                    </w:rPr>
                    <w:t>3</w:t>
                  </w:r>
                  <w:r>
                    <w:rPr>
                      <w:rFonts w:hint="eastAsia"/>
                      <w:color w:val="auto"/>
                      <w:szCs w:val="21"/>
                      <w:lang w:val="en-US" w:eastAsia="zh-CN"/>
                    </w:rPr>
                    <w:t>2</w:t>
                  </w:r>
                </w:p>
              </w:tc>
              <w:tc>
                <w:tcPr>
                  <w:tcW w:w="950" w:type="dxa"/>
                  <w:vMerge w:val="continue"/>
                  <w:vAlign w:val="center"/>
                </w:tcPr>
                <w:p w14:paraId="35EE4810">
                  <w:pPr>
                    <w:widowControl/>
                    <w:jc w:val="center"/>
                    <w:textAlignment w:val="center"/>
                    <w:rPr>
                      <w:color w:val="auto"/>
                      <w:szCs w:val="21"/>
                    </w:rPr>
                  </w:pPr>
                </w:p>
              </w:tc>
              <w:tc>
                <w:tcPr>
                  <w:tcW w:w="2313" w:type="dxa"/>
                  <w:vAlign w:val="center"/>
                </w:tcPr>
                <w:p w14:paraId="7EAA19D8">
                  <w:pPr>
                    <w:autoSpaceDE w:val="0"/>
                    <w:autoSpaceDN w:val="0"/>
                    <w:adjustRightInd w:val="0"/>
                    <w:snapToGrid w:val="0"/>
                    <w:jc w:val="center"/>
                    <w:rPr>
                      <w:color w:val="auto"/>
                      <w:szCs w:val="21"/>
                    </w:rPr>
                  </w:pPr>
                  <w:r>
                    <w:rPr>
                      <w:rFonts w:hint="eastAsia"/>
                      <w:color w:val="auto"/>
                      <w:szCs w:val="21"/>
                    </w:rPr>
                    <w:t>剪切机</w:t>
                  </w:r>
                </w:p>
              </w:tc>
              <w:tc>
                <w:tcPr>
                  <w:tcW w:w="2258" w:type="dxa"/>
                  <w:vAlign w:val="center"/>
                </w:tcPr>
                <w:p w14:paraId="7A2FF629">
                  <w:pPr>
                    <w:autoSpaceDE w:val="0"/>
                    <w:autoSpaceDN w:val="0"/>
                    <w:adjustRightInd w:val="0"/>
                    <w:snapToGrid w:val="0"/>
                    <w:jc w:val="center"/>
                    <w:rPr>
                      <w:color w:val="auto"/>
                      <w:kern w:val="0"/>
                      <w:szCs w:val="21"/>
                      <w:lang w:bidi="ar"/>
                    </w:rPr>
                  </w:pPr>
                  <w:r>
                    <w:rPr>
                      <w:rFonts w:hint="eastAsia"/>
                      <w:color w:val="auto"/>
                      <w:szCs w:val="21"/>
                    </w:rPr>
                    <w:t>MQ2026</w:t>
                  </w:r>
                </w:p>
              </w:tc>
              <w:tc>
                <w:tcPr>
                  <w:tcW w:w="1182" w:type="dxa"/>
                  <w:vAlign w:val="top"/>
                </w:tcPr>
                <w:p w14:paraId="20B4E30A">
                  <w:pPr>
                    <w:autoSpaceDE w:val="0"/>
                    <w:autoSpaceDN w:val="0"/>
                    <w:adjustRightInd w:val="0"/>
                    <w:snapToGrid w:val="0"/>
                    <w:jc w:val="center"/>
                    <w:rPr>
                      <w:color w:val="auto"/>
                      <w:kern w:val="0"/>
                      <w:szCs w:val="21"/>
                      <w:lang w:bidi="ar"/>
                    </w:rPr>
                  </w:pPr>
                  <w:r>
                    <w:rPr>
                      <w:rFonts w:hint="eastAsia"/>
                      <w:color w:val="auto"/>
                      <w:szCs w:val="21"/>
                    </w:rPr>
                    <w:t>2</w:t>
                  </w:r>
                </w:p>
              </w:tc>
              <w:tc>
                <w:tcPr>
                  <w:tcW w:w="1182" w:type="dxa"/>
                  <w:vMerge w:val="continue"/>
                  <w:vAlign w:val="top"/>
                </w:tcPr>
                <w:p w14:paraId="26926222">
                  <w:pPr>
                    <w:autoSpaceDE w:val="0"/>
                    <w:autoSpaceDN w:val="0"/>
                    <w:adjustRightInd w:val="0"/>
                    <w:snapToGrid w:val="0"/>
                    <w:jc w:val="center"/>
                    <w:rPr>
                      <w:rFonts w:hint="eastAsia"/>
                      <w:color w:val="auto"/>
                      <w:szCs w:val="21"/>
                    </w:rPr>
                  </w:pPr>
                </w:p>
              </w:tc>
            </w:tr>
            <w:tr w14:paraId="2354AA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716" w:type="dxa"/>
                  <w:vAlign w:val="center"/>
                </w:tcPr>
                <w:p w14:paraId="429F5EEC">
                  <w:pPr>
                    <w:widowControl/>
                    <w:jc w:val="center"/>
                    <w:textAlignment w:val="center"/>
                    <w:rPr>
                      <w:rFonts w:hint="eastAsia" w:eastAsia="宋体"/>
                      <w:color w:val="auto"/>
                      <w:kern w:val="2"/>
                      <w:sz w:val="21"/>
                      <w:szCs w:val="21"/>
                      <w:lang w:val="en-US" w:eastAsia="zh-CN" w:bidi="ar-SA"/>
                    </w:rPr>
                  </w:pPr>
                  <w:r>
                    <w:rPr>
                      <w:rFonts w:hint="eastAsia"/>
                      <w:color w:val="auto"/>
                      <w:szCs w:val="21"/>
                    </w:rPr>
                    <w:t>3</w:t>
                  </w:r>
                  <w:r>
                    <w:rPr>
                      <w:rFonts w:hint="eastAsia"/>
                      <w:color w:val="auto"/>
                      <w:szCs w:val="21"/>
                      <w:lang w:val="en-US" w:eastAsia="zh-CN"/>
                    </w:rPr>
                    <w:t>3</w:t>
                  </w:r>
                </w:p>
              </w:tc>
              <w:tc>
                <w:tcPr>
                  <w:tcW w:w="950" w:type="dxa"/>
                  <w:vMerge w:val="continue"/>
                  <w:vAlign w:val="center"/>
                </w:tcPr>
                <w:p w14:paraId="705B14ED">
                  <w:pPr>
                    <w:widowControl/>
                    <w:jc w:val="center"/>
                    <w:textAlignment w:val="center"/>
                    <w:rPr>
                      <w:color w:val="auto"/>
                      <w:szCs w:val="21"/>
                    </w:rPr>
                  </w:pPr>
                </w:p>
              </w:tc>
              <w:tc>
                <w:tcPr>
                  <w:tcW w:w="2313" w:type="dxa"/>
                  <w:vAlign w:val="center"/>
                </w:tcPr>
                <w:p w14:paraId="10B28082">
                  <w:pPr>
                    <w:autoSpaceDE w:val="0"/>
                    <w:autoSpaceDN w:val="0"/>
                    <w:adjustRightInd w:val="0"/>
                    <w:snapToGrid w:val="0"/>
                    <w:jc w:val="center"/>
                    <w:rPr>
                      <w:color w:val="auto"/>
                      <w:szCs w:val="21"/>
                    </w:rPr>
                  </w:pPr>
                  <w:r>
                    <w:rPr>
                      <w:rFonts w:hint="eastAsia"/>
                      <w:color w:val="auto"/>
                      <w:szCs w:val="21"/>
                    </w:rPr>
                    <w:t>缝皮机</w:t>
                  </w:r>
                </w:p>
              </w:tc>
              <w:tc>
                <w:tcPr>
                  <w:tcW w:w="2258" w:type="dxa"/>
                  <w:vAlign w:val="center"/>
                </w:tcPr>
                <w:p w14:paraId="0B8FD6D6">
                  <w:pPr>
                    <w:autoSpaceDE w:val="0"/>
                    <w:autoSpaceDN w:val="0"/>
                    <w:adjustRightInd w:val="0"/>
                    <w:snapToGrid w:val="0"/>
                    <w:jc w:val="center"/>
                    <w:rPr>
                      <w:color w:val="auto"/>
                      <w:kern w:val="0"/>
                      <w:szCs w:val="21"/>
                      <w:lang w:bidi="ar"/>
                    </w:rPr>
                  </w:pPr>
                  <w:r>
                    <w:rPr>
                      <w:rFonts w:hint="eastAsia"/>
                      <w:color w:val="auto"/>
                      <w:szCs w:val="21"/>
                    </w:rPr>
                    <w:t>FW1150</w:t>
                  </w:r>
                </w:p>
              </w:tc>
              <w:tc>
                <w:tcPr>
                  <w:tcW w:w="1182" w:type="dxa"/>
                  <w:vAlign w:val="top"/>
                </w:tcPr>
                <w:p w14:paraId="643FFA46">
                  <w:pPr>
                    <w:autoSpaceDE w:val="0"/>
                    <w:autoSpaceDN w:val="0"/>
                    <w:adjustRightInd w:val="0"/>
                    <w:snapToGrid w:val="0"/>
                    <w:jc w:val="center"/>
                    <w:rPr>
                      <w:color w:val="auto"/>
                      <w:kern w:val="0"/>
                      <w:szCs w:val="21"/>
                      <w:lang w:bidi="ar"/>
                    </w:rPr>
                  </w:pPr>
                  <w:r>
                    <w:rPr>
                      <w:rFonts w:hint="eastAsia"/>
                      <w:color w:val="auto"/>
                      <w:szCs w:val="21"/>
                    </w:rPr>
                    <w:t>1</w:t>
                  </w:r>
                </w:p>
              </w:tc>
              <w:tc>
                <w:tcPr>
                  <w:tcW w:w="1182" w:type="dxa"/>
                  <w:vMerge w:val="continue"/>
                  <w:vAlign w:val="top"/>
                </w:tcPr>
                <w:p w14:paraId="50BC02F7">
                  <w:pPr>
                    <w:autoSpaceDE w:val="0"/>
                    <w:autoSpaceDN w:val="0"/>
                    <w:adjustRightInd w:val="0"/>
                    <w:snapToGrid w:val="0"/>
                    <w:jc w:val="center"/>
                    <w:rPr>
                      <w:rFonts w:hint="eastAsia"/>
                      <w:color w:val="auto"/>
                      <w:szCs w:val="21"/>
                    </w:rPr>
                  </w:pPr>
                </w:p>
              </w:tc>
            </w:tr>
            <w:tr w14:paraId="3E277F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716" w:type="dxa"/>
                  <w:vAlign w:val="center"/>
                </w:tcPr>
                <w:p w14:paraId="3FD32A65">
                  <w:pPr>
                    <w:widowControl/>
                    <w:jc w:val="center"/>
                    <w:textAlignment w:val="center"/>
                    <w:rPr>
                      <w:rFonts w:hint="eastAsia" w:eastAsia="宋体"/>
                      <w:color w:val="auto"/>
                      <w:kern w:val="2"/>
                      <w:sz w:val="21"/>
                      <w:szCs w:val="21"/>
                      <w:lang w:val="en-US" w:eastAsia="zh-CN" w:bidi="ar-SA"/>
                    </w:rPr>
                  </w:pPr>
                  <w:r>
                    <w:rPr>
                      <w:rFonts w:hint="eastAsia"/>
                      <w:color w:val="auto"/>
                      <w:szCs w:val="21"/>
                    </w:rPr>
                    <w:t>3</w:t>
                  </w:r>
                  <w:r>
                    <w:rPr>
                      <w:rFonts w:hint="eastAsia"/>
                      <w:color w:val="auto"/>
                      <w:szCs w:val="21"/>
                      <w:lang w:val="en-US" w:eastAsia="zh-CN"/>
                    </w:rPr>
                    <w:t>4</w:t>
                  </w:r>
                </w:p>
              </w:tc>
              <w:tc>
                <w:tcPr>
                  <w:tcW w:w="950" w:type="dxa"/>
                  <w:vMerge w:val="continue"/>
                  <w:vAlign w:val="center"/>
                </w:tcPr>
                <w:p w14:paraId="24CE126D">
                  <w:pPr>
                    <w:widowControl/>
                    <w:jc w:val="center"/>
                    <w:textAlignment w:val="center"/>
                    <w:rPr>
                      <w:color w:val="auto"/>
                      <w:szCs w:val="21"/>
                    </w:rPr>
                  </w:pPr>
                </w:p>
              </w:tc>
              <w:tc>
                <w:tcPr>
                  <w:tcW w:w="2313" w:type="dxa"/>
                  <w:vAlign w:val="center"/>
                </w:tcPr>
                <w:p w14:paraId="6E2DA832">
                  <w:pPr>
                    <w:autoSpaceDE w:val="0"/>
                    <w:autoSpaceDN w:val="0"/>
                    <w:adjustRightInd w:val="0"/>
                    <w:snapToGrid w:val="0"/>
                    <w:jc w:val="center"/>
                    <w:rPr>
                      <w:color w:val="auto"/>
                      <w:szCs w:val="21"/>
                    </w:rPr>
                  </w:pPr>
                  <w:r>
                    <w:rPr>
                      <w:rFonts w:hint="eastAsia"/>
                      <w:color w:val="auto"/>
                      <w:szCs w:val="21"/>
                    </w:rPr>
                    <w:t>宽带砂光机</w:t>
                  </w:r>
                </w:p>
              </w:tc>
              <w:tc>
                <w:tcPr>
                  <w:tcW w:w="2258" w:type="dxa"/>
                  <w:vAlign w:val="top"/>
                </w:tcPr>
                <w:p w14:paraId="490177C3">
                  <w:pPr>
                    <w:autoSpaceDE w:val="0"/>
                    <w:autoSpaceDN w:val="0"/>
                    <w:adjustRightInd w:val="0"/>
                    <w:snapToGrid w:val="0"/>
                    <w:jc w:val="center"/>
                    <w:rPr>
                      <w:color w:val="auto"/>
                      <w:kern w:val="0"/>
                      <w:szCs w:val="21"/>
                      <w:lang w:bidi="ar"/>
                    </w:rPr>
                  </w:pPr>
                  <w:r>
                    <w:rPr>
                      <w:rFonts w:hint="eastAsia"/>
                      <w:color w:val="auto"/>
                      <w:szCs w:val="21"/>
                    </w:rPr>
                    <w:t>MSGSRU630</w:t>
                  </w:r>
                </w:p>
              </w:tc>
              <w:tc>
                <w:tcPr>
                  <w:tcW w:w="1182" w:type="dxa"/>
                  <w:vAlign w:val="top"/>
                </w:tcPr>
                <w:p w14:paraId="28711AFD">
                  <w:pPr>
                    <w:autoSpaceDE w:val="0"/>
                    <w:autoSpaceDN w:val="0"/>
                    <w:adjustRightInd w:val="0"/>
                    <w:snapToGrid w:val="0"/>
                    <w:jc w:val="center"/>
                    <w:rPr>
                      <w:color w:val="auto"/>
                      <w:kern w:val="0"/>
                      <w:szCs w:val="21"/>
                      <w:lang w:bidi="ar"/>
                    </w:rPr>
                  </w:pPr>
                  <w:r>
                    <w:rPr>
                      <w:rFonts w:hint="eastAsia"/>
                      <w:color w:val="auto"/>
                      <w:szCs w:val="21"/>
                    </w:rPr>
                    <w:t>4</w:t>
                  </w:r>
                </w:p>
              </w:tc>
              <w:tc>
                <w:tcPr>
                  <w:tcW w:w="1182" w:type="dxa"/>
                  <w:vMerge w:val="continue"/>
                  <w:vAlign w:val="top"/>
                </w:tcPr>
                <w:p w14:paraId="48A64E6A">
                  <w:pPr>
                    <w:autoSpaceDE w:val="0"/>
                    <w:autoSpaceDN w:val="0"/>
                    <w:adjustRightInd w:val="0"/>
                    <w:snapToGrid w:val="0"/>
                    <w:jc w:val="center"/>
                    <w:rPr>
                      <w:rFonts w:hint="eastAsia"/>
                      <w:color w:val="auto"/>
                      <w:szCs w:val="21"/>
                    </w:rPr>
                  </w:pPr>
                </w:p>
              </w:tc>
            </w:tr>
            <w:tr w14:paraId="049C9A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716" w:type="dxa"/>
                  <w:vAlign w:val="center"/>
                </w:tcPr>
                <w:p w14:paraId="378A5A89">
                  <w:pPr>
                    <w:widowControl/>
                    <w:jc w:val="center"/>
                    <w:textAlignment w:val="center"/>
                    <w:rPr>
                      <w:rFonts w:hint="eastAsia" w:eastAsia="宋体"/>
                      <w:color w:val="auto"/>
                      <w:kern w:val="2"/>
                      <w:sz w:val="21"/>
                      <w:szCs w:val="21"/>
                      <w:lang w:val="en-US" w:eastAsia="zh-CN" w:bidi="ar-SA"/>
                    </w:rPr>
                  </w:pPr>
                  <w:r>
                    <w:rPr>
                      <w:rFonts w:hint="eastAsia"/>
                      <w:color w:val="auto"/>
                      <w:szCs w:val="21"/>
                    </w:rPr>
                    <w:t>3</w:t>
                  </w:r>
                  <w:r>
                    <w:rPr>
                      <w:rFonts w:hint="eastAsia"/>
                      <w:color w:val="auto"/>
                      <w:szCs w:val="21"/>
                      <w:lang w:val="en-US" w:eastAsia="zh-CN"/>
                    </w:rPr>
                    <w:t>5</w:t>
                  </w:r>
                </w:p>
              </w:tc>
              <w:tc>
                <w:tcPr>
                  <w:tcW w:w="950" w:type="dxa"/>
                  <w:vMerge w:val="continue"/>
                  <w:vAlign w:val="center"/>
                </w:tcPr>
                <w:p w14:paraId="0E5F6B72">
                  <w:pPr>
                    <w:widowControl/>
                    <w:jc w:val="center"/>
                    <w:textAlignment w:val="center"/>
                    <w:rPr>
                      <w:color w:val="auto"/>
                      <w:szCs w:val="21"/>
                    </w:rPr>
                  </w:pPr>
                </w:p>
              </w:tc>
              <w:tc>
                <w:tcPr>
                  <w:tcW w:w="2313" w:type="dxa"/>
                  <w:vAlign w:val="center"/>
                </w:tcPr>
                <w:p w14:paraId="58327673">
                  <w:pPr>
                    <w:widowControl/>
                    <w:jc w:val="center"/>
                    <w:rPr>
                      <w:color w:val="auto"/>
                      <w:szCs w:val="21"/>
                    </w:rPr>
                  </w:pPr>
                  <w:r>
                    <w:rPr>
                      <w:rFonts w:hint="eastAsia"/>
                      <w:color w:val="auto"/>
                      <w:kern w:val="0"/>
                      <w:szCs w:val="21"/>
                    </w:rPr>
                    <w:t>科技木皮指接机</w:t>
                  </w:r>
                </w:p>
              </w:tc>
              <w:tc>
                <w:tcPr>
                  <w:tcW w:w="2258" w:type="dxa"/>
                  <w:vAlign w:val="top"/>
                </w:tcPr>
                <w:p w14:paraId="07898059">
                  <w:pPr>
                    <w:autoSpaceDE w:val="0"/>
                    <w:autoSpaceDN w:val="0"/>
                    <w:adjustRightInd w:val="0"/>
                    <w:snapToGrid w:val="0"/>
                    <w:jc w:val="center"/>
                    <w:rPr>
                      <w:color w:val="auto"/>
                      <w:kern w:val="0"/>
                      <w:szCs w:val="21"/>
                      <w:lang w:bidi="ar"/>
                    </w:rPr>
                  </w:pPr>
                  <w:r>
                    <w:rPr>
                      <w:rFonts w:hint="eastAsia"/>
                      <w:color w:val="auto"/>
                      <w:szCs w:val="21"/>
                    </w:rPr>
                    <w:t>祥挥工匠650F型</w:t>
                  </w:r>
                </w:p>
              </w:tc>
              <w:tc>
                <w:tcPr>
                  <w:tcW w:w="1182" w:type="dxa"/>
                  <w:vAlign w:val="top"/>
                </w:tcPr>
                <w:p w14:paraId="77FDEBAE">
                  <w:pPr>
                    <w:autoSpaceDE w:val="0"/>
                    <w:autoSpaceDN w:val="0"/>
                    <w:adjustRightInd w:val="0"/>
                    <w:snapToGrid w:val="0"/>
                    <w:jc w:val="center"/>
                    <w:rPr>
                      <w:color w:val="auto"/>
                      <w:kern w:val="0"/>
                      <w:szCs w:val="21"/>
                      <w:lang w:bidi="ar"/>
                    </w:rPr>
                  </w:pPr>
                  <w:r>
                    <w:rPr>
                      <w:rFonts w:hint="eastAsia"/>
                      <w:color w:val="auto"/>
                      <w:szCs w:val="21"/>
                    </w:rPr>
                    <w:t>1</w:t>
                  </w:r>
                </w:p>
              </w:tc>
              <w:tc>
                <w:tcPr>
                  <w:tcW w:w="1182" w:type="dxa"/>
                  <w:vMerge w:val="continue"/>
                  <w:vAlign w:val="top"/>
                </w:tcPr>
                <w:p w14:paraId="6A8AE31F">
                  <w:pPr>
                    <w:autoSpaceDE w:val="0"/>
                    <w:autoSpaceDN w:val="0"/>
                    <w:adjustRightInd w:val="0"/>
                    <w:snapToGrid w:val="0"/>
                    <w:jc w:val="center"/>
                    <w:rPr>
                      <w:rFonts w:hint="eastAsia"/>
                      <w:color w:val="auto"/>
                      <w:szCs w:val="21"/>
                    </w:rPr>
                  </w:pPr>
                </w:p>
              </w:tc>
            </w:tr>
            <w:tr w14:paraId="0AF03E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716" w:type="dxa"/>
                  <w:vAlign w:val="center"/>
                </w:tcPr>
                <w:p w14:paraId="21769430">
                  <w:pPr>
                    <w:widowControl/>
                    <w:jc w:val="center"/>
                    <w:textAlignment w:val="center"/>
                    <w:rPr>
                      <w:rFonts w:hint="eastAsia" w:eastAsia="宋体"/>
                      <w:color w:val="auto"/>
                      <w:kern w:val="2"/>
                      <w:sz w:val="21"/>
                      <w:szCs w:val="21"/>
                      <w:lang w:val="en-US" w:eastAsia="zh-CN" w:bidi="ar-SA"/>
                    </w:rPr>
                  </w:pPr>
                  <w:r>
                    <w:rPr>
                      <w:rFonts w:hint="eastAsia"/>
                      <w:color w:val="auto"/>
                      <w:szCs w:val="21"/>
                    </w:rPr>
                    <w:t>3</w:t>
                  </w:r>
                  <w:r>
                    <w:rPr>
                      <w:rFonts w:hint="eastAsia"/>
                      <w:color w:val="auto"/>
                      <w:szCs w:val="21"/>
                      <w:lang w:val="en-US" w:eastAsia="zh-CN"/>
                    </w:rPr>
                    <w:t>6</w:t>
                  </w:r>
                </w:p>
              </w:tc>
              <w:tc>
                <w:tcPr>
                  <w:tcW w:w="950" w:type="dxa"/>
                  <w:vMerge w:val="continue"/>
                  <w:vAlign w:val="center"/>
                </w:tcPr>
                <w:p w14:paraId="3BA816AB">
                  <w:pPr>
                    <w:widowControl/>
                    <w:jc w:val="center"/>
                    <w:textAlignment w:val="center"/>
                    <w:rPr>
                      <w:color w:val="auto"/>
                      <w:szCs w:val="21"/>
                    </w:rPr>
                  </w:pPr>
                </w:p>
              </w:tc>
              <w:tc>
                <w:tcPr>
                  <w:tcW w:w="2313" w:type="dxa"/>
                  <w:vAlign w:val="center"/>
                </w:tcPr>
                <w:p w14:paraId="68E8B383">
                  <w:pPr>
                    <w:autoSpaceDE w:val="0"/>
                    <w:autoSpaceDN w:val="0"/>
                    <w:adjustRightInd w:val="0"/>
                    <w:snapToGrid w:val="0"/>
                    <w:jc w:val="center"/>
                    <w:rPr>
                      <w:color w:val="auto"/>
                      <w:szCs w:val="21"/>
                    </w:rPr>
                  </w:pPr>
                  <w:r>
                    <w:rPr>
                      <w:rFonts w:hint="eastAsia"/>
                      <w:color w:val="auto"/>
                      <w:szCs w:val="21"/>
                    </w:rPr>
                    <w:t>液压热压机</w:t>
                  </w:r>
                </w:p>
              </w:tc>
              <w:tc>
                <w:tcPr>
                  <w:tcW w:w="2258" w:type="dxa"/>
                  <w:vAlign w:val="top"/>
                </w:tcPr>
                <w:p w14:paraId="61DA09C2">
                  <w:pPr>
                    <w:autoSpaceDE w:val="0"/>
                    <w:autoSpaceDN w:val="0"/>
                    <w:adjustRightInd w:val="0"/>
                    <w:snapToGrid w:val="0"/>
                    <w:jc w:val="center"/>
                    <w:rPr>
                      <w:color w:val="auto"/>
                      <w:kern w:val="0"/>
                      <w:szCs w:val="21"/>
                      <w:lang w:bidi="ar"/>
                    </w:rPr>
                  </w:pPr>
                  <w:r>
                    <w:rPr>
                      <w:rFonts w:hint="eastAsia"/>
                      <w:color w:val="auto"/>
                      <w:szCs w:val="21"/>
                    </w:rPr>
                    <w:t>/</w:t>
                  </w:r>
                </w:p>
              </w:tc>
              <w:tc>
                <w:tcPr>
                  <w:tcW w:w="1182" w:type="dxa"/>
                  <w:vAlign w:val="top"/>
                </w:tcPr>
                <w:p w14:paraId="690576EE">
                  <w:pPr>
                    <w:autoSpaceDE w:val="0"/>
                    <w:autoSpaceDN w:val="0"/>
                    <w:adjustRightInd w:val="0"/>
                    <w:snapToGrid w:val="0"/>
                    <w:jc w:val="center"/>
                    <w:rPr>
                      <w:color w:val="auto"/>
                      <w:kern w:val="0"/>
                      <w:szCs w:val="21"/>
                      <w:lang w:bidi="ar"/>
                    </w:rPr>
                  </w:pPr>
                  <w:r>
                    <w:rPr>
                      <w:rFonts w:hint="eastAsia"/>
                      <w:color w:val="auto"/>
                      <w:szCs w:val="21"/>
                    </w:rPr>
                    <w:t>3</w:t>
                  </w:r>
                </w:p>
              </w:tc>
              <w:tc>
                <w:tcPr>
                  <w:tcW w:w="1182" w:type="dxa"/>
                  <w:vMerge w:val="continue"/>
                  <w:vAlign w:val="top"/>
                </w:tcPr>
                <w:p w14:paraId="476E844E">
                  <w:pPr>
                    <w:autoSpaceDE w:val="0"/>
                    <w:autoSpaceDN w:val="0"/>
                    <w:adjustRightInd w:val="0"/>
                    <w:snapToGrid w:val="0"/>
                    <w:jc w:val="center"/>
                    <w:rPr>
                      <w:rFonts w:hint="eastAsia"/>
                      <w:color w:val="auto"/>
                      <w:szCs w:val="21"/>
                    </w:rPr>
                  </w:pPr>
                </w:p>
              </w:tc>
            </w:tr>
            <w:tr w14:paraId="085E5D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716" w:type="dxa"/>
                  <w:vAlign w:val="center"/>
                </w:tcPr>
                <w:p w14:paraId="009F857F">
                  <w:pPr>
                    <w:widowControl/>
                    <w:jc w:val="center"/>
                    <w:textAlignment w:val="center"/>
                    <w:rPr>
                      <w:rFonts w:hint="eastAsia" w:eastAsia="宋体"/>
                      <w:color w:val="auto"/>
                      <w:kern w:val="2"/>
                      <w:sz w:val="21"/>
                      <w:szCs w:val="21"/>
                      <w:lang w:val="en-US" w:eastAsia="zh-CN" w:bidi="ar-SA"/>
                    </w:rPr>
                  </w:pPr>
                  <w:r>
                    <w:rPr>
                      <w:rFonts w:hint="eastAsia"/>
                      <w:color w:val="auto"/>
                      <w:szCs w:val="21"/>
                    </w:rPr>
                    <w:t>3</w:t>
                  </w:r>
                  <w:r>
                    <w:rPr>
                      <w:rFonts w:hint="eastAsia"/>
                      <w:color w:val="auto"/>
                      <w:szCs w:val="21"/>
                      <w:lang w:val="en-US" w:eastAsia="zh-CN"/>
                    </w:rPr>
                    <w:t>7</w:t>
                  </w:r>
                </w:p>
              </w:tc>
              <w:tc>
                <w:tcPr>
                  <w:tcW w:w="950" w:type="dxa"/>
                  <w:vMerge w:val="continue"/>
                  <w:vAlign w:val="center"/>
                </w:tcPr>
                <w:p w14:paraId="0FB51D73">
                  <w:pPr>
                    <w:widowControl/>
                    <w:jc w:val="center"/>
                    <w:textAlignment w:val="center"/>
                    <w:rPr>
                      <w:color w:val="auto"/>
                      <w:szCs w:val="21"/>
                    </w:rPr>
                  </w:pPr>
                </w:p>
              </w:tc>
              <w:tc>
                <w:tcPr>
                  <w:tcW w:w="2313" w:type="dxa"/>
                  <w:vAlign w:val="center"/>
                </w:tcPr>
                <w:p w14:paraId="5992658C">
                  <w:pPr>
                    <w:autoSpaceDE w:val="0"/>
                    <w:autoSpaceDN w:val="0"/>
                    <w:adjustRightInd w:val="0"/>
                    <w:snapToGrid w:val="0"/>
                    <w:jc w:val="center"/>
                    <w:rPr>
                      <w:rFonts w:hint="default" w:eastAsia="宋体"/>
                      <w:color w:val="auto"/>
                      <w:szCs w:val="21"/>
                      <w:lang w:val="en-US" w:eastAsia="zh-CN"/>
                    </w:rPr>
                  </w:pPr>
                  <w:r>
                    <w:rPr>
                      <w:rFonts w:hint="eastAsia"/>
                      <w:color w:val="auto"/>
                      <w:szCs w:val="21"/>
                      <w:lang w:val="en-US" w:eastAsia="zh-CN"/>
                    </w:rPr>
                    <w:t>UV辊涂线</w:t>
                  </w:r>
                </w:p>
              </w:tc>
              <w:tc>
                <w:tcPr>
                  <w:tcW w:w="2258" w:type="dxa"/>
                  <w:vAlign w:val="top"/>
                </w:tcPr>
                <w:p w14:paraId="5E1212FF">
                  <w:pPr>
                    <w:autoSpaceDE w:val="0"/>
                    <w:autoSpaceDN w:val="0"/>
                    <w:adjustRightInd w:val="0"/>
                    <w:snapToGrid w:val="0"/>
                    <w:jc w:val="center"/>
                    <w:rPr>
                      <w:rFonts w:hint="eastAsia"/>
                      <w:color w:val="auto"/>
                      <w:szCs w:val="21"/>
                    </w:rPr>
                  </w:pPr>
                  <w:r>
                    <w:rPr>
                      <w:rFonts w:hint="eastAsia"/>
                      <w:color w:val="auto"/>
                      <w:szCs w:val="21"/>
                    </w:rPr>
                    <w:t>/</w:t>
                  </w:r>
                </w:p>
              </w:tc>
              <w:tc>
                <w:tcPr>
                  <w:tcW w:w="1182" w:type="dxa"/>
                  <w:vAlign w:val="top"/>
                </w:tcPr>
                <w:p w14:paraId="4E07BBCC">
                  <w:pPr>
                    <w:autoSpaceDE w:val="0"/>
                    <w:autoSpaceDN w:val="0"/>
                    <w:adjustRightInd w:val="0"/>
                    <w:snapToGrid w:val="0"/>
                    <w:jc w:val="center"/>
                    <w:rPr>
                      <w:rFonts w:hint="eastAsia" w:eastAsia="宋体"/>
                      <w:color w:val="auto"/>
                      <w:szCs w:val="21"/>
                      <w:lang w:val="en-US" w:eastAsia="zh-CN"/>
                    </w:rPr>
                  </w:pPr>
                  <w:r>
                    <w:rPr>
                      <w:rFonts w:hint="eastAsia"/>
                      <w:color w:val="auto"/>
                      <w:szCs w:val="21"/>
                      <w:lang w:val="en-US" w:eastAsia="zh-CN"/>
                    </w:rPr>
                    <w:t>1</w:t>
                  </w:r>
                </w:p>
              </w:tc>
              <w:tc>
                <w:tcPr>
                  <w:tcW w:w="1182" w:type="dxa"/>
                  <w:vMerge w:val="continue"/>
                  <w:vAlign w:val="top"/>
                </w:tcPr>
                <w:p w14:paraId="38145B3E">
                  <w:pPr>
                    <w:autoSpaceDE w:val="0"/>
                    <w:autoSpaceDN w:val="0"/>
                    <w:adjustRightInd w:val="0"/>
                    <w:snapToGrid w:val="0"/>
                    <w:jc w:val="center"/>
                    <w:rPr>
                      <w:rFonts w:hint="eastAsia"/>
                      <w:color w:val="auto"/>
                      <w:szCs w:val="21"/>
                      <w:lang w:val="en-US" w:eastAsia="zh-CN"/>
                    </w:rPr>
                  </w:pPr>
                </w:p>
              </w:tc>
            </w:tr>
            <w:tr w14:paraId="16F08C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716" w:type="dxa"/>
                  <w:vAlign w:val="center"/>
                </w:tcPr>
                <w:p w14:paraId="25997BC3">
                  <w:pPr>
                    <w:widowControl/>
                    <w:jc w:val="center"/>
                    <w:textAlignment w:val="center"/>
                    <w:rPr>
                      <w:rFonts w:hint="eastAsia" w:eastAsia="宋体"/>
                      <w:color w:val="auto"/>
                      <w:kern w:val="2"/>
                      <w:sz w:val="21"/>
                      <w:szCs w:val="21"/>
                      <w:lang w:val="en-US" w:eastAsia="zh-CN" w:bidi="ar-SA"/>
                    </w:rPr>
                  </w:pPr>
                  <w:r>
                    <w:rPr>
                      <w:rFonts w:hint="eastAsia"/>
                      <w:color w:val="auto"/>
                      <w:szCs w:val="21"/>
                    </w:rPr>
                    <w:t>3</w:t>
                  </w:r>
                  <w:r>
                    <w:rPr>
                      <w:rFonts w:hint="eastAsia"/>
                      <w:color w:val="auto"/>
                      <w:szCs w:val="21"/>
                      <w:lang w:val="en-US" w:eastAsia="zh-CN"/>
                    </w:rPr>
                    <w:t>8</w:t>
                  </w:r>
                </w:p>
              </w:tc>
              <w:tc>
                <w:tcPr>
                  <w:tcW w:w="950" w:type="dxa"/>
                  <w:vMerge w:val="continue"/>
                  <w:vAlign w:val="center"/>
                </w:tcPr>
                <w:p w14:paraId="60367539">
                  <w:pPr>
                    <w:widowControl/>
                    <w:jc w:val="center"/>
                    <w:textAlignment w:val="center"/>
                    <w:rPr>
                      <w:color w:val="auto"/>
                      <w:szCs w:val="21"/>
                    </w:rPr>
                  </w:pPr>
                </w:p>
              </w:tc>
              <w:tc>
                <w:tcPr>
                  <w:tcW w:w="2313" w:type="dxa"/>
                  <w:vAlign w:val="center"/>
                </w:tcPr>
                <w:p w14:paraId="3E758372">
                  <w:pPr>
                    <w:autoSpaceDE w:val="0"/>
                    <w:autoSpaceDN w:val="0"/>
                    <w:adjustRightInd w:val="0"/>
                    <w:snapToGrid w:val="0"/>
                    <w:jc w:val="center"/>
                    <w:rPr>
                      <w:color w:val="auto"/>
                      <w:szCs w:val="21"/>
                    </w:rPr>
                  </w:pPr>
                  <w:r>
                    <w:rPr>
                      <w:rFonts w:hint="eastAsia"/>
                      <w:color w:val="auto"/>
                      <w:szCs w:val="21"/>
                    </w:rPr>
                    <w:t>胶辊</w:t>
                  </w:r>
                </w:p>
              </w:tc>
              <w:tc>
                <w:tcPr>
                  <w:tcW w:w="2258" w:type="dxa"/>
                  <w:vAlign w:val="top"/>
                </w:tcPr>
                <w:p w14:paraId="57E8AEE1">
                  <w:pPr>
                    <w:autoSpaceDE w:val="0"/>
                    <w:autoSpaceDN w:val="0"/>
                    <w:adjustRightInd w:val="0"/>
                    <w:snapToGrid w:val="0"/>
                    <w:jc w:val="center"/>
                    <w:rPr>
                      <w:color w:val="auto"/>
                      <w:kern w:val="0"/>
                      <w:szCs w:val="21"/>
                      <w:lang w:bidi="ar"/>
                    </w:rPr>
                  </w:pPr>
                  <w:r>
                    <w:rPr>
                      <w:rFonts w:hint="eastAsia"/>
                      <w:color w:val="auto"/>
                      <w:szCs w:val="21"/>
                    </w:rPr>
                    <w:t>/</w:t>
                  </w:r>
                </w:p>
              </w:tc>
              <w:tc>
                <w:tcPr>
                  <w:tcW w:w="1182" w:type="dxa"/>
                  <w:vAlign w:val="top"/>
                </w:tcPr>
                <w:p w14:paraId="67A36B3B">
                  <w:pPr>
                    <w:autoSpaceDE w:val="0"/>
                    <w:autoSpaceDN w:val="0"/>
                    <w:adjustRightInd w:val="0"/>
                    <w:snapToGrid w:val="0"/>
                    <w:jc w:val="center"/>
                    <w:rPr>
                      <w:color w:val="auto"/>
                      <w:kern w:val="0"/>
                      <w:szCs w:val="21"/>
                      <w:lang w:bidi="ar"/>
                    </w:rPr>
                  </w:pPr>
                  <w:r>
                    <w:rPr>
                      <w:rFonts w:hint="eastAsia"/>
                      <w:color w:val="auto"/>
                      <w:szCs w:val="21"/>
                    </w:rPr>
                    <w:t>2</w:t>
                  </w:r>
                </w:p>
              </w:tc>
              <w:tc>
                <w:tcPr>
                  <w:tcW w:w="1182" w:type="dxa"/>
                  <w:vMerge w:val="continue"/>
                  <w:vAlign w:val="top"/>
                </w:tcPr>
                <w:p w14:paraId="0BDE5B0C">
                  <w:pPr>
                    <w:autoSpaceDE w:val="0"/>
                    <w:autoSpaceDN w:val="0"/>
                    <w:adjustRightInd w:val="0"/>
                    <w:snapToGrid w:val="0"/>
                    <w:jc w:val="center"/>
                    <w:rPr>
                      <w:rFonts w:hint="eastAsia"/>
                      <w:color w:val="auto"/>
                      <w:szCs w:val="21"/>
                    </w:rPr>
                  </w:pPr>
                </w:p>
              </w:tc>
            </w:tr>
            <w:tr w14:paraId="673FD9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716" w:type="dxa"/>
                  <w:vAlign w:val="center"/>
                </w:tcPr>
                <w:p w14:paraId="35E7249E">
                  <w:pPr>
                    <w:widowControl/>
                    <w:jc w:val="center"/>
                    <w:textAlignment w:val="center"/>
                    <w:rPr>
                      <w:rFonts w:hint="eastAsia" w:eastAsia="宋体"/>
                      <w:color w:val="auto"/>
                      <w:kern w:val="2"/>
                      <w:sz w:val="21"/>
                      <w:szCs w:val="21"/>
                      <w:lang w:val="en-US" w:eastAsia="zh-CN" w:bidi="ar-SA"/>
                    </w:rPr>
                  </w:pPr>
                  <w:r>
                    <w:rPr>
                      <w:rFonts w:hint="eastAsia"/>
                      <w:color w:val="auto"/>
                      <w:szCs w:val="21"/>
                    </w:rPr>
                    <w:t>3</w:t>
                  </w:r>
                  <w:r>
                    <w:rPr>
                      <w:rFonts w:hint="eastAsia"/>
                      <w:color w:val="auto"/>
                      <w:szCs w:val="21"/>
                      <w:lang w:val="en-US" w:eastAsia="zh-CN"/>
                    </w:rPr>
                    <w:t>9</w:t>
                  </w:r>
                </w:p>
              </w:tc>
              <w:tc>
                <w:tcPr>
                  <w:tcW w:w="950" w:type="dxa"/>
                  <w:vMerge w:val="restart"/>
                  <w:vAlign w:val="center"/>
                </w:tcPr>
                <w:p w14:paraId="0DAF855A">
                  <w:pPr>
                    <w:widowControl/>
                    <w:jc w:val="center"/>
                    <w:textAlignment w:val="center"/>
                    <w:rPr>
                      <w:rFonts w:hint="eastAsia"/>
                      <w:color w:val="auto"/>
                      <w:szCs w:val="21"/>
                    </w:rPr>
                  </w:pPr>
                  <w:r>
                    <w:rPr>
                      <w:rFonts w:hint="eastAsia"/>
                      <w:color w:val="auto"/>
                      <w:szCs w:val="21"/>
                    </w:rPr>
                    <w:t>三车间</w:t>
                  </w:r>
                </w:p>
              </w:tc>
              <w:tc>
                <w:tcPr>
                  <w:tcW w:w="2313" w:type="dxa"/>
                  <w:vAlign w:val="center"/>
                </w:tcPr>
                <w:p w14:paraId="44470190">
                  <w:pPr>
                    <w:autoSpaceDE w:val="0"/>
                    <w:autoSpaceDN w:val="0"/>
                    <w:adjustRightInd w:val="0"/>
                    <w:snapToGrid w:val="0"/>
                    <w:jc w:val="center"/>
                    <w:rPr>
                      <w:color w:val="auto"/>
                      <w:szCs w:val="21"/>
                    </w:rPr>
                  </w:pPr>
                  <w:r>
                    <w:rPr>
                      <w:rFonts w:hint="eastAsia"/>
                      <w:color w:val="auto"/>
                      <w:szCs w:val="21"/>
                    </w:rPr>
                    <w:t>千川1米3刨砂机</w:t>
                  </w:r>
                </w:p>
              </w:tc>
              <w:tc>
                <w:tcPr>
                  <w:tcW w:w="2258" w:type="dxa"/>
                  <w:vAlign w:val="center"/>
                </w:tcPr>
                <w:p w14:paraId="4E59AA31">
                  <w:pPr>
                    <w:autoSpaceDE w:val="0"/>
                    <w:autoSpaceDN w:val="0"/>
                    <w:adjustRightInd w:val="0"/>
                    <w:snapToGrid w:val="0"/>
                    <w:jc w:val="center"/>
                    <w:rPr>
                      <w:color w:val="auto"/>
                      <w:szCs w:val="21"/>
                    </w:rPr>
                  </w:pPr>
                  <w:r>
                    <w:rPr>
                      <w:rFonts w:hint="eastAsia"/>
                      <w:color w:val="auto"/>
                      <w:szCs w:val="21"/>
                    </w:rPr>
                    <w:t>/</w:t>
                  </w:r>
                </w:p>
              </w:tc>
              <w:tc>
                <w:tcPr>
                  <w:tcW w:w="1182" w:type="dxa"/>
                  <w:vAlign w:val="center"/>
                </w:tcPr>
                <w:p w14:paraId="4EDA22B0">
                  <w:pPr>
                    <w:autoSpaceDE w:val="0"/>
                    <w:autoSpaceDN w:val="0"/>
                    <w:adjustRightInd w:val="0"/>
                    <w:snapToGrid w:val="0"/>
                    <w:jc w:val="center"/>
                    <w:rPr>
                      <w:color w:val="auto"/>
                    </w:rPr>
                  </w:pPr>
                  <w:r>
                    <w:rPr>
                      <w:rFonts w:hint="eastAsia"/>
                      <w:color w:val="auto"/>
                      <w:szCs w:val="21"/>
                    </w:rPr>
                    <w:t>1</w:t>
                  </w:r>
                </w:p>
              </w:tc>
              <w:tc>
                <w:tcPr>
                  <w:tcW w:w="1182" w:type="dxa"/>
                  <w:vMerge w:val="continue"/>
                  <w:vAlign w:val="center"/>
                </w:tcPr>
                <w:p w14:paraId="4552E6D7">
                  <w:pPr>
                    <w:autoSpaceDE w:val="0"/>
                    <w:autoSpaceDN w:val="0"/>
                    <w:adjustRightInd w:val="0"/>
                    <w:snapToGrid w:val="0"/>
                    <w:jc w:val="center"/>
                    <w:rPr>
                      <w:rFonts w:hint="eastAsia"/>
                      <w:color w:val="auto"/>
                      <w:szCs w:val="21"/>
                    </w:rPr>
                  </w:pPr>
                </w:p>
              </w:tc>
            </w:tr>
            <w:tr w14:paraId="71BD33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716" w:type="dxa"/>
                  <w:vAlign w:val="center"/>
                </w:tcPr>
                <w:p w14:paraId="0EAC3D9E">
                  <w:pPr>
                    <w:widowControl/>
                    <w:jc w:val="center"/>
                    <w:textAlignment w:val="center"/>
                    <w:rPr>
                      <w:rFonts w:hint="default" w:eastAsia="宋体"/>
                      <w:color w:val="auto"/>
                      <w:kern w:val="2"/>
                      <w:sz w:val="21"/>
                      <w:szCs w:val="21"/>
                      <w:lang w:val="en-US" w:eastAsia="zh-CN" w:bidi="ar-SA"/>
                    </w:rPr>
                  </w:pPr>
                  <w:r>
                    <w:rPr>
                      <w:rFonts w:hint="eastAsia"/>
                      <w:color w:val="auto"/>
                      <w:szCs w:val="21"/>
                      <w:lang w:val="en-US" w:eastAsia="zh-CN"/>
                    </w:rPr>
                    <w:t>40</w:t>
                  </w:r>
                </w:p>
              </w:tc>
              <w:tc>
                <w:tcPr>
                  <w:tcW w:w="950" w:type="dxa"/>
                  <w:vMerge w:val="continue"/>
                  <w:vAlign w:val="center"/>
                </w:tcPr>
                <w:p w14:paraId="1B59A94C">
                  <w:pPr>
                    <w:widowControl/>
                    <w:jc w:val="center"/>
                    <w:textAlignment w:val="center"/>
                    <w:rPr>
                      <w:color w:val="auto"/>
                      <w:szCs w:val="21"/>
                    </w:rPr>
                  </w:pPr>
                </w:p>
              </w:tc>
              <w:tc>
                <w:tcPr>
                  <w:tcW w:w="2313" w:type="dxa"/>
                  <w:vAlign w:val="center"/>
                </w:tcPr>
                <w:p w14:paraId="2402BE6D">
                  <w:pPr>
                    <w:autoSpaceDE w:val="0"/>
                    <w:autoSpaceDN w:val="0"/>
                    <w:adjustRightInd w:val="0"/>
                    <w:snapToGrid w:val="0"/>
                    <w:jc w:val="center"/>
                    <w:rPr>
                      <w:color w:val="auto"/>
                    </w:rPr>
                  </w:pPr>
                  <w:r>
                    <w:rPr>
                      <w:rFonts w:hint="eastAsia"/>
                      <w:color w:val="auto"/>
                      <w:szCs w:val="21"/>
                    </w:rPr>
                    <w:t>华洲多片锯450宽</w:t>
                  </w:r>
                </w:p>
              </w:tc>
              <w:tc>
                <w:tcPr>
                  <w:tcW w:w="2258" w:type="dxa"/>
                  <w:vAlign w:val="center"/>
                </w:tcPr>
                <w:p w14:paraId="017A96B8">
                  <w:pPr>
                    <w:autoSpaceDE w:val="0"/>
                    <w:autoSpaceDN w:val="0"/>
                    <w:adjustRightInd w:val="0"/>
                    <w:snapToGrid w:val="0"/>
                    <w:jc w:val="center"/>
                    <w:rPr>
                      <w:color w:val="auto"/>
                      <w:szCs w:val="21"/>
                    </w:rPr>
                  </w:pPr>
                  <w:r>
                    <w:rPr>
                      <w:rFonts w:hint="eastAsia"/>
                      <w:color w:val="auto"/>
                      <w:szCs w:val="21"/>
                    </w:rPr>
                    <w:t>/</w:t>
                  </w:r>
                </w:p>
              </w:tc>
              <w:tc>
                <w:tcPr>
                  <w:tcW w:w="1182" w:type="dxa"/>
                  <w:vAlign w:val="top"/>
                </w:tcPr>
                <w:p w14:paraId="51C7A415">
                  <w:pPr>
                    <w:autoSpaceDE w:val="0"/>
                    <w:autoSpaceDN w:val="0"/>
                    <w:adjustRightInd w:val="0"/>
                    <w:snapToGrid w:val="0"/>
                    <w:jc w:val="center"/>
                    <w:rPr>
                      <w:color w:val="auto"/>
                      <w:szCs w:val="21"/>
                    </w:rPr>
                  </w:pPr>
                  <w:r>
                    <w:rPr>
                      <w:rFonts w:hint="eastAsia"/>
                      <w:color w:val="auto"/>
                      <w:szCs w:val="21"/>
                    </w:rPr>
                    <w:t>1</w:t>
                  </w:r>
                </w:p>
              </w:tc>
              <w:tc>
                <w:tcPr>
                  <w:tcW w:w="1182" w:type="dxa"/>
                  <w:vMerge w:val="continue"/>
                  <w:vAlign w:val="top"/>
                </w:tcPr>
                <w:p w14:paraId="06BC28D1">
                  <w:pPr>
                    <w:autoSpaceDE w:val="0"/>
                    <w:autoSpaceDN w:val="0"/>
                    <w:adjustRightInd w:val="0"/>
                    <w:snapToGrid w:val="0"/>
                    <w:jc w:val="center"/>
                    <w:rPr>
                      <w:rFonts w:hint="eastAsia"/>
                      <w:color w:val="auto"/>
                      <w:szCs w:val="21"/>
                    </w:rPr>
                  </w:pPr>
                </w:p>
              </w:tc>
            </w:tr>
            <w:tr w14:paraId="66269A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716" w:type="dxa"/>
                  <w:vAlign w:val="center"/>
                </w:tcPr>
                <w:p w14:paraId="4520B13A">
                  <w:pPr>
                    <w:widowControl/>
                    <w:jc w:val="center"/>
                    <w:textAlignment w:val="center"/>
                    <w:rPr>
                      <w:rFonts w:hint="eastAsia" w:eastAsia="宋体"/>
                      <w:color w:val="auto"/>
                      <w:kern w:val="2"/>
                      <w:sz w:val="21"/>
                      <w:szCs w:val="21"/>
                      <w:lang w:val="en-US" w:eastAsia="zh-CN" w:bidi="ar-SA"/>
                    </w:rPr>
                  </w:pPr>
                  <w:r>
                    <w:rPr>
                      <w:rFonts w:hint="eastAsia"/>
                      <w:color w:val="auto"/>
                      <w:szCs w:val="21"/>
                    </w:rPr>
                    <w:t>4</w:t>
                  </w:r>
                  <w:r>
                    <w:rPr>
                      <w:rFonts w:hint="eastAsia"/>
                      <w:color w:val="auto"/>
                      <w:szCs w:val="21"/>
                      <w:lang w:val="en-US" w:eastAsia="zh-CN"/>
                    </w:rPr>
                    <w:t>1</w:t>
                  </w:r>
                </w:p>
              </w:tc>
              <w:tc>
                <w:tcPr>
                  <w:tcW w:w="950" w:type="dxa"/>
                  <w:vMerge w:val="continue"/>
                  <w:vAlign w:val="center"/>
                </w:tcPr>
                <w:p w14:paraId="0DCD14C1">
                  <w:pPr>
                    <w:widowControl/>
                    <w:jc w:val="center"/>
                    <w:textAlignment w:val="center"/>
                    <w:rPr>
                      <w:color w:val="auto"/>
                      <w:szCs w:val="21"/>
                    </w:rPr>
                  </w:pPr>
                </w:p>
              </w:tc>
              <w:tc>
                <w:tcPr>
                  <w:tcW w:w="2313" w:type="dxa"/>
                  <w:vAlign w:val="center"/>
                </w:tcPr>
                <w:p w14:paraId="5DFE68E6">
                  <w:pPr>
                    <w:autoSpaceDE w:val="0"/>
                    <w:autoSpaceDN w:val="0"/>
                    <w:adjustRightInd w:val="0"/>
                    <w:snapToGrid w:val="0"/>
                    <w:jc w:val="center"/>
                    <w:rPr>
                      <w:color w:val="auto"/>
                      <w:szCs w:val="21"/>
                    </w:rPr>
                  </w:pPr>
                  <w:r>
                    <w:rPr>
                      <w:rFonts w:hint="eastAsia"/>
                      <w:color w:val="auto"/>
                      <w:szCs w:val="21"/>
                    </w:rPr>
                    <w:t>青城四面刨</w:t>
                  </w:r>
                </w:p>
              </w:tc>
              <w:tc>
                <w:tcPr>
                  <w:tcW w:w="2258" w:type="dxa"/>
                  <w:vAlign w:val="center"/>
                </w:tcPr>
                <w:p w14:paraId="5458417E">
                  <w:pPr>
                    <w:autoSpaceDE w:val="0"/>
                    <w:autoSpaceDN w:val="0"/>
                    <w:adjustRightInd w:val="0"/>
                    <w:snapToGrid w:val="0"/>
                    <w:jc w:val="center"/>
                    <w:rPr>
                      <w:color w:val="auto"/>
                      <w:szCs w:val="21"/>
                    </w:rPr>
                  </w:pPr>
                  <w:r>
                    <w:rPr>
                      <w:rFonts w:hint="eastAsia"/>
                      <w:color w:val="auto"/>
                      <w:szCs w:val="21"/>
                    </w:rPr>
                    <w:t>/</w:t>
                  </w:r>
                </w:p>
              </w:tc>
              <w:tc>
                <w:tcPr>
                  <w:tcW w:w="1182" w:type="dxa"/>
                  <w:vAlign w:val="top"/>
                </w:tcPr>
                <w:p w14:paraId="76F72506">
                  <w:pPr>
                    <w:autoSpaceDE w:val="0"/>
                    <w:autoSpaceDN w:val="0"/>
                    <w:adjustRightInd w:val="0"/>
                    <w:snapToGrid w:val="0"/>
                    <w:jc w:val="center"/>
                    <w:rPr>
                      <w:color w:val="auto"/>
                      <w:szCs w:val="21"/>
                    </w:rPr>
                  </w:pPr>
                  <w:r>
                    <w:rPr>
                      <w:rFonts w:hint="eastAsia"/>
                      <w:color w:val="auto"/>
                      <w:szCs w:val="21"/>
                    </w:rPr>
                    <w:t>1</w:t>
                  </w:r>
                </w:p>
              </w:tc>
              <w:tc>
                <w:tcPr>
                  <w:tcW w:w="1182" w:type="dxa"/>
                  <w:vMerge w:val="continue"/>
                  <w:vAlign w:val="top"/>
                </w:tcPr>
                <w:p w14:paraId="1D82FBA6">
                  <w:pPr>
                    <w:autoSpaceDE w:val="0"/>
                    <w:autoSpaceDN w:val="0"/>
                    <w:adjustRightInd w:val="0"/>
                    <w:snapToGrid w:val="0"/>
                    <w:jc w:val="center"/>
                    <w:rPr>
                      <w:rFonts w:hint="eastAsia"/>
                      <w:color w:val="auto"/>
                      <w:szCs w:val="21"/>
                    </w:rPr>
                  </w:pPr>
                </w:p>
              </w:tc>
            </w:tr>
            <w:tr w14:paraId="06C350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716" w:type="dxa"/>
                  <w:vAlign w:val="center"/>
                </w:tcPr>
                <w:p w14:paraId="2D90DA15">
                  <w:pPr>
                    <w:widowControl/>
                    <w:jc w:val="center"/>
                    <w:textAlignment w:val="center"/>
                    <w:rPr>
                      <w:rFonts w:hint="eastAsia" w:eastAsia="宋体"/>
                      <w:color w:val="auto"/>
                      <w:kern w:val="2"/>
                      <w:sz w:val="21"/>
                      <w:szCs w:val="21"/>
                      <w:lang w:val="en-US" w:eastAsia="zh-CN" w:bidi="ar-SA"/>
                    </w:rPr>
                  </w:pPr>
                  <w:r>
                    <w:rPr>
                      <w:rFonts w:hint="eastAsia"/>
                      <w:color w:val="auto"/>
                      <w:szCs w:val="21"/>
                    </w:rPr>
                    <w:t>4</w:t>
                  </w:r>
                  <w:r>
                    <w:rPr>
                      <w:rFonts w:hint="eastAsia"/>
                      <w:color w:val="auto"/>
                      <w:szCs w:val="21"/>
                      <w:lang w:val="en-US" w:eastAsia="zh-CN"/>
                    </w:rPr>
                    <w:t>2</w:t>
                  </w:r>
                </w:p>
              </w:tc>
              <w:tc>
                <w:tcPr>
                  <w:tcW w:w="950" w:type="dxa"/>
                  <w:vMerge w:val="continue"/>
                  <w:vAlign w:val="center"/>
                </w:tcPr>
                <w:p w14:paraId="43EB002D">
                  <w:pPr>
                    <w:widowControl/>
                    <w:jc w:val="center"/>
                    <w:textAlignment w:val="center"/>
                    <w:rPr>
                      <w:rFonts w:hint="eastAsia"/>
                      <w:color w:val="auto"/>
                      <w:szCs w:val="21"/>
                    </w:rPr>
                  </w:pPr>
                </w:p>
              </w:tc>
              <w:tc>
                <w:tcPr>
                  <w:tcW w:w="2313" w:type="dxa"/>
                  <w:vAlign w:val="center"/>
                </w:tcPr>
                <w:p w14:paraId="1DF50C2A">
                  <w:pPr>
                    <w:autoSpaceDE w:val="0"/>
                    <w:autoSpaceDN w:val="0"/>
                    <w:adjustRightInd w:val="0"/>
                    <w:snapToGrid w:val="0"/>
                    <w:jc w:val="center"/>
                    <w:rPr>
                      <w:rFonts w:hint="eastAsia"/>
                      <w:color w:val="auto"/>
                      <w:szCs w:val="21"/>
                    </w:rPr>
                  </w:pPr>
                  <w:r>
                    <w:rPr>
                      <w:rFonts w:hint="eastAsia"/>
                      <w:color w:val="auto"/>
                      <w:szCs w:val="21"/>
                    </w:rPr>
                    <w:t>荣豪拼板机</w:t>
                  </w:r>
                </w:p>
              </w:tc>
              <w:tc>
                <w:tcPr>
                  <w:tcW w:w="2258" w:type="dxa"/>
                  <w:vAlign w:val="top"/>
                </w:tcPr>
                <w:p w14:paraId="13B95004">
                  <w:pPr>
                    <w:autoSpaceDE w:val="0"/>
                    <w:autoSpaceDN w:val="0"/>
                    <w:adjustRightInd w:val="0"/>
                    <w:snapToGrid w:val="0"/>
                    <w:jc w:val="center"/>
                    <w:rPr>
                      <w:color w:val="auto"/>
                      <w:szCs w:val="21"/>
                    </w:rPr>
                  </w:pPr>
                  <w:r>
                    <w:rPr>
                      <w:rFonts w:hint="eastAsia"/>
                      <w:color w:val="auto"/>
                      <w:szCs w:val="21"/>
                    </w:rPr>
                    <w:t>/</w:t>
                  </w:r>
                </w:p>
              </w:tc>
              <w:tc>
                <w:tcPr>
                  <w:tcW w:w="1182" w:type="dxa"/>
                  <w:vAlign w:val="top"/>
                </w:tcPr>
                <w:p w14:paraId="2BC30A9D">
                  <w:pPr>
                    <w:autoSpaceDE w:val="0"/>
                    <w:autoSpaceDN w:val="0"/>
                    <w:adjustRightInd w:val="0"/>
                    <w:snapToGrid w:val="0"/>
                    <w:jc w:val="center"/>
                    <w:rPr>
                      <w:color w:val="auto"/>
                      <w:szCs w:val="21"/>
                    </w:rPr>
                  </w:pPr>
                  <w:r>
                    <w:rPr>
                      <w:rFonts w:hint="eastAsia"/>
                      <w:color w:val="auto"/>
                      <w:szCs w:val="21"/>
                    </w:rPr>
                    <w:t>1</w:t>
                  </w:r>
                </w:p>
              </w:tc>
              <w:tc>
                <w:tcPr>
                  <w:tcW w:w="1182" w:type="dxa"/>
                  <w:vMerge w:val="continue"/>
                  <w:vAlign w:val="top"/>
                </w:tcPr>
                <w:p w14:paraId="1707D7C7">
                  <w:pPr>
                    <w:autoSpaceDE w:val="0"/>
                    <w:autoSpaceDN w:val="0"/>
                    <w:adjustRightInd w:val="0"/>
                    <w:snapToGrid w:val="0"/>
                    <w:jc w:val="center"/>
                    <w:rPr>
                      <w:rFonts w:hint="eastAsia"/>
                      <w:color w:val="auto"/>
                      <w:szCs w:val="21"/>
                    </w:rPr>
                  </w:pPr>
                </w:p>
              </w:tc>
            </w:tr>
            <w:tr w14:paraId="4BABD6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716" w:type="dxa"/>
                  <w:vAlign w:val="center"/>
                </w:tcPr>
                <w:p w14:paraId="3AF653C8">
                  <w:pPr>
                    <w:widowControl/>
                    <w:jc w:val="center"/>
                    <w:textAlignment w:val="center"/>
                    <w:rPr>
                      <w:rFonts w:hint="eastAsia" w:eastAsia="宋体"/>
                      <w:color w:val="auto"/>
                      <w:kern w:val="2"/>
                      <w:sz w:val="21"/>
                      <w:szCs w:val="21"/>
                      <w:lang w:val="en-US" w:eastAsia="zh-CN" w:bidi="ar-SA"/>
                    </w:rPr>
                  </w:pPr>
                  <w:r>
                    <w:rPr>
                      <w:rFonts w:hint="eastAsia"/>
                      <w:color w:val="auto"/>
                      <w:szCs w:val="21"/>
                    </w:rPr>
                    <w:t>4</w:t>
                  </w:r>
                  <w:r>
                    <w:rPr>
                      <w:rFonts w:hint="eastAsia"/>
                      <w:color w:val="auto"/>
                      <w:szCs w:val="21"/>
                      <w:lang w:val="en-US" w:eastAsia="zh-CN"/>
                    </w:rPr>
                    <w:t>3</w:t>
                  </w:r>
                </w:p>
              </w:tc>
              <w:tc>
                <w:tcPr>
                  <w:tcW w:w="950" w:type="dxa"/>
                  <w:vMerge w:val="continue"/>
                  <w:vAlign w:val="center"/>
                </w:tcPr>
                <w:p w14:paraId="3C1C6ECF">
                  <w:pPr>
                    <w:widowControl/>
                    <w:jc w:val="center"/>
                    <w:textAlignment w:val="center"/>
                    <w:rPr>
                      <w:rFonts w:hint="eastAsia"/>
                      <w:color w:val="auto"/>
                      <w:szCs w:val="21"/>
                    </w:rPr>
                  </w:pPr>
                </w:p>
              </w:tc>
              <w:tc>
                <w:tcPr>
                  <w:tcW w:w="2313" w:type="dxa"/>
                  <w:vAlign w:val="center"/>
                </w:tcPr>
                <w:p w14:paraId="671BB66D">
                  <w:pPr>
                    <w:widowControl/>
                    <w:jc w:val="center"/>
                    <w:rPr>
                      <w:rFonts w:hint="eastAsia"/>
                      <w:color w:val="auto"/>
                      <w:kern w:val="0"/>
                      <w:szCs w:val="21"/>
                    </w:rPr>
                  </w:pPr>
                  <w:r>
                    <w:rPr>
                      <w:rFonts w:hint="eastAsia"/>
                      <w:color w:val="auto"/>
                      <w:kern w:val="0"/>
                      <w:szCs w:val="21"/>
                    </w:rPr>
                    <w:t>风车拼板机</w:t>
                  </w:r>
                </w:p>
              </w:tc>
              <w:tc>
                <w:tcPr>
                  <w:tcW w:w="2258" w:type="dxa"/>
                  <w:vAlign w:val="top"/>
                </w:tcPr>
                <w:p w14:paraId="29D65AC5">
                  <w:pPr>
                    <w:autoSpaceDE w:val="0"/>
                    <w:autoSpaceDN w:val="0"/>
                    <w:adjustRightInd w:val="0"/>
                    <w:snapToGrid w:val="0"/>
                    <w:jc w:val="center"/>
                    <w:rPr>
                      <w:color w:val="auto"/>
                      <w:szCs w:val="21"/>
                    </w:rPr>
                  </w:pPr>
                  <w:r>
                    <w:rPr>
                      <w:rFonts w:hint="eastAsia"/>
                      <w:color w:val="auto"/>
                      <w:szCs w:val="21"/>
                    </w:rPr>
                    <w:t>/</w:t>
                  </w:r>
                </w:p>
              </w:tc>
              <w:tc>
                <w:tcPr>
                  <w:tcW w:w="1182" w:type="dxa"/>
                  <w:vAlign w:val="top"/>
                </w:tcPr>
                <w:p w14:paraId="1CF3776B">
                  <w:pPr>
                    <w:autoSpaceDE w:val="0"/>
                    <w:autoSpaceDN w:val="0"/>
                    <w:adjustRightInd w:val="0"/>
                    <w:snapToGrid w:val="0"/>
                    <w:jc w:val="center"/>
                    <w:rPr>
                      <w:color w:val="auto"/>
                      <w:szCs w:val="21"/>
                    </w:rPr>
                  </w:pPr>
                  <w:r>
                    <w:rPr>
                      <w:rFonts w:hint="eastAsia"/>
                      <w:color w:val="auto"/>
                      <w:szCs w:val="21"/>
                    </w:rPr>
                    <w:t>1</w:t>
                  </w:r>
                </w:p>
              </w:tc>
              <w:tc>
                <w:tcPr>
                  <w:tcW w:w="1182" w:type="dxa"/>
                  <w:vMerge w:val="continue"/>
                  <w:vAlign w:val="top"/>
                </w:tcPr>
                <w:p w14:paraId="1333717F">
                  <w:pPr>
                    <w:autoSpaceDE w:val="0"/>
                    <w:autoSpaceDN w:val="0"/>
                    <w:adjustRightInd w:val="0"/>
                    <w:snapToGrid w:val="0"/>
                    <w:jc w:val="center"/>
                    <w:rPr>
                      <w:rFonts w:hint="eastAsia"/>
                      <w:color w:val="auto"/>
                      <w:szCs w:val="21"/>
                    </w:rPr>
                  </w:pPr>
                </w:p>
              </w:tc>
            </w:tr>
            <w:tr w14:paraId="2C881C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716" w:type="dxa"/>
                  <w:vAlign w:val="top"/>
                </w:tcPr>
                <w:p w14:paraId="73F42AFF">
                  <w:pPr>
                    <w:widowControl/>
                    <w:jc w:val="center"/>
                    <w:textAlignment w:val="center"/>
                    <w:rPr>
                      <w:rFonts w:hint="eastAsia" w:eastAsia="宋体"/>
                      <w:color w:val="auto"/>
                      <w:kern w:val="2"/>
                      <w:sz w:val="21"/>
                      <w:szCs w:val="21"/>
                      <w:lang w:val="en-US" w:eastAsia="zh-CN" w:bidi="ar-SA"/>
                    </w:rPr>
                  </w:pPr>
                  <w:r>
                    <w:rPr>
                      <w:rFonts w:hint="eastAsia"/>
                      <w:color w:val="auto"/>
                      <w:szCs w:val="21"/>
                    </w:rPr>
                    <w:t>4</w:t>
                  </w:r>
                  <w:r>
                    <w:rPr>
                      <w:rFonts w:hint="eastAsia"/>
                      <w:color w:val="auto"/>
                      <w:szCs w:val="21"/>
                      <w:lang w:val="en-US" w:eastAsia="zh-CN"/>
                    </w:rPr>
                    <w:t>4</w:t>
                  </w:r>
                </w:p>
              </w:tc>
              <w:tc>
                <w:tcPr>
                  <w:tcW w:w="950" w:type="dxa"/>
                  <w:vMerge w:val="continue"/>
                  <w:vAlign w:val="center"/>
                </w:tcPr>
                <w:p w14:paraId="27F68A74">
                  <w:pPr>
                    <w:widowControl/>
                    <w:jc w:val="center"/>
                    <w:textAlignment w:val="center"/>
                    <w:rPr>
                      <w:rFonts w:hint="eastAsia"/>
                      <w:color w:val="auto"/>
                      <w:szCs w:val="21"/>
                    </w:rPr>
                  </w:pPr>
                </w:p>
              </w:tc>
              <w:tc>
                <w:tcPr>
                  <w:tcW w:w="2313" w:type="dxa"/>
                  <w:vAlign w:val="center"/>
                </w:tcPr>
                <w:p w14:paraId="159EB9A5">
                  <w:pPr>
                    <w:autoSpaceDE w:val="0"/>
                    <w:autoSpaceDN w:val="0"/>
                    <w:adjustRightInd w:val="0"/>
                    <w:snapToGrid w:val="0"/>
                    <w:jc w:val="center"/>
                    <w:rPr>
                      <w:rFonts w:hint="eastAsia"/>
                      <w:color w:val="auto"/>
                      <w:szCs w:val="21"/>
                    </w:rPr>
                  </w:pPr>
                  <w:r>
                    <w:rPr>
                      <w:rFonts w:hint="eastAsia"/>
                      <w:color w:val="auto"/>
                      <w:szCs w:val="21"/>
                    </w:rPr>
                    <w:t>螺杆机</w:t>
                  </w:r>
                </w:p>
              </w:tc>
              <w:tc>
                <w:tcPr>
                  <w:tcW w:w="2258" w:type="dxa"/>
                  <w:vAlign w:val="top"/>
                </w:tcPr>
                <w:p w14:paraId="492424CE">
                  <w:pPr>
                    <w:autoSpaceDE w:val="0"/>
                    <w:autoSpaceDN w:val="0"/>
                    <w:adjustRightInd w:val="0"/>
                    <w:snapToGrid w:val="0"/>
                    <w:jc w:val="center"/>
                    <w:rPr>
                      <w:color w:val="auto"/>
                      <w:szCs w:val="21"/>
                    </w:rPr>
                  </w:pPr>
                  <w:r>
                    <w:rPr>
                      <w:rFonts w:hint="eastAsia"/>
                      <w:color w:val="auto"/>
                      <w:szCs w:val="21"/>
                    </w:rPr>
                    <w:t>/</w:t>
                  </w:r>
                </w:p>
              </w:tc>
              <w:tc>
                <w:tcPr>
                  <w:tcW w:w="1182" w:type="dxa"/>
                  <w:vAlign w:val="top"/>
                </w:tcPr>
                <w:p w14:paraId="04370D24">
                  <w:pPr>
                    <w:autoSpaceDE w:val="0"/>
                    <w:autoSpaceDN w:val="0"/>
                    <w:adjustRightInd w:val="0"/>
                    <w:snapToGrid w:val="0"/>
                    <w:jc w:val="center"/>
                    <w:rPr>
                      <w:color w:val="auto"/>
                      <w:szCs w:val="21"/>
                    </w:rPr>
                  </w:pPr>
                  <w:r>
                    <w:rPr>
                      <w:rFonts w:hint="eastAsia"/>
                      <w:color w:val="auto"/>
                      <w:szCs w:val="21"/>
                    </w:rPr>
                    <w:t>1</w:t>
                  </w:r>
                </w:p>
              </w:tc>
              <w:tc>
                <w:tcPr>
                  <w:tcW w:w="1182" w:type="dxa"/>
                  <w:vMerge w:val="continue"/>
                  <w:vAlign w:val="top"/>
                </w:tcPr>
                <w:p w14:paraId="22A46A1B">
                  <w:pPr>
                    <w:autoSpaceDE w:val="0"/>
                    <w:autoSpaceDN w:val="0"/>
                    <w:adjustRightInd w:val="0"/>
                    <w:snapToGrid w:val="0"/>
                    <w:jc w:val="center"/>
                    <w:rPr>
                      <w:rFonts w:hint="eastAsia"/>
                      <w:color w:val="auto"/>
                      <w:szCs w:val="21"/>
                    </w:rPr>
                  </w:pPr>
                </w:p>
              </w:tc>
            </w:tr>
            <w:tr w14:paraId="63AB24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716" w:type="dxa"/>
                  <w:vAlign w:val="top"/>
                </w:tcPr>
                <w:p w14:paraId="1C24A5C3">
                  <w:pPr>
                    <w:widowControl/>
                    <w:jc w:val="center"/>
                    <w:textAlignment w:val="center"/>
                    <w:rPr>
                      <w:rFonts w:hint="eastAsia" w:eastAsia="宋体"/>
                      <w:color w:val="auto"/>
                      <w:kern w:val="2"/>
                      <w:sz w:val="21"/>
                      <w:szCs w:val="21"/>
                      <w:lang w:val="en-US" w:eastAsia="zh-CN" w:bidi="ar-SA"/>
                    </w:rPr>
                  </w:pPr>
                  <w:r>
                    <w:rPr>
                      <w:rFonts w:hint="eastAsia"/>
                      <w:color w:val="auto"/>
                      <w:szCs w:val="21"/>
                    </w:rPr>
                    <w:t>4</w:t>
                  </w:r>
                  <w:r>
                    <w:rPr>
                      <w:rFonts w:hint="eastAsia"/>
                      <w:color w:val="auto"/>
                      <w:szCs w:val="21"/>
                      <w:lang w:val="en-US" w:eastAsia="zh-CN"/>
                    </w:rPr>
                    <w:t>5</w:t>
                  </w:r>
                </w:p>
              </w:tc>
              <w:tc>
                <w:tcPr>
                  <w:tcW w:w="950" w:type="dxa"/>
                  <w:vMerge w:val="continue"/>
                  <w:vAlign w:val="center"/>
                </w:tcPr>
                <w:p w14:paraId="4BAF106F">
                  <w:pPr>
                    <w:widowControl/>
                    <w:jc w:val="center"/>
                    <w:textAlignment w:val="center"/>
                    <w:rPr>
                      <w:color w:val="auto"/>
                      <w:szCs w:val="21"/>
                    </w:rPr>
                  </w:pPr>
                </w:p>
              </w:tc>
              <w:tc>
                <w:tcPr>
                  <w:tcW w:w="2313" w:type="dxa"/>
                  <w:vAlign w:val="center"/>
                </w:tcPr>
                <w:p w14:paraId="6B543836">
                  <w:pPr>
                    <w:autoSpaceDE w:val="0"/>
                    <w:autoSpaceDN w:val="0"/>
                    <w:adjustRightInd w:val="0"/>
                    <w:snapToGrid w:val="0"/>
                    <w:jc w:val="center"/>
                    <w:rPr>
                      <w:color w:val="auto"/>
                      <w:szCs w:val="21"/>
                    </w:rPr>
                  </w:pPr>
                  <w:r>
                    <w:rPr>
                      <w:rFonts w:hint="eastAsia"/>
                      <w:color w:val="auto"/>
                      <w:szCs w:val="21"/>
                    </w:rPr>
                    <w:t>干燥机</w:t>
                  </w:r>
                </w:p>
              </w:tc>
              <w:tc>
                <w:tcPr>
                  <w:tcW w:w="2258" w:type="dxa"/>
                  <w:vAlign w:val="top"/>
                </w:tcPr>
                <w:p w14:paraId="5A167A04">
                  <w:pPr>
                    <w:autoSpaceDE w:val="0"/>
                    <w:autoSpaceDN w:val="0"/>
                    <w:adjustRightInd w:val="0"/>
                    <w:snapToGrid w:val="0"/>
                    <w:jc w:val="center"/>
                    <w:rPr>
                      <w:color w:val="auto"/>
                      <w:szCs w:val="21"/>
                    </w:rPr>
                  </w:pPr>
                  <w:r>
                    <w:rPr>
                      <w:rFonts w:hint="eastAsia"/>
                      <w:color w:val="auto"/>
                      <w:szCs w:val="21"/>
                    </w:rPr>
                    <w:t>/</w:t>
                  </w:r>
                </w:p>
              </w:tc>
              <w:tc>
                <w:tcPr>
                  <w:tcW w:w="1182" w:type="dxa"/>
                  <w:vAlign w:val="top"/>
                </w:tcPr>
                <w:p w14:paraId="3F1E8942">
                  <w:pPr>
                    <w:autoSpaceDE w:val="0"/>
                    <w:autoSpaceDN w:val="0"/>
                    <w:adjustRightInd w:val="0"/>
                    <w:snapToGrid w:val="0"/>
                    <w:jc w:val="center"/>
                    <w:rPr>
                      <w:color w:val="auto"/>
                      <w:szCs w:val="21"/>
                    </w:rPr>
                  </w:pPr>
                  <w:r>
                    <w:rPr>
                      <w:rFonts w:hint="eastAsia"/>
                      <w:color w:val="auto"/>
                      <w:szCs w:val="21"/>
                    </w:rPr>
                    <w:t>1</w:t>
                  </w:r>
                </w:p>
              </w:tc>
              <w:tc>
                <w:tcPr>
                  <w:tcW w:w="1182" w:type="dxa"/>
                  <w:vMerge w:val="continue"/>
                  <w:vAlign w:val="top"/>
                </w:tcPr>
                <w:p w14:paraId="139AE33B">
                  <w:pPr>
                    <w:autoSpaceDE w:val="0"/>
                    <w:autoSpaceDN w:val="0"/>
                    <w:adjustRightInd w:val="0"/>
                    <w:snapToGrid w:val="0"/>
                    <w:jc w:val="center"/>
                    <w:rPr>
                      <w:rFonts w:hint="eastAsia"/>
                      <w:color w:val="auto"/>
                      <w:szCs w:val="21"/>
                    </w:rPr>
                  </w:pPr>
                </w:p>
              </w:tc>
            </w:tr>
            <w:tr w14:paraId="459A7D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716" w:type="dxa"/>
                  <w:vAlign w:val="top"/>
                </w:tcPr>
                <w:p w14:paraId="4E317233">
                  <w:pPr>
                    <w:widowControl/>
                    <w:jc w:val="center"/>
                    <w:textAlignment w:val="center"/>
                    <w:rPr>
                      <w:rFonts w:hint="eastAsia" w:eastAsia="宋体"/>
                      <w:color w:val="auto"/>
                      <w:kern w:val="2"/>
                      <w:sz w:val="21"/>
                      <w:szCs w:val="21"/>
                      <w:lang w:val="en-US" w:eastAsia="zh-CN" w:bidi="ar-SA"/>
                    </w:rPr>
                  </w:pPr>
                  <w:r>
                    <w:rPr>
                      <w:rFonts w:hint="eastAsia"/>
                      <w:color w:val="auto"/>
                      <w:szCs w:val="21"/>
                    </w:rPr>
                    <w:t>4</w:t>
                  </w:r>
                  <w:r>
                    <w:rPr>
                      <w:rFonts w:hint="eastAsia"/>
                      <w:color w:val="auto"/>
                      <w:szCs w:val="21"/>
                      <w:lang w:val="en-US" w:eastAsia="zh-CN"/>
                    </w:rPr>
                    <w:t>6</w:t>
                  </w:r>
                </w:p>
              </w:tc>
              <w:tc>
                <w:tcPr>
                  <w:tcW w:w="950" w:type="dxa"/>
                  <w:vMerge w:val="continue"/>
                  <w:vAlign w:val="center"/>
                </w:tcPr>
                <w:p w14:paraId="5C4E8503">
                  <w:pPr>
                    <w:widowControl/>
                    <w:jc w:val="center"/>
                    <w:textAlignment w:val="center"/>
                    <w:rPr>
                      <w:color w:val="auto"/>
                      <w:szCs w:val="21"/>
                    </w:rPr>
                  </w:pPr>
                </w:p>
              </w:tc>
              <w:tc>
                <w:tcPr>
                  <w:tcW w:w="2313" w:type="dxa"/>
                  <w:vAlign w:val="center"/>
                </w:tcPr>
                <w:p w14:paraId="5A244AA5">
                  <w:pPr>
                    <w:autoSpaceDE w:val="0"/>
                    <w:autoSpaceDN w:val="0"/>
                    <w:adjustRightInd w:val="0"/>
                    <w:snapToGrid w:val="0"/>
                    <w:jc w:val="center"/>
                    <w:rPr>
                      <w:color w:val="auto"/>
                      <w:szCs w:val="21"/>
                    </w:rPr>
                  </w:pPr>
                  <w:r>
                    <w:rPr>
                      <w:rFonts w:hint="eastAsia"/>
                      <w:color w:val="auto"/>
                      <w:szCs w:val="21"/>
                    </w:rPr>
                    <w:t>推台锯</w:t>
                  </w:r>
                </w:p>
              </w:tc>
              <w:tc>
                <w:tcPr>
                  <w:tcW w:w="2258" w:type="dxa"/>
                  <w:vAlign w:val="top"/>
                </w:tcPr>
                <w:p w14:paraId="4F152431">
                  <w:pPr>
                    <w:autoSpaceDE w:val="0"/>
                    <w:autoSpaceDN w:val="0"/>
                    <w:adjustRightInd w:val="0"/>
                    <w:snapToGrid w:val="0"/>
                    <w:jc w:val="center"/>
                    <w:rPr>
                      <w:color w:val="auto"/>
                      <w:szCs w:val="21"/>
                    </w:rPr>
                  </w:pPr>
                  <w:r>
                    <w:rPr>
                      <w:rFonts w:hint="eastAsia"/>
                      <w:color w:val="auto"/>
                      <w:szCs w:val="21"/>
                    </w:rPr>
                    <w:t>/</w:t>
                  </w:r>
                </w:p>
              </w:tc>
              <w:tc>
                <w:tcPr>
                  <w:tcW w:w="1182" w:type="dxa"/>
                  <w:vAlign w:val="top"/>
                </w:tcPr>
                <w:p w14:paraId="7A69494D">
                  <w:pPr>
                    <w:autoSpaceDE w:val="0"/>
                    <w:autoSpaceDN w:val="0"/>
                    <w:adjustRightInd w:val="0"/>
                    <w:snapToGrid w:val="0"/>
                    <w:jc w:val="center"/>
                    <w:rPr>
                      <w:color w:val="auto"/>
                      <w:szCs w:val="21"/>
                    </w:rPr>
                  </w:pPr>
                  <w:r>
                    <w:rPr>
                      <w:rFonts w:hint="eastAsia"/>
                      <w:color w:val="auto"/>
                      <w:szCs w:val="21"/>
                    </w:rPr>
                    <w:t>1</w:t>
                  </w:r>
                </w:p>
              </w:tc>
              <w:tc>
                <w:tcPr>
                  <w:tcW w:w="1182" w:type="dxa"/>
                  <w:vMerge w:val="continue"/>
                  <w:vAlign w:val="top"/>
                </w:tcPr>
                <w:p w14:paraId="79B3E9F3">
                  <w:pPr>
                    <w:autoSpaceDE w:val="0"/>
                    <w:autoSpaceDN w:val="0"/>
                    <w:adjustRightInd w:val="0"/>
                    <w:snapToGrid w:val="0"/>
                    <w:jc w:val="center"/>
                    <w:rPr>
                      <w:rFonts w:hint="eastAsia"/>
                      <w:color w:val="auto"/>
                      <w:szCs w:val="21"/>
                    </w:rPr>
                  </w:pPr>
                </w:p>
              </w:tc>
            </w:tr>
            <w:tr w14:paraId="5D29E2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716" w:type="dxa"/>
                  <w:vAlign w:val="top"/>
                </w:tcPr>
                <w:p w14:paraId="2BD20568">
                  <w:pPr>
                    <w:widowControl/>
                    <w:jc w:val="center"/>
                    <w:textAlignment w:val="center"/>
                    <w:rPr>
                      <w:rFonts w:hint="default" w:eastAsia="宋体"/>
                      <w:color w:val="auto"/>
                      <w:kern w:val="2"/>
                      <w:sz w:val="21"/>
                      <w:szCs w:val="21"/>
                      <w:lang w:val="en-US" w:eastAsia="zh-CN" w:bidi="ar-SA"/>
                    </w:rPr>
                  </w:pPr>
                  <w:r>
                    <w:rPr>
                      <w:rFonts w:hint="eastAsia"/>
                      <w:color w:val="auto"/>
                      <w:szCs w:val="21"/>
                      <w:lang w:val="en-US" w:eastAsia="zh-CN"/>
                    </w:rPr>
                    <w:t>47</w:t>
                  </w:r>
                </w:p>
              </w:tc>
              <w:tc>
                <w:tcPr>
                  <w:tcW w:w="950" w:type="dxa"/>
                  <w:vMerge w:val="continue"/>
                  <w:vAlign w:val="center"/>
                </w:tcPr>
                <w:p w14:paraId="03AA55B7">
                  <w:pPr>
                    <w:widowControl/>
                    <w:jc w:val="center"/>
                    <w:textAlignment w:val="center"/>
                    <w:rPr>
                      <w:color w:val="auto"/>
                      <w:kern w:val="0"/>
                      <w:szCs w:val="21"/>
                      <w:lang w:bidi="ar"/>
                    </w:rPr>
                  </w:pPr>
                </w:p>
              </w:tc>
              <w:tc>
                <w:tcPr>
                  <w:tcW w:w="2313" w:type="dxa"/>
                  <w:vAlign w:val="center"/>
                </w:tcPr>
                <w:p w14:paraId="345DE358">
                  <w:pPr>
                    <w:autoSpaceDE w:val="0"/>
                    <w:autoSpaceDN w:val="0"/>
                    <w:adjustRightInd w:val="0"/>
                    <w:snapToGrid w:val="0"/>
                    <w:jc w:val="center"/>
                    <w:rPr>
                      <w:color w:val="auto"/>
                      <w:szCs w:val="21"/>
                    </w:rPr>
                  </w:pPr>
                  <w:r>
                    <w:rPr>
                      <w:rFonts w:hint="eastAsia"/>
                      <w:color w:val="auto"/>
                      <w:szCs w:val="21"/>
                    </w:rPr>
                    <w:t>截锯</w:t>
                  </w:r>
                </w:p>
              </w:tc>
              <w:tc>
                <w:tcPr>
                  <w:tcW w:w="2258" w:type="dxa"/>
                  <w:vAlign w:val="top"/>
                </w:tcPr>
                <w:p w14:paraId="59089420">
                  <w:pPr>
                    <w:autoSpaceDE w:val="0"/>
                    <w:autoSpaceDN w:val="0"/>
                    <w:adjustRightInd w:val="0"/>
                    <w:snapToGrid w:val="0"/>
                    <w:jc w:val="center"/>
                    <w:rPr>
                      <w:rFonts w:hint="eastAsia"/>
                      <w:color w:val="auto"/>
                      <w:szCs w:val="21"/>
                    </w:rPr>
                  </w:pPr>
                  <w:r>
                    <w:rPr>
                      <w:rFonts w:hint="eastAsia"/>
                      <w:color w:val="auto"/>
                      <w:szCs w:val="21"/>
                    </w:rPr>
                    <w:t>/</w:t>
                  </w:r>
                </w:p>
              </w:tc>
              <w:tc>
                <w:tcPr>
                  <w:tcW w:w="1182" w:type="dxa"/>
                  <w:vAlign w:val="top"/>
                </w:tcPr>
                <w:p w14:paraId="0B1AAF37">
                  <w:pPr>
                    <w:autoSpaceDE w:val="0"/>
                    <w:autoSpaceDN w:val="0"/>
                    <w:adjustRightInd w:val="0"/>
                    <w:snapToGrid w:val="0"/>
                    <w:jc w:val="center"/>
                    <w:rPr>
                      <w:rFonts w:hint="eastAsia"/>
                      <w:color w:val="auto"/>
                      <w:szCs w:val="21"/>
                    </w:rPr>
                  </w:pPr>
                  <w:r>
                    <w:rPr>
                      <w:rFonts w:hint="eastAsia"/>
                      <w:color w:val="auto"/>
                      <w:szCs w:val="21"/>
                    </w:rPr>
                    <w:t>2</w:t>
                  </w:r>
                </w:p>
              </w:tc>
              <w:tc>
                <w:tcPr>
                  <w:tcW w:w="1182" w:type="dxa"/>
                  <w:vMerge w:val="continue"/>
                  <w:vAlign w:val="top"/>
                </w:tcPr>
                <w:p w14:paraId="7A0BC21A">
                  <w:pPr>
                    <w:autoSpaceDE w:val="0"/>
                    <w:autoSpaceDN w:val="0"/>
                    <w:adjustRightInd w:val="0"/>
                    <w:snapToGrid w:val="0"/>
                    <w:jc w:val="center"/>
                    <w:rPr>
                      <w:rFonts w:hint="eastAsia"/>
                      <w:color w:val="auto"/>
                      <w:szCs w:val="21"/>
                    </w:rPr>
                  </w:pPr>
                </w:p>
              </w:tc>
            </w:tr>
            <w:tr w14:paraId="0B75E0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716" w:type="dxa"/>
                  <w:vAlign w:val="top"/>
                </w:tcPr>
                <w:p w14:paraId="55BA7934">
                  <w:pPr>
                    <w:widowControl/>
                    <w:jc w:val="center"/>
                    <w:textAlignment w:val="center"/>
                    <w:rPr>
                      <w:rFonts w:hint="default" w:eastAsia="宋体"/>
                      <w:color w:val="auto"/>
                      <w:kern w:val="2"/>
                      <w:sz w:val="21"/>
                      <w:szCs w:val="21"/>
                      <w:lang w:val="en-US" w:eastAsia="zh-CN" w:bidi="ar-SA"/>
                    </w:rPr>
                  </w:pPr>
                  <w:r>
                    <w:rPr>
                      <w:rFonts w:hint="eastAsia"/>
                      <w:color w:val="auto"/>
                      <w:szCs w:val="21"/>
                      <w:lang w:val="en-US" w:eastAsia="zh-CN"/>
                    </w:rPr>
                    <w:t>48</w:t>
                  </w:r>
                </w:p>
              </w:tc>
              <w:tc>
                <w:tcPr>
                  <w:tcW w:w="950" w:type="dxa"/>
                  <w:vMerge w:val="continue"/>
                  <w:vAlign w:val="top"/>
                </w:tcPr>
                <w:p w14:paraId="0F69EB0F">
                  <w:pPr>
                    <w:widowControl/>
                    <w:jc w:val="center"/>
                    <w:textAlignment w:val="center"/>
                    <w:rPr>
                      <w:color w:val="auto"/>
                      <w:kern w:val="0"/>
                      <w:szCs w:val="21"/>
                      <w:lang w:bidi="ar"/>
                    </w:rPr>
                  </w:pPr>
                </w:p>
              </w:tc>
              <w:tc>
                <w:tcPr>
                  <w:tcW w:w="2313" w:type="dxa"/>
                  <w:vAlign w:val="center"/>
                </w:tcPr>
                <w:p w14:paraId="72805A0D">
                  <w:pPr>
                    <w:autoSpaceDE w:val="0"/>
                    <w:autoSpaceDN w:val="0"/>
                    <w:adjustRightInd w:val="0"/>
                    <w:snapToGrid w:val="0"/>
                    <w:jc w:val="center"/>
                    <w:rPr>
                      <w:color w:val="auto"/>
                      <w:szCs w:val="21"/>
                    </w:rPr>
                  </w:pPr>
                  <w:r>
                    <w:rPr>
                      <w:rFonts w:hint="eastAsia"/>
                      <w:color w:val="auto"/>
                      <w:szCs w:val="21"/>
                    </w:rPr>
                    <w:t>青林高频机</w:t>
                  </w:r>
                </w:p>
              </w:tc>
              <w:tc>
                <w:tcPr>
                  <w:tcW w:w="2258" w:type="dxa"/>
                  <w:vAlign w:val="top"/>
                </w:tcPr>
                <w:p w14:paraId="082392C7">
                  <w:pPr>
                    <w:autoSpaceDE w:val="0"/>
                    <w:autoSpaceDN w:val="0"/>
                    <w:adjustRightInd w:val="0"/>
                    <w:snapToGrid w:val="0"/>
                    <w:jc w:val="center"/>
                    <w:rPr>
                      <w:rFonts w:hint="eastAsia"/>
                      <w:color w:val="auto"/>
                      <w:szCs w:val="21"/>
                    </w:rPr>
                  </w:pPr>
                  <w:r>
                    <w:rPr>
                      <w:rFonts w:hint="eastAsia"/>
                      <w:color w:val="auto"/>
                      <w:szCs w:val="21"/>
                    </w:rPr>
                    <w:t>/</w:t>
                  </w:r>
                </w:p>
              </w:tc>
              <w:tc>
                <w:tcPr>
                  <w:tcW w:w="1182" w:type="dxa"/>
                  <w:vAlign w:val="top"/>
                </w:tcPr>
                <w:p w14:paraId="54ABCAE9">
                  <w:pPr>
                    <w:autoSpaceDE w:val="0"/>
                    <w:autoSpaceDN w:val="0"/>
                    <w:adjustRightInd w:val="0"/>
                    <w:snapToGrid w:val="0"/>
                    <w:jc w:val="center"/>
                    <w:rPr>
                      <w:rFonts w:hint="eastAsia"/>
                      <w:color w:val="auto"/>
                      <w:szCs w:val="21"/>
                    </w:rPr>
                  </w:pPr>
                  <w:r>
                    <w:rPr>
                      <w:rFonts w:hint="eastAsia"/>
                      <w:color w:val="auto"/>
                      <w:szCs w:val="21"/>
                    </w:rPr>
                    <w:t>1</w:t>
                  </w:r>
                </w:p>
              </w:tc>
              <w:tc>
                <w:tcPr>
                  <w:tcW w:w="1182" w:type="dxa"/>
                  <w:vMerge w:val="continue"/>
                  <w:vAlign w:val="top"/>
                </w:tcPr>
                <w:p w14:paraId="4867A2EA">
                  <w:pPr>
                    <w:autoSpaceDE w:val="0"/>
                    <w:autoSpaceDN w:val="0"/>
                    <w:adjustRightInd w:val="0"/>
                    <w:snapToGrid w:val="0"/>
                    <w:jc w:val="center"/>
                    <w:rPr>
                      <w:rFonts w:hint="eastAsia"/>
                      <w:color w:val="auto"/>
                      <w:szCs w:val="21"/>
                    </w:rPr>
                  </w:pPr>
                </w:p>
              </w:tc>
            </w:tr>
            <w:tr w14:paraId="5ADC0B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716" w:type="dxa"/>
                  <w:vAlign w:val="top"/>
                </w:tcPr>
                <w:p w14:paraId="7F8251E1">
                  <w:pPr>
                    <w:widowControl/>
                    <w:jc w:val="center"/>
                    <w:textAlignment w:val="center"/>
                    <w:rPr>
                      <w:rFonts w:hint="default" w:eastAsia="宋体"/>
                      <w:color w:val="auto"/>
                      <w:kern w:val="2"/>
                      <w:sz w:val="21"/>
                      <w:szCs w:val="21"/>
                      <w:lang w:val="en-US" w:eastAsia="zh-CN" w:bidi="ar-SA"/>
                    </w:rPr>
                  </w:pPr>
                  <w:r>
                    <w:rPr>
                      <w:rFonts w:hint="eastAsia"/>
                      <w:color w:val="auto"/>
                      <w:szCs w:val="21"/>
                      <w:lang w:val="en-US" w:eastAsia="zh-CN"/>
                    </w:rPr>
                    <w:t>49</w:t>
                  </w:r>
                </w:p>
              </w:tc>
              <w:tc>
                <w:tcPr>
                  <w:tcW w:w="950" w:type="dxa"/>
                  <w:vMerge w:val="continue"/>
                  <w:vAlign w:val="top"/>
                </w:tcPr>
                <w:p w14:paraId="1F2D4C24">
                  <w:pPr>
                    <w:widowControl/>
                    <w:jc w:val="center"/>
                    <w:textAlignment w:val="center"/>
                    <w:rPr>
                      <w:color w:val="auto"/>
                      <w:kern w:val="0"/>
                      <w:szCs w:val="21"/>
                      <w:lang w:bidi="ar"/>
                    </w:rPr>
                  </w:pPr>
                </w:p>
              </w:tc>
              <w:tc>
                <w:tcPr>
                  <w:tcW w:w="2313" w:type="dxa"/>
                  <w:vAlign w:val="center"/>
                </w:tcPr>
                <w:p w14:paraId="36650BBB">
                  <w:pPr>
                    <w:autoSpaceDE w:val="0"/>
                    <w:autoSpaceDN w:val="0"/>
                    <w:adjustRightInd w:val="0"/>
                    <w:snapToGrid w:val="0"/>
                    <w:jc w:val="center"/>
                    <w:rPr>
                      <w:color w:val="auto"/>
                      <w:szCs w:val="21"/>
                    </w:rPr>
                  </w:pPr>
                  <w:r>
                    <w:rPr>
                      <w:rFonts w:hint="eastAsia"/>
                      <w:color w:val="auto"/>
                      <w:szCs w:val="21"/>
                    </w:rPr>
                    <w:t>鲁森刨砂机</w:t>
                  </w:r>
                </w:p>
              </w:tc>
              <w:tc>
                <w:tcPr>
                  <w:tcW w:w="2258" w:type="dxa"/>
                  <w:vAlign w:val="top"/>
                </w:tcPr>
                <w:p w14:paraId="6E84E9B6">
                  <w:pPr>
                    <w:autoSpaceDE w:val="0"/>
                    <w:autoSpaceDN w:val="0"/>
                    <w:adjustRightInd w:val="0"/>
                    <w:snapToGrid w:val="0"/>
                    <w:jc w:val="center"/>
                    <w:rPr>
                      <w:rFonts w:hint="eastAsia"/>
                      <w:color w:val="auto"/>
                      <w:szCs w:val="21"/>
                    </w:rPr>
                  </w:pPr>
                  <w:r>
                    <w:rPr>
                      <w:rFonts w:hint="eastAsia"/>
                      <w:color w:val="auto"/>
                      <w:szCs w:val="21"/>
                    </w:rPr>
                    <w:t>/</w:t>
                  </w:r>
                </w:p>
              </w:tc>
              <w:tc>
                <w:tcPr>
                  <w:tcW w:w="1182" w:type="dxa"/>
                  <w:vAlign w:val="top"/>
                </w:tcPr>
                <w:p w14:paraId="7737C8D1">
                  <w:pPr>
                    <w:autoSpaceDE w:val="0"/>
                    <w:autoSpaceDN w:val="0"/>
                    <w:adjustRightInd w:val="0"/>
                    <w:snapToGrid w:val="0"/>
                    <w:jc w:val="center"/>
                    <w:rPr>
                      <w:rFonts w:hint="eastAsia"/>
                      <w:color w:val="auto"/>
                      <w:szCs w:val="21"/>
                    </w:rPr>
                  </w:pPr>
                  <w:r>
                    <w:rPr>
                      <w:rFonts w:hint="eastAsia"/>
                      <w:color w:val="auto"/>
                      <w:szCs w:val="21"/>
                    </w:rPr>
                    <w:t>1</w:t>
                  </w:r>
                </w:p>
              </w:tc>
              <w:tc>
                <w:tcPr>
                  <w:tcW w:w="1182" w:type="dxa"/>
                  <w:vMerge w:val="continue"/>
                  <w:vAlign w:val="top"/>
                </w:tcPr>
                <w:p w14:paraId="60C9F3F3">
                  <w:pPr>
                    <w:autoSpaceDE w:val="0"/>
                    <w:autoSpaceDN w:val="0"/>
                    <w:adjustRightInd w:val="0"/>
                    <w:snapToGrid w:val="0"/>
                    <w:jc w:val="center"/>
                    <w:rPr>
                      <w:rFonts w:hint="eastAsia"/>
                      <w:color w:val="auto"/>
                      <w:szCs w:val="21"/>
                    </w:rPr>
                  </w:pPr>
                </w:p>
              </w:tc>
            </w:tr>
            <w:tr w14:paraId="2B9529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716" w:type="dxa"/>
                  <w:vAlign w:val="top"/>
                </w:tcPr>
                <w:p w14:paraId="58A22810">
                  <w:pPr>
                    <w:widowControl/>
                    <w:jc w:val="center"/>
                    <w:textAlignment w:val="center"/>
                    <w:rPr>
                      <w:rFonts w:hint="default" w:eastAsia="宋体"/>
                      <w:color w:val="auto"/>
                      <w:szCs w:val="21"/>
                      <w:lang w:val="en-US" w:eastAsia="zh-CN"/>
                    </w:rPr>
                  </w:pPr>
                  <w:r>
                    <w:rPr>
                      <w:rFonts w:hint="eastAsia"/>
                      <w:color w:val="auto"/>
                      <w:szCs w:val="21"/>
                      <w:lang w:val="en-US" w:eastAsia="zh-CN"/>
                    </w:rPr>
                    <w:t>50</w:t>
                  </w:r>
                </w:p>
              </w:tc>
              <w:tc>
                <w:tcPr>
                  <w:tcW w:w="950" w:type="dxa"/>
                  <w:vMerge w:val="continue"/>
                  <w:vAlign w:val="top"/>
                </w:tcPr>
                <w:p w14:paraId="270608D9">
                  <w:pPr>
                    <w:widowControl/>
                    <w:jc w:val="center"/>
                    <w:textAlignment w:val="center"/>
                    <w:rPr>
                      <w:color w:val="auto"/>
                      <w:kern w:val="0"/>
                      <w:szCs w:val="21"/>
                      <w:lang w:bidi="ar"/>
                    </w:rPr>
                  </w:pPr>
                </w:p>
              </w:tc>
              <w:tc>
                <w:tcPr>
                  <w:tcW w:w="2313" w:type="dxa"/>
                  <w:vAlign w:val="center"/>
                </w:tcPr>
                <w:p w14:paraId="3CDE5CAC">
                  <w:pPr>
                    <w:autoSpaceDE w:val="0"/>
                    <w:autoSpaceDN w:val="0"/>
                    <w:adjustRightInd w:val="0"/>
                    <w:snapToGrid w:val="0"/>
                    <w:jc w:val="center"/>
                    <w:rPr>
                      <w:color w:val="auto"/>
                      <w:szCs w:val="21"/>
                    </w:rPr>
                  </w:pPr>
                  <w:r>
                    <w:rPr>
                      <w:rFonts w:hint="eastAsia"/>
                      <w:color w:val="auto"/>
                      <w:szCs w:val="21"/>
                    </w:rPr>
                    <w:t>翻板机</w:t>
                  </w:r>
                </w:p>
              </w:tc>
              <w:tc>
                <w:tcPr>
                  <w:tcW w:w="2258" w:type="dxa"/>
                  <w:vAlign w:val="top"/>
                </w:tcPr>
                <w:p w14:paraId="50561A46">
                  <w:pPr>
                    <w:autoSpaceDE w:val="0"/>
                    <w:autoSpaceDN w:val="0"/>
                    <w:adjustRightInd w:val="0"/>
                    <w:snapToGrid w:val="0"/>
                    <w:jc w:val="center"/>
                    <w:rPr>
                      <w:rFonts w:hint="eastAsia"/>
                      <w:color w:val="auto"/>
                      <w:szCs w:val="21"/>
                    </w:rPr>
                  </w:pPr>
                  <w:r>
                    <w:rPr>
                      <w:rFonts w:hint="eastAsia"/>
                      <w:color w:val="auto"/>
                      <w:szCs w:val="21"/>
                    </w:rPr>
                    <w:t>/</w:t>
                  </w:r>
                </w:p>
              </w:tc>
              <w:tc>
                <w:tcPr>
                  <w:tcW w:w="1182" w:type="dxa"/>
                  <w:vAlign w:val="top"/>
                </w:tcPr>
                <w:p w14:paraId="75F0D7E9">
                  <w:pPr>
                    <w:autoSpaceDE w:val="0"/>
                    <w:autoSpaceDN w:val="0"/>
                    <w:adjustRightInd w:val="0"/>
                    <w:snapToGrid w:val="0"/>
                    <w:jc w:val="center"/>
                    <w:rPr>
                      <w:rFonts w:hint="eastAsia"/>
                      <w:color w:val="auto"/>
                      <w:szCs w:val="21"/>
                    </w:rPr>
                  </w:pPr>
                  <w:r>
                    <w:rPr>
                      <w:rFonts w:hint="eastAsia"/>
                      <w:color w:val="auto"/>
                      <w:szCs w:val="21"/>
                    </w:rPr>
                    <w:t>1</w:t>
                  </w:r>
                </w:p>
              </w:tc>
              <w:tc>
                <w:tcPr>
                  <w:tcW w:w="1182" w:type="dxa"/>
                  <w:vMerge w:val="continue"/>
                  <w:vAlign w:val="top"/>
                </w:tcPr>
                <w:p w14:paraId="768E9352">
                  <w:pPr>
                    <w:autoSpaceDE w:val="0"/>
                    <w:autoSpaceDN w:val="0"/>
                    <w:adjustRightInd w:val="0"/>
                    <w:snapToGrid w:val="0"/>
                    <w:jc w:val="center"/>
                    <w:rPr>
                      <w:rFonts w:hint="eastAsia"/>
                      <w:color w:val="auto"/>
                      <w:szCs w:val="21"/>
                    </w:rPr>
                  </w:pPr>
                </w:p>
              </w:tc>
            </w:tr>
          </w:tbl>
          <w:p w14:paraId="7AB604CD">
            <w:pPr>
              <w:spacing w:line="360" w:lineRule="auto"/>
              <w:rPr>
                <w:b/>
                <w:bCs/>
                <w:color w:val="auto"/>
                <w:sz w:val="24"/>
              </w:rPr>
            </w:pPr>
            <w:r>
              <w:rPr>
                <w:rFonts w:hint="eastAsia"/>
                <w:b/>
                <w:bCs/>
                <w:color w:val="auto"/>
                <w:sz w:val="24"/>
              </w:rPr>
              <w:t>2.3主要原辅料与能源消耗</w:t>
            </w:r>
            <w:bookmarkEnd w:id="68"/>
            <w:bookmarkEnd w:id="69"/>
          </w:p>
          <w:p w14:paraId="63E01FB2">
            <w:pPr>
              <w:spacing w:line="360" w:lineRule="auto"/>
              <w:ind w:firstLine="480" w:firstLineChars="200"/>
              <w:rPr>
                <w:color w:val="auto"/>
                <w:sz w:val="24"/>
              </w:rPr>
            </w:pPr>
            <w:r>
              <w:rPr>
                <w:color w:val="auto"/>
                <w:sz w:val="24"/>
              </w:rPr>
              <w:t>本项目</w:t>
            </w:r>
            <w:r>
              <w:rPr>
                <w:rFonts w:hint="eastAsia"/>
                <w:color w:val="auto"/>
                <w:sz w:val="24"/>
              </w:rPr>
              <w:t>主要</w:t>
            </w:r>
            <w:r>
              <w:rPr>
                <w:color w:val="auto"/>
                <w:sz w:val="24"/>
              </w:rPr>
              <w:t>原辅材料及</w:t>
            </w:r>
            <w:r>
              <w:rPr>
                <w:rFonts w:hint="eastAsia"/>
                <w:color w:val="auto"/>
                <w:sz w:val="24"/>
              </w:rPr>
              <w:t>能源消耗</w:t>
            </w:r>
            <w:r>
              <w:rPr>
                <w:color w:val="auto"/>
                <w:sz w:val="24"/>
              </w:rPr>
              <w:t>见下表</w:t>
            </w:r>
            <w:r>
              <w:rPr>
                <w:rFonts w:hint="eastAsia"/>
                <w:color w:val="auto"/>
                <w:sz w:val="24"/>
              </w:rPr>
              <w:t>。</w:t>
            </w:r>
          </w:p>
          <w:p w14:paraId="54E1EFF9">
            <w:pPr>
              <w:pStyle w:val="46"/>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eastAsia" w:ascii="Times New Roman" w:hAnsi="Arial Unicode MS" w:eastAsia="宋体" w:cs="Times New Roman"/>
                <w:b/>
                <w:color w:val="auto"/>
                <w:kern w:val="2"/>
                <w:sz w:val="24"/>
                <w:szCs w:val="24"/>
                <w:lang w:val="zh-CN" w:eastAsia="zh-CN" w:bidi="ar-SA"/>
              </w:rPr>
            </w:pPr>
            <w:r>
              <w:rPr>
                <w:rFonts w:hint="eastAsia" w:ascii="Times New Roman" w:hAnsi="Arial Unicode MS" w:eastAsia="宋体" w:cs="Times New Roman"/>
                <w:b/>
                <w:color w:val="auto"/>
                <w:kern w:val="2"/>
                <w:sz w:val="24"/>
                <w:szCs w:val="24"/>
                <w:lang w:val="zh-CN" w:eastAsia="zh-CN" w:bidi="ar-SA"/>
              </w:rPr>
              <w:t>项目主要原辅材料及能源消耗一览表</w:t>
            </w:r>
          </w:p>
          <w:tbl>
            <w:tblPr>
              <w:tblStyle w:val="25"/>
              <w:tblW w:w="84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281"/>
              <w:gridCol w:w="1145"/>
              <w:gridCol w:w="887"/>
              <w:gridCol w:w="4419"/>
            </w:tblGrid>
            <w:tr w14:paraId="1892C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8" w:type="dxa"/>
                  <w:vAlign w:val="center"/>
                </w:tcPr>
                <w:p w14:paraId="428BD8BD">
                  <w:pPr>
                    <w:snapToGrid w:val="0"/>
                    <w:jc w:val="center"/>
                    <w:rPr>
                      <w:b/>
                      <w:bCs/>
                      <w:color w:val="auto"/>
                    </w:rPr>
                  </w:pPr>
                  <w:r>
                    <w:rPr>
                      <w:rFonts w:hint="eastAsia"/>
                      <w:b/>
                      <w:bCs/>
                      <w:color w:val="auto"/>
                    </w:rPr>
                    <w:t>类别</w:t>
                  </w:r>
                </w:p>
              </w:tc>
              <w:tc>
                <w:tcPr>
                  <w:tcW w:w="1281" w:type="dxa"/>
                  <w:vAlign w:val="center"/>
                </w:tcPr>
                <w:p w14:paraId="3FCE0A1B">
                  <w:pPr>
                    <w:snapToGrid w:val="0"/>
                    <w:jc w:val="center"/>
                    <w:rPr>
                      <w:b/>
                      <w:bCs/>
                      <w:color w:val="auto"/>
                    </w:rPr>
                  </w:pPr>
                  <w:r>
                    <w:rPr>
                      <w:rFonts w:hint="eastAsia"/>
                      <w:b/>
                      <w:bCs/>
                      <w:color w:val="auto"/>
                    </w:rPr>
                    <w:t>名称</w:t>
                  </w:r>
                </w:p>
              </w:tc>
              <w:tc>
                <w:tcPr>
                  <w:tcW w:w="1145" w:type="dxa"/>
                  <w:vAlign w:val="center"/>
                </w:tcPr>
                <w:p w14:paraId="5F474381">
                  <w:pPr>
                    <w:snapToGrid w:val="0"/>
                    <w:jc w:val="center"/>
                    <w:rPr>
                      <w:rFonts w:hint="eastAsia"/>
                      <w:b/>
                      <w:bCs/>
                      <w:color w:val="auto"/>
                    </w:rPr>
                  </w:pPr>
                  <w:r>
                    <w:rPr>
                      <w:rFonts w:hint="eastAsia"/>
                      <w:b/>
                      <w:bCs/>
                      <w:color w:val="auto"/>
                    </w:rPr>
                    <w:t>规格</w:t>
                  </w:r>
                </w:p>
              </w:tc>
              <w:tc>
                <w:tcPr>
                  <w:tcW w:w="887" w:type="dxa"/>
                  <w:vAlign w:val="center"/>
                </w:tcPr>
                <w:p w14:paraId="50953765">
                  <w:pPr>
                    <w:snapToGrid w:val="0"/>
                    <w:jc w:val="center"/>
                    <w:rPr>
                      <w:rFonts w:hint="eastAsia"/>
                      <w:b/>
                      <w:bCs/>
                      <w:color w:val="auto"/>
                    </w:rPr>
                  </w:pPr>
                  <w:r>
                    <w:rPr>
                      <w:rFonts w:hint="eastAsia"/>
                      <w:b/>
                      <w:bCs/>
                      <w:color w:val="auto"/>
                    </w:rPr>
                    <w:t>年耗量</w:t>
                  </w:r>
                </w:p>
              </w:tc>
              <w:tc>
                <w:tcPr>
                  <w:tcW w:w="4419" w:type="dxa"/>
                  <w:vAlign w:val="center"/>
                </w:tcPr>
                <w:p w14:paraId="4E7D93D7">
                  <w:pPr>
                    <w:snapToGrid w:val="0"/>
                    <w:jc w:val="center"/>
                    <w:rPr>
                      <w:b/>
                      <w:bCs/>
                      <w:color w:val="auto"/>
                    </w:rPr>
                  </w:pPr>
                  <w:r>
                    <w:rPr>
                      <w:rFonts w:hint="eastAsia"/>
                      <w:b/>
                      <w:bCs/>
                      <w:color w:val="auto"/>
                    </w:rPr>
                    <w:t>备注</w:t>
                  </w:r>
                </w:p>
              </w:tc>
            </w:tr>
            <w:tr w14:paraId="23C2F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8" w:type="dxa"/>
                  <w:vMerge w:val="restart"/>
                  <w:vAlign w:val="center"/>
                </w:tcPr>
                <w:p w14:paraId="002AB10A">
                  <w:pPr>
                    <w:snapToGrid w:val="0"/>
                    <w:jc w:val="center"/>
                    <w:rPr>
                      <w:rFonts w:hint="eastAsia"/>
                      <w:b/>
                      <w:bCs/>
                      <w:color w:val="auto"/>
                    </w:rPr>
                  </w:pPr>
                  <w:r>
                    <w:rPr>
                      <w:rFonts w:hint="eastAsia"/>
                      <w:color w:val="auto"/>
                    </w:rPr>
                    <w:t>原料</w:t>
                  </w:r>
                </w:p>
              </w:tc>
              <w:tc>
                <w:tcPr>
                  <w:tcW w:w="1281" w:type="dxa"/>
                  <w:vAlign w:val="center"/>
                </w:tcPr>
                <w:p w14:paraId="26D5165C">
                  <w:pPr>
                    <w:snapToGrid w:val="0"/>
                    <w:jc w:val="center"/>
                    <w:rPr>
                      <w:rFonts w:hint="eastAsia"/>
                      <w:color w:val="auto"/>
                    </w:rPr>
                  </w:pPr>
                  <w:r>
                    <w:rPr>
                      <w:rFonts w:hint="eastAsia"/>
                      <w:color w:val="auto"/>
                    </w:rPr>
                    <w:t>木材</w:t>
                  </w:r>
                </w:p>
              </w:tc>
              <w:tc>
                <w:tcPr>
                  <w:tcW w:w="1145" w:type="dxa"/>
                  <w:vAlign w:val="center"/>
                </w:tcPr>
                <w:p w14:paraId="79D79C39">
                  <w:pPr>
                    <w:snapToGrid w:val="0"/>
                    <w:jc w:val="center"/>
                    <w:rPr>
                      <w:color w:val="auto"/>
                    </w:rPr>
                  </w:pPr>
                  <w:r>
                    <w:rPr>
                      <w:rFonts w:hint="eastAsia"/>
                      <w:color w:val="auto"/>
                    </w:rPr>
                    <w:t>/</w:t>
                  </w:r>
                </w:p>
              </w:tc>
              <w:tc>
                <w:tcPr>
                  <w:tcW w:w="887" w:type="dxa"/>
                  <w:vAlign w:val="center"/>
                </w:tcPr>
                <w:p w14:paraId="71656D13">
                  <w:pPr>
                    <w:snapToGrid w:val="0"/>
                    <w:jc w:val="center"/>
                    <w:rPr>
                      <w:rFonts w:hint="eastAsia"/>
                      <w:color w:val="auto"/>
                    </w:rPr>
                  </w:pPr>
                  <w:r>
                    <w:rPr>
                      <w:rFonts w:hint="eastAsia"/>
                      <w:color w:val="auto"/>
                    </w:rPr>
                    <w:t>1000m</w:t>
                  </w:r>
                  <w:r>
                    <w:rPr>
                      <w:rFonts w:hint="eastAsia"/>
                      <w:color w:val="auto"/>
                      <w:vertAlign w:val="superscript"/>
                    </w:rPr>
                    <w:t>3</w:t>
                  </w:r>
                </w:p>
              </w:tc>
              <w:tc>
                <w:tcPr>
                  <w:tcW w:w="4419" w:type="dxa"/>
                  <w:vAlign w:val="center"/>
                </w:tcPr>
                <w:p w14:paraId="690F5449">
                  <w:pPr>
                    <w:snapToGrid w:val="0"/>
                    <w:jc w:val="center"/>
                    <w:rPr>
                      <w:color w:val="auto"/>
                    </w:rPr>
                  </w:pPr>
                  <w:r>
                    <w:rPr>
                      <w:rFonts w:hint="eastAsia"/>
                      <w:color w:val="auto"/>
                    </w:rPr>
                    <w:t>一车间使用量800m</w:t>
                  </w:r>
                  <w:r>
                    <w:rPr>
                      <w:rFonts w:hint="eastAsia"/>
                      <w:color w:val="auto"/>
                      <w:vertAlign w:val="superscript"/>
                    </w:rPr>
                    <w:t>3</w:t>
                  </w:r>
                  <w:r>
                    <w:rPr>
                      <w:rFonts w:hint="eastAsia"/>
                      <w:color w:val="auto"/>
                    </w:rPr>
                    <w:t>、三车间使用量200m</w:t>
                  </w:r>
                  <w:r>
                    <w:rPr>
                      <w:rFonts w:hint="eastAsia"/>
                      <w:color w:val="auto"/>
                      <w:vertAlign w:val="superscript"/>
                    </w:rPr>
                    <w:t>3</w:t>
                  </w:r>
                </w:p>
              </w:tc>
            </w:tr>
            <w:tr w14:paraId="6A3FB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8" w:type="dxa"/>
                  <w:vMerge w:val="continue"/>
                  <w:vAlign w:val="center"/>
                </w:tcPr>
                <w:p w14:paraId="6489F11E">
                  <w:pPr>
                    <w:snapToGrid w:val="0"/>
                    <w:jc w:val="center"/>
                    <w:rPr>
                      <w:rFonts w:hint="eastAsia"/>
                      <w:b/>
                      <w:bCs/>
                      <w:color w:val="auto"/>
                    </w:rPr>
                  </w:pPr>
                </w:p>
              </w:tc>
              <w:tc>
                <w:tcPr>
                  <w:tcW w:w="1281" w:type="dxa"/>
                  <w:vAlign w:val="center"/>
                </w:tcPr>
                <w:p w14:paraId="5CF94E24">
                  <w:pPr>
                    <w:snapToGrid w:val="0"/>
                    <w:jc w:val="center"/>
                    <w:rPr>
                      <w:color w:val="auto"/>
                    </w:rPr>
                  </w:pPr>
                  <w:r>
                    <w:rPr>
                      <w:rFonts w:hint="eastAsia"/>
                      <w:color w:val="auto"/>
                    </w:rPr>
                    <w:t>板材</w:t>
                  </w:r>
                </w:p>
              </w:tc>
              <w:tc>
                <w:tcPr>
                  <w:tcW w:w="1145" w:type="dxa"/>
                  <w:vAlign w:val="center"/>
                </w:tcPr>
                <w:p w14:paraId="45C6B6ED">
                  <w:pPr>
                    <w:snapToGrid w:val="0"/>
                    <w:jc w:val="center"/>
                    <w:rPr>
                      <w:color w:val="auto"/>
                    </w:rPr>
                  </w:pPr>
                  <w:r>
                    <w:rPr>
                      <w:rFonts w:hint="eastAsia"/>
                      <w:color w:val="auto"/>
                    </w:rPr>
                    <w:t>/</w:t>
                  </w:r>
                </w:p>
              </w:tc>
              <w:tc>
                <w:tcPr>
                  <w:tcW w:w="887" w:type="dxa"/>
                  <w:vAlign w:val="center"/>
                </w:tcPr>
                <w:p w14:paraId="59639391">
                  <w:pPr>
                    <w:snapToGrid w:val="0"/>
                    <w:jc w:val="center"/>
                    <w:rPr>
                      <w:rFonts w:hint="eastAsia"/>
                      <w:color w:val="auto"/>
                    </w:rPr>
                  </w:pPr>
                  <w:r>
                    <w:rPr>
                      <w:rFonts w:hint="eastAsia"/>
                      <w:color w:val="auto"/>
                    </w:rPr>
                    <w:t>300m</w:t>
                  </w:r>
                  <w:r>
                    <w:rPr>
                      <w:rFonts w:hint="eastAsia"/>
                      <w:color w:val="auto"/>
                      <w:vertAlign w:val="superscript"/>
                    </w:rPr>
                    <w:t>3</w:t>
                  </w:r>
                </w:p>
              </w:tc>
              <w:tc>
                <w:tcPr>
                  <w:tcW w:w="4419" w:type="dxa"/>
                  <w:vAlign w:val="center"/>
                </w:tcPr>
                <w:p w14:paraId="1F905889">
                  <w:pPr>
                    <w:snapToGrid w:val="0"/>
                    <w:jc w:val="center"/>
                    <w:rPr>
                      <w:color w:val="auto"/>
                    </w:rPr>
                  </w:pPr>
                  <w:r>
                    <w:rPr>
                      <w:rFonts w:hint="eastAsia"/>
                      <w:color w:val="auto"/>
                    </w:rPr>
                    <w:t>二车间使用量200m</w:t>
                  </w:r>
                  <w:r>
                    <w:rPr>
                      <w:rFonts w:hint="eastAsia"/>
                      <w:color w:val="auto"/>
                      <w:vertAlign w:val="superscript"/>
                    </w:rPr>
                    <w:t>3</w:t>
                  </w:r>
                  <w:r>
                    <w:rPr>
                      <w:rFonts w:hint="eastAsia"/>
                      <w:color w:val="auto"/>
                    </w:rPr>
                    <w:t>、三车间使用量100m</w:t>
                  </w:r>
                  <w:r>
                    <w:rPr>
                      <w:rFonts w:hint="eastAsia"/>
                      <w:color w:val="auto"/>
                      <w:vertAlign w:val="superscript"/>
                    </w:rPr>
                    <w:t>3</w:t>
                  </w:r>
                </w:p>
              </w:tc>
            </w:tr>
            <w:tr w14:paraId="64216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8" w:type="dxa"/>
                  <w:vMerge w:val="continue"/>
                  <w:vAlign w:val="center"/>
                </w:tcPr>
                <w:p w14:paraId="72B97ECE">
                  <w:pPr>
                    <w:snapToGrid w:val="0"/>
                    <w:jc w:val="center"/>
                    <w:rPr>
                      <w:rFonts w:hint="eastAsia"/>
                      <w:b/>
                      <w:bCs/>
                      <w:color w:val="auto"/>
                    </w:rPr>
                  </w:pPr>
                </w:p>
              </w:tc>
              <w:tc>
                <w:tcPr>
                  <w:tcW w:w="1281" w:type="dxa"/>
                  <w:vAlign w:val="center"/>
                </w:tcPr>
                <w:p w14:paraId="746F1A3B">
                  <w:pPr>
                    <w:snapToGrid w:val="0"/>
                    <w:jc w:val="center"/>
                    <w:rPr>
                      <w:color w:val="auto"/>
                    </w:rPr>
                  </w:pPr>
                  <w:r>
                    <w:rPr>
                      <w:rFonts w:hint="eastAsia"/>
                      <w:color w:val="auto"/>
                    </w:rPr>
                    <w:t>木皮</w:t>
                  </w:r>
                </w:p>
              </w:tc>
              <w:tc>
                <w:tcPr>
                  <w:tcW w:w="1145" w:type="dxa"/>
                  <w:vAlign w:val="center"/>
                </w:tcPr>
                <w:p w14:paraId="7AF85757">
                  <w:pPr>
                    <w:snapToGrid w:val="0"/>
                    <w:jc w:val="center"/>
                    <w:rPr>
                      <w:color w:val="auto"/>
                    </w:rPr>
                  </w:pPr>
                  <w:r>
                    <w:rPr>
                      <w:rFonts w:hint="eastAsia"/>
                      <w:color w:val="auto"/>
                    </w:rPr>
                    <w:t>/</w:t>
                  </w:r>
                </w:p>
              </w:tc>
              <w:tc>
                <w:tcPr>
                  <w:tcW w:w="887" w:type="dxa"/>
                  <w:vAlign w:val="center"/>
                </w:tcPr>
                <w:p w14:paraId="361D2700">
                  <w:pPr>
                    <w:snapToGrid w:val="0"/>
                    <w:jc w:val="center"/>
                    <w:rPr>
                      <w:color w:val="auto"/>
                    </w:rPr>
                  </w:pPr>
                  <w:r>
                    <w:rPr>
                      <w:rFonts w:hint="eastAsia"/>
                      <w:color w:val="auto"/>
                    </w:rPr>
                    <w:t>3000张</w:t>
                  </w:r>
                </w:p>
              </w:tc>
              <w:tc>
                <w:tcPr>
                  <w:tcW w:w="4419" w:type="dxa"/>
                  <w:vAlign w:val="center"/>
                </w:tcPr>
                <w:p w14:paraId="3BA72222">
                  <w:pPr>
                    <w:snapToGrid w:val="0"/>
                    <w:jc w:val="center"/>
                    <w:rPr>
                      <w:b/>
                      <w:bCs/>
                      <w:color w:val="auto"/>
                    </w:rPr>
                  </w:pPr>
                  <w:r>
                    <w:rPr>
                      <w:rFonts w:hint="eastAsia"/>
                      <w:color w:val="auto"/>
                    </w:rPr>
                    <w:t>一车间使用量1000张，二车间使用量2000张</w:t>
                  </w:r>
                </w:p>
              </w:tc>
            </w:tr>
            <w:tr w14:paraId="35476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8" w:type="dxa"/>
                  <w:vMerge w:val="restart"/>
                  <w:vAlign w:val="center"/>
                </w:tcPr>
                <w:p w14:paraId="2A385842">
                  <w:pPr>
                    <w:snapToGrid w:val="0"/>
                    <w:jc w:val="center"/>
                    <w:rPr>
                      <w:color w:val="auto"/>
                    </w:rPr>
                  </w:pPr>
                  <w:r>
                    <w:rPr>
                      <w:rFonts w:hint="eastAsia"/>
                      <w:color w:val="auto"/>
                    </w:rPr>
                    <w:t>辅料</w:t>
                  </w:r>
                </w:p>
              </w:tc>
              <w:tc>
                <w:tcPr>
                  <w:tcW w:w="1281" w:type="dxa"/>
                  <w:vAlign w:val="center"/>
                </w:tcPr>
                <w:p w14:paraId="4E1B2FD8">
                  <w:pPr>
                    <w:snapToGrid w:val="0"/>
                    <w:jc w:val="center"/>
                    <w:rPr>
                      <w:rFonts w:hint="eastAsia"/>
                      <w:color w:val="auto"/>
                    </w:rPr>
                  </w:pPr>
                  <w:r>
                    <w:rPr>
                      <w:rFonts w:hint="eastAsia"/>
                      <w:color w:val="auto"/>
                    </w:rPr>
                    <w:t>溶剂型底漆</w:t>
                  </w:r>
                </w:p>
              </w:tc>
              <w:tc>
                <w:tcPr>
                  <w:tcW w:w="1145" w:type="dxa"/>
                  <w:vAlign w:val="center"/>
                </w:tcPr>
                <w:p w14:paraId="128F32E2">
                  <w:pPr>
                    <w:snapToGrid w:val="0"/>
                    <w:jc w:val="center"/>
                    <w:rPr>
                      <w:color w:val="auto"/>
                    </w:rPr>
                  </w:pPr>
                  <w:r>
                    <w:rPr>
                      <w:rFonts w:hint="eastAsia"/>
                      <w:color w:val="auto"/>
                    </w:rPr>
                    <w:t>20kg/桶</w:t>
                  </w:r>
                </w:p>
              </w:tc>
              <w:tc>
                <w:tcPr>
                  <w:tcW w:w="887" w:type="dxa"/>
                  <w:vAlign w:val="center"/>
                </w:tcPr>
                <w:p w14:paraId="7D38EC1E">
                  <w:pPr>
                    <w:jc w:val="center"/>
                    <w:rPr>
                      <w:rFonts w:hint="eastAsia"/>
                      <w:color w:val="auto"/>
                      <w:lang w:val="en-US" w:eastAsia="zh-CN"/>
                    </w:rPr>
                  </w:pPr>
                  <w:r>
                    <w:rPr>
                      <w:rFonts w:hint="eastAsia"/>
                      <w:b/>
                      <w:bCs/>
                      <w:color w:val="auto"/>
                      <w:u w:val="single"/>
                      <w:lang w:val="en-US" w:eastAsia="zh-CN"/>
                    </w:rPr>
                    <w:t>4.350</w:t>
                  </w:r>
                  <w:r>
                    <w:rPr>
                      <w:rFonts w:hint="eastAsia"/>
                      <w:color w:val="auto"/>
                      <w:lang w:val="en-US" w:eastAsia="zh-CN"/>
                    </w:rPr>
                    <w:t>t</w:t>
                  </w:r>
                </w:p>
              </w:tc>
              <w:tc>
                <w:tcPr>
                  <w:tcW w:w="4419" w:type="dxa"/>
                  <w:vAlign w:val="center"/>
                </w:tcPr>
                <w:p w14:paraId="20B9E454">
                  <w:pPr>
                    <w:snapToGrid w:val="0"/>
                    <w:jc w:val="center"/>
                    <w:rPr>
                      <w:color w:val="auto"/>
                    </w:rPr>
                  </w:pPr>
                  <w:r>
                    <w:rPr>
                      <w:rFonts w:hint="eastAsia"/>
                      <w:color w:val="auto"/>
                    </w:rPr>
                    <w:t>/</w:t>
                  </w:r>
                </w:p>
              </w:tc>
            </w:tr>
            <w:tr w14:paraId="49E01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Merge w:val="continue"/>
                  <w:vAlign w:val="center"/>
                </w:tcPr>
                <w:p w14:paraId="1B84FA7C">
                  <w:pPr>
                    <w:snapToGrid w:val="0"/>
                    <w:jc w:val="center"/>
                    <w:rPr>
                      <w:color w:val="auto"/>
                    </w:rPr>
                  </w:pPr>
                </w:p>
              </w:tc>
              <w:tc>
                <w:tcPr>
                  <w:tcW w:w="1281" w:type="dxa"/>
                  <w:vAlign w:val="center"/>
                </w:tcPr>
                <w:p w14:paraId="10AA9D46">
                  <w:pPr>
                    <w:snapToGrid w:val="0"/>
                    <w:jc w:val="center"/>
                    <w:rPr>
                      <w:rFonts w:hint="eastAsia"/>
                      <w:color w:val="auto"/>
                    </w:rPr>
                  </w:pPr>
                  <w:r>
                    <w:rPr>
                      <w:rFonts w:hint="eastAsia"/>
                      <w:color w:val="auto"/>
                    </w:rPr>
                    <w:t>溶剂型面漆</w:t>
                  </w:r>
                </w:p>
              </w:tc>
              <w:tc>
                <w:tcPr>
                  <w:tcW w:w="1145" w:type="dxa"/>
                  <w:vAlign w:val="center"/>
                </w:tcPr>
                <w:p w14:paraId="59789BD9">
                  <w:pPr>
                    <w:snapToGrid w:val="0"/>
                    <w:jc w:val="center"/>
                    <w:rPr>
                      <w:color w:val="auto"/>
                    </w:rPr>
                  </w:pPr>
                  <w:r>
                    <w:rPr>
                      <w:rFonts w:hint="eastAsia"/>
                      <w:color w:val="auto"/>
                    </w:rPr>
                    <w:t>20kg/桶</w:t>
                  </w:r>
                </w:p>
              </w:tc>
              <w:tc>
                <w:tcPr>
                  <w:tcW w:w="887" w:type="dxa"/>
                  <w:vAlign w:val="center"/>
                </w:tcPr>
                <w:p w14:paraId="60DCC472">
                  <w:pPr>
                    <w:jc w:val="center"/>
                    <w:rPr>
                      <w:rFonts w:hint="eastAsia"/>
                      <w:color w:val="auto"/>
                      <w:lang w:val="en-US" w:eastAsia="zh-CN"/>
                    </w:rPr>
                  </w:pPr>
                  <w:r>
                    <w:rPr>
                      <w:rFonts w:hint="eastAsia"/>
                      <w:b/>
                      <w:bCs/>
                      <w:color w:val="auto"/>
                      <w:u w:val="single"/>
                      <w:lang w:val="en-US" w:eastAsia="zh-CN"/>
                    </w:rPr>
                    <w:t>3.466</w:t>
                  </w:r>
                  <w:r>
                    <w:rPr>
                      <w:rFonts w:hint="eastAsia"/>
                      <w:color w:val="auto"/>
                      <w:lang w:val="en-US" w:eastAsia="zh-CN"/>
                    </w:rPr>
                    <w:t>t</w:t>
                  </w:r>
                </w:p>
              </w:tc>
              <w:tc>
                <w:tcPr>
                  <w:tcW w:w="4419" w:type="dxa"/>
                  <w:vAlign w:val="center"/>
                </w:tcPr>
                <w:p w14:paraId="3D463D5C">
                  <w:pPr>
                    <w:snapToGrid w:val="0"/>
                    <w:jc w:val="center"/>
                    <w:rPr>
                      <w:rFonts w:hint="eastAsia"/>
                      <w:color w:val="auto"/>
                    </w:rPr>
                  </w:pPr>
                  <w:r>
                    <w:rPr>
                      <w:rFonts w:hint="eastAsia"/>
                      <w:color w:val="auto"/>
                    </w:rPr>
                    <w:t>/</w:t>
                  </w:r>
                </w:p>
              </w:tc>
            </w:tr>
            <w:tr w14:paraId="1160F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Merge w:val="continue"/>
                  <w:vAlign w:val="center"/>
                </w:tcPr>
                <w:p w14:paraId="24DA4BF2">
                  <w:pPr>
                    <w:snapToGrid w:val="0"/>
                    <w:jc w:val="center"/>
                    <w:rPr>
                      <w:color w:val="auto"/>
                    </w:rPr>
                  </w:pPr>
                </w:p>
              </w:tc>
              <w:tc>
                <w:tcPr>
                  <w:tcW w:w="1281" w:type="dxa"/>
                  <w:vAlign w:val="center"/>
                </w:tcPr>
                <w:p w14:paraId="5D88FE10">
                  <w:pPr>
                    <w:snapToGrid w:val="0"/>
                    <w:jc w:val="center"/>
                    <w:rPr>
                      <w:rFonts w:hint="eastAsia"/>
                      <w:color w:val="auto"/>
                    </w:rPr>
                  </w:pPr>
                  <w:r>
                    <w:rPr>
                      <w:rFonts w:hint="eastAsia"/>
                      <w:color w:val="auto"/>
                    </w:rPr>
                    <w:t>固化剂</w:t>
                  </w:r>
                </w:p>
              </w:tc>
              <w:tc>
                <w:tcPr>
                  <w:tcW w:w="1145" w:type="dxa"/>
                  <w:vAlign w:val="center"/>
                </w:tcPr>
                <w:p w14:paraId="14FD61BC">
                  <w:pPr>
                    <w:snapToGrid w:val="0"/>
                    <w:jc w:val="center"/>
                    <w:rPr>
                      <w:color w:val="auto"/>
                    </w:rPr>
                  </w:pPr>
                  <w:r>
                    <w:rPr>
                      <w:rFonts w:hint="eastAsia"/>
                      <w:color w:val="auto"/>
                    </w:rPr>
                    <w:t>20kg/桶</w:t>
                  </w:r>
                </w:p>
              </w:tc>
              <w:tc>
                <w:tcPr>
                  <w:tcW w:w="887" w:type="dxa"/>
                  <w:vAlign w:val="center"/>
                </w:tcPr>
                <w:p w14:paraId="4C2A9E1D">
                  <w:pPr>
                    <w:jc w:val="center"/>
                    <w:rPr>
                      <w:rFonts w:hint="eastAsia"/>
                      <w:b/>
                      <w:bCs/>
                      <w:color w:val="auto"/>
                      <w:u w:val="single"/>
                      <w:lang w:val="en-US" w:eastAsia="zh-CN"/>
                    </w:rPr>
                  </w:pPr>
                  <w:r>
                    <w:rPr>
                      <w:rFonts w:hint="eastAsia"/>
                      <w:b/>
                      <w:bCs/>
                      <w:color w:val="auto"/>
                      <w:u w:val="single"/>
                      <w:lang w:val="en-US" w:eastAsia="zh-CN"/>
                    </w:rPr>
                    <w:t>2.3448t</w:t>
                  </w:r>
                </w:p>
              </w:tc>
              <w:tc>
                <w:tcPr>
                  <w:tcW w:w="4419" w:type="dxa"/>
                  <w:vAlign w:val="center"/>
                </w:tcPr>
                <w:p w14:paraId="2C1CC834">
                  <w:pPr>
                    <w:snapToGrid w:val="0"/>
                    <w:jc w:val="center"/>
                    <w:rPr>
                      <w:rFonts w:hint="eastAsia"/>
                      <w:color w:val="auto"/>
                    </w:rPr>
                  </w:pPr>
                  <w:r>
                    <w:rPr>
                      <w:rFonts w:hint="eastAsia"/>
                      <w:color w:val="auto"/>
                    </w:rPr>
                    <w:t>/</w:t>
                  </w:r>
                </w:p>
              </w:tc>
            </w:tr>
            <w:tr w14:paraId="117C1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Merge w:val="continue"/>
                  <w:vAlign w:val="center"/>
                </w:tcPr>
                <w:p w14:paraId="77982C95">
                  <w:pPr>
                    <w:snapToGrid w:val="0"/>
                    <w:jc w:val="center"/>
                    <w:rPr>
                      <w:color w:val="auto"/>
                    </w:rPr>
                  </w:pPr>
                </w:p>
              </w:tc>
              <w:tc>
                <w:tcPr>
                  <w:tcW w:w="1281" w:type="dxa"/>
                  <w:vAlign w:val="center"/>
                </w:tcPr>
                <w:p w14:paraId="5F885CC5">
                  <w:pPr>
                    <w:snapToGrid w:val="0"/>
                    <w:jc w:val="center"/>
                    <w:rPr>
                      <w:rFonts w:hint="eastAsia"/>
                      <w:color w:val="auto"/>
                    </w:rPr>
                  </w:pPr>
                  <w:r>
                    <w:rPr>
                      <w:rFonts w:hint="eastAsia"/>
                      <w:color w:val="auto"/>
                    </w:rPr>
                    <w:t>稀释剂</w:t>
                  </w:r>
                </w:p>
              </w:tc>
              <w:tc>
                <w:tcPr>
                  <w:tcW w:w="1145" w:type="dxa"/>
                  <w:vAlign w:val="center"/>
                </w:tcPr>
                <w:p w14:paraId="102CCC9E">
                  <w:pPr>
                    <w:snapToGrid w:val="0"/>
                    <w:jc w:val="center"/>
                    <w:rPr>
                      <w:color w:val="auto"/>
                    </w:rPr>
                  </w:pPr>
                  <w:r>
                    <w:rPr>
                      <w:rFonts w:hint="eastAsia"/>
                      <w:color w:val="auto"/>
                    </w:rPr>
                    <w:t>20kg/桶</w:t>
                  </w:r>
                </w:p>
              </w:tc>
              <w:tc>
                <w:tcPr>
                  <w:tcW w:w="887" w:type="dxa"/>
                  <w:vAlign w:val="center"/>
                </w:tcPr>
                <w:p w14:paraId="22955594">
                  <w:pPr>
                    <w:jc w:val="center"/>
                    <w:rPr>
                      <w:rFonts w:hint="default"/>
                      <w:b/>
                      <w:bCs/>
                      <w:color w:val="auto"/>
                      <w:u w:val="single"/>
                      <w:lang w:val="en-US" w:eastAsia="zh-CN"/>
                    </w:rPr>
                  </w:pPr>
                  <w:r>
                    <w:rPr>
                      <w:rFonts w:hint="eastAsia"/>
                      <w:b/>
                      <w:bCs/>
                      <w:color w:val="auto"/>
                      <w:u w:val="single"/>
                      <w:lang w:val="en-US" w:eastAsia="zh-CN"/>
                    </w:rPr>
                    <w:t>1.3899t</w:t>
                  </w:r>
                </w:p>
              </w:tc>
              <w:tc>
                <w:tcPr>
                  <w:tcW w:w="4419" w:type="dxa"/>
                  <w:vAlign w:val="center"/>
                </w:tcPr>
                <w:p w14:paraId="0BDF08EE">
                  <w:pPr>
                    <w:snapToGrid w:val="0"/>
                    <w:jc w:val="center"/>
                    <w:rPr>
                      <w:rFonts w:hint="eastAsia"/>
                      <w:color w:val="auto"/>
                    </w:rPr>
                  </w:pPr>
                  <w:r>
                    <w:rPr>
                      <w:rFonts w:hint="eastAsia"/>
                      <w:color w:val="auto"/>
                    </w:rPr>
                    <w:t>/</w:t>
                  </w:r>
                </w:p>
              </w:tc>
            </w:tr>
            <w:tr w14:paraId="462E1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8" w:type="dxa"/>
                  <w:vMerge w:val="continue"/>
                  <w:vAlign w:val="center"/>
                </w:tcPr>
                <w:p w14:paraId="4DF1F213">
                  <w:pPr>
                    <w:snapToGrid w:val="0"/>
                    <w:jc w:val="center"/>
                    <w:rPr>
                      <w:color w:val="auto"/>
                    </w:rPr>
                  </w:pPr>
                </w:p>
              </w:tc>
              <w:tc>
                <w:tcPr>
                  <w:tcW w:w="1281" w:type="dxa"/>
                  <w:vAlign w:val="center"/>
                </w:tcPr>
                <w:p w14:paraId="588CE68A">
                  <w:pPr>
                    <w:snapToGrid w:val="0"/>
                    <w:jc w:val="center"/>
                    <w:rPr>
                      <w:rFonts w:hint="eastAsia"/>
                      <w:color w:val="auto"/>
                    </w:rPr>
                  </w:pPr>
                  <w:r>
                    <w:rPr>
                      <w:rFonts w:hint="eastAsia"/>
                      <w:color w:val="auto"/>
                    </w:rPr>
                    <w:t>水性漆</w:t>
                  </w:r>
                </w:p>
              </w:tc>
              <w:tc>
                <w:tcPr>
                  <w:tcW w:w="1145" w:type="dxa"/>
                  <w:vAlign w:val="center"/>
                </w:tcPr>
                <w:p w14:paraId="66CCF76B">
                  <w:pPr>
                    <w:snapToGrid w:val="0"/>
                    <w:jc w:val="center"/>
                    <w:rPr>
                      <w:rFonts w:hint="eastAsia"/>
                      <w:color w:val="auto"/>
                    </w:rPr>
                  </w:pPr>
                  <w:r>
                    <w:rPr>
                      <w:rFonts w:hint="eastAsia"/>
                      <w:color w:val="auto"/>
                    </w:rPr>
                    <w:t>20kg/桶</w:t>
                  </w:r>
                </w:p>
              </w:tc>
              <w:tc>
                <w:tcPr>
                  <w:tcW w:w="887" w:type="dxa"/>
                  <w:vAlign w:val="center"/>
                </w:tcPr>
                <w:p w14:paraId="4296AD43">
                  <w:pPr>
                    <w:jc w:val="center"/>
                    <w:rPr>
                      <w:rFonts w:hint="eastAsia"/>
                      <w:color w:val="auto"/>
                      <w:lang w:val="en-US" w:eastAsia="zh-CN"/>
                    </w:rPr>
                  </w:pPr>
                  <w:r>
                    <w:rPr>
                      <w:rFonts w:hint="eastAsia"/>
                      <w:color w:val="auto"/>
                      <w:lang w:val="en-US" w:eastAsia="zh-CN"/>
                    </w:rPr>
                    <w:t>8.273t</w:t>
                  </w:r>
                </w:p>
              </w:tc>
              <w:tc>
                <w:tcPr>
                  <w:tcW w:w="4419" w:type="dxa"/>
                  <w:vAlign w:val="center"/>
                </w:tcPr>
                <w:p w14:paraId="5C3C7C3A">
                  <w:pPr>
                    <w:snapToGrid w:val="0"/>
                    <w:jc w:val="center"/>
                    <w:rPr>
                      <w:rFonts w:hint="eastAsia"/>
                      <w:color w:val="auto"/>
                    </w:rPr>
                  </w:pPr>
                  <w:r>
                    <w:rPr>
                      <w:rFonts w:hint="eastAsia"/>
                      <w:color w:val="auto"/>
                    </w:rPr>
                    <w:t>/</w:t>
                  </w:r>
                </w:p>
              </w:tc>
            </w:tr>
            <w:tr w14:paraId="60E9A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Merge w:val="continue"/>
                  <w:vAlign w:val="center"/>
                </w:tcPr>
                <w:p w14:paraId="1A26D3B6">
                  <w:pPr>
                    <w:snapToGrid w:val="0"/>
                    <w:jc w:val="center"/>
                    <w:rPr>
                      <w:color w:val="auto"/>
                    </w:rPr>
                  </w:pPr>
                </w:p>
              </w:tc>
              <w:tc>
                <w:tcPr>
                  <w:tcW w:w="1281" w:type="dxa"/>
                  <w:vAlign w:val="center"/>
                </w:tcPr>
                <w:p w14:paraId="655B1893">
                  <w:pPr>
                    <w:snapToGrid w:val="0"/>
                    <w:jc w:val="center"/>
                    <w:rPr>
                      <w:color w:val="auto"/>
                    </w:rPr>
                  </w:pPr>
                  <w:r>
                    <w:rPr>
                      <w:rFonts w:hint="eastAsia"/>
                      <w:color w:val="auto"/>
                    </w:rPr>
                    <w:t>UV油漆</w:t>
                  </w:r>
                </w:p>
              </w:tc>
              <w:tc>
                <w:tcPr>
                  <w:tcW w:w="1145" w:type="dxa"/>
                  <w:vAlign w:val="center"/>
                </w:tcPr>
                <w:p w14:paraId="29F2EDB3">
                  <w:pPr>
                    <w:snapToGrid w:val="0"/>
                    <w:jc w:val="center"/>
                    <w:rPr>
                      <w:rFonts w:hint="eastAsia"/>
                      <w:color w:val="auto"/>
                    </w:rPr>
                  </w:pPr>
                  <w:r>
                    <w:rPr>
                      <w:rFonts w:hint="eastAsia"/>
                      <w:color w:val="auto"/>
                    </w:rPr>
                    <w:t>20kg/桶</w:t>
                  </w:r>
                </w:p>
              </w:tc>
              <w:tc>
                <w:tcPr>
                  <w:tcW w:w="887" w:type="dxa"/>
                  <w:vAlign w:val="center"/>
                </w:tcPr>
                <w:p w14:paraId="6081A23D">
                  <w:pPr>
                    <w:jc w:val="center"/>
                    <w:rPr>
                      <w:rFonts w:hint="eastAsia" w:ascii="Times New Roman" w:hAnsi="Times New Roman" w:eastAsia="宋体" w:cs="Times New Roman"/>
                      <w:color w:val="auto"/>
                      <w:kern w:val="2"/>
                      <w:sz w:val="21"/>
                      <w:szCs w:val="24"/>
                      <w:lang w:val="en-US" w:eastAsia="zh-CN" w:bidi="ar-SA"/>
                    </w:rPr>
                  </w:pPr>
                  <w:r>
                    <w:rPr>
                      <w:rFonts w:hint="eastAsia"/>
                      <w:b/>
                      <w:bCs/>
                      <w:color w:val="auto"/>
                      <w:u w:val="single"/>
                      <w:lang w:val="en-US" w:eastAsia="zh-CN"/>
                    </w:rPr>
                    <w:t>0.345</w:t>
                  </w:r>
                  <w:r>
                    <w:rPr>
                      <w:rFonts w:hint="eastAsia"/>
                      <w:color w:val="auto"/>
                      <w:lang w:val="en-US" w:eastAsia="zh-CN"/>
                    </w:rPr>
                    <w:t>t</w:t>
                  </w:r>
                </w:p>
              </w:tc>
              <w:tc>
                <w:tcPr>
                  <w:tcW w:w="4419" w:type="dxa"/>
                  <w:vAlign w:val="center"/>
                </w:tcPr>
                <w:p w14:paraId="6890F8ED">
                  <w:pPr>
                    <w:snapToGrid w:val="0"/>
                    <w:jc w:val="center"/>
                    <w:rPr>
                      <w:rFonts w:hint="eastAsia"/>
                      <w:color w:val="auto"/>
                    </w:rPr>
                  </w:pPr>
                  <w:r>
                    <w:rPr>
                      <w:rFonts w:hint="eastAsia"/>
                      <w:color w:val="auto"/>
                    </w:rPr>
                    <w:t>/</w:t>
                  </w:r>
                </w:p>
              </w:tc>
            </w:tr>
            <w:tr w14:paraId="0EE15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Merge w:val="continue"/>
                  <w:vAlign w:val="center"/>
                </w:tcPr>
                <w:p w14:paraId="356D8015">
                  <w:pPr>
                    <w:snapToGrid w:val="0"/>
                    <w:jc w:val="center"/>
                    <w:rPr>
                      <w:color w:val="auto"/>
                    </w:rPr>
                  </w:pPr>
                </w:p>
              </w:tc>
              <w:tc>
                <w:tcPr>
                  <w:tcW w:w="1281" w:type="dxa"/>
                  <w:vAlign w:val="center"/>
                </w:tcPr>
                <w:p w14:paraId="1D7E956B">
                  <w:pPr>
                    <w:snapToGrid w:val="0"/>
                    <w:jc w:val="center"/>
                    <w:rPr>
                      <w:color w:val="auto"/>
                    </w:rPr>
                  </w:pPr>
                  <w:r>
                    <w:rPr>
                      <w:rFonts w:hint="eastAsia"/>
                      <w:color w:val="auto"/>
                      <w:lang w:val="en-US" w:eastAsia="zh-CN"/>
                    </w:rPr>
                    <w:t>白乳胶</w:t>
                  </w:r>
                </w:p>
              </w:tc>
              <w:tc>
                <w:tcPr>
                  <w:tcW w:w="1145" w:type="dxa"/>
                  <w:vAlign w:val="center"/>
                </w:tcPr>
                <w:p w14:paraId="5B9B6314">
                  <w:pPr>
                    <w:snapToGrid w:val="0"/>
                    <w:jc w:val="center"/>
                    <w:rPr>
                      <w:rFonts w:hint="eastAsia"/>
                      <w:color w:val="auto"/>
                    </w:rPr>
                  </w:pPr>
                  <w:r>
                    <w:rPr>
                      <w:rFonts w:hint="eastAsia"/>
                      <w:color w:val="auto"/>
                    </w:rPr>
                    <w:t>25kg/桶</w:t>
                  </w:r>
                </w:p>
              </w:tc>
              <w:tc>
                <w:tcPr>
                  <w:tcW w:w="887" w:type="dxa"/>
                  <w:vAlign w:val="center"/>
                </w:tcPr>
                <w:p w14:paraId="12BBAF93">
                  <w:pPr>
                    <w:snapToGrid w:val="0"/>
                    <w:jc w:val="center"/>
                    <w:rPr>
                      <w:color w:val="auto"/>
                    </w:rPr>
                  </w:pPr>
                  <w:r>
                    <w:rPr>
                      <w:rFonts w:hint="eastAsia"/>
                      <w:color w:val="auto"/>
                    </w:rPr>
                    <w:t>1</w:t>
                  </w:r>
                  <w:r>
                    <w:rPr>
                      <w:rFonts w:hint="eastAsia"/>
                      <w:color w:val="auto"/>
                      <w:lang w:val="en-US" w:eastAsia="zh-CN"/>
                    </w:rPr>
                    <w:t>0</w:t>
                  </w:r>
                  <w:r>
                    <w:rPr>
                      <w:rFonts w:hint="eastAsia"/>
                      <w:color w:val="auto"/>
                    </w:rPr>
                    <w:t>t</w:t>
                  </w:r>
                </w:p>
              </w:tc>
              <w:tc>
                <w:tcPr>
                  <w:tcW w:w="4419" w:type="dxa"/>
                  <w:vAlign w:val="center"/>
                </w:tcPr>
                <w:p w14:paraId="0C598564">
                  <w:pPr>
                    <w:snapToGrid w:val="0"/>
                    <w:jc w:val="center"/>
                    <w:rPr>
                      <w:rFonts w:hint="eastAsia"/>
                      <w:color w:val="auto"/>
                    </w:rPr>
                  </w:pPr>
                  <w:r>
                    <w:rPr>
                      <w:rFonts w:hint="eastAsia"/>
                      <w:color w:val="auto"/>
                    </w:rPr>
                    <w:t>/</w:t>
                  </w:r>
                </w:p>
              </w:tc>
            </w:tr>
            <w:tr w14:paraId="4ABAF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Merge w:val="continue"/>
                  <w:vAlign w:val="center"/>
                </w:tcPr>
                <w:p w14:paraId="12460A6B">
                  <w:pPr>
                    <w:snapToGrid w:val="0"/>
                    <w:jc w:val="center"/>
                    <w:rPr>
                      <w:color w:val="auto"/>
                    </w:rPr>
                  </w:pPr>
                </w:p>
              </w:tc>
              <w:tc>
                <w:tcPr>
                  <w:tcW w:w="1281" w:type="dxa"/>
                  <w:vAlign w:val="center"/>
                </w:tcPr>
                <w:p w14:paraId="244AB6DE">
                  <w:pPr>
                    <w:snapToGrid w:val="0"/>
                    <w:jc w:val="center"/>
                    <w:rPr>
                      <w:rFonts w:hint="eastAsia"/>
                      <w:color w:val="auto"/>
                    </w:rPr>
                  </w:pPr>
                  <w:r>
                    <w:rPr>
                      <w:rFonts w:hint="eastAsia"/>
                      <w:color w:val="auto"/>
                    </w:rPr>
                    <w:t>色精</w:t>
                  </w:r>
                </w:p>
              </w:tc>
              <w:tc>
                <w:tcPr>
                  <w:tcW w:w="1145" w:type="dxa"/>
                  <w:vAlign w:val="center"/>
                </w:tcPr>
                <w:p w14:paraId="7AD97B6F">
                  <w:pPr>
                    <w:snapToGrid w:val="0"/>
                    <w:jc w:val="center"/>
                    <w:rPr>
                      <w:rFonts w:hint="eastAsia"/>
                      <w:color w:val="auto"/>
                    </w:rPr>
                  </w:pPr>
                  <w:r>
                    <w:rPr>
                      <w:rFonts w:hint="eastAsia"/>
                      <w:color w:val="auto"/>
                    </w:rPr>
                    <w:t>20kg/桶</w:t>
                  </w:r>
                </w:p>
              </w:tc>
              <w:tc>
                <w:tcPr>
                  <w:tcW w:w="887" w:type="dxa"/>
                  <w:vAlign w:val="center"/>
                </w:tcPr>
                <w:p w14:paraId="52AC7AB5">
                  <w:pPr>
                    <w:snapToGrid w:val="0"/>
                    <w:jc w:val="center"/>
                    <w:rPr>
                      <w:color w:val="auto"/>
                    </w:rPr>
                  </w:pPr>
                  <w:r>
                    <w:rPr>
                      <w:rFonts w:hint="eastAsia"/>
                      <w:color w:val="auto"/>
                    </w:rPr>
                    <w:t>0.5t</w:t>
                  </w:r>
                </w:p>
              </w:tc>
              <w:tc>
                <w:tcPr>
                  <w:tcW w:w="4419" w:type="dxa"/>
                  <w:vAlign w:val="center"/>
                </w:tcPr>
                <w:p w14:paraId="725183AD">
                  <w:pPr>
                    <w:snapToGrid w:val="0"/>
                    <w:jc w:val="center"/>
                    <w:rPr>
                      <w:color w:val="auto"/>
                    </w:rPr>
                  </w:pPr>
                  <w:r>
                    <w:rPr>
                      <w:rFonts w:hint="eastAsia"/>
                      <w:color w:val="auto"/>
                    </w:rPr>
                    <w:t>用于修色</w:t>
                  </w:r>
                </w:p>
              </w:tc>
            </w:tr>
            <w:tr w14:paraId="4352F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Merge w:val="continue"/>
                  <w:vAlign w:val="center"/>
                </w:tcPr>
                <w:p w14:paraId="2EC12DD3">
                  <w:pPr>
                    <w:snapToGrid w:val="0"/>
                    <w:jc w:val="center"/>
                    <w:rPr>
                      <w:color w:val="auto"/>
                    </w:rPr>
                  </w:pPr>
                </w:p>
              </w:tc>
              <w:tc>
                <w:tcPr>
                  <w:tcW w:w="1281" w:type="dxa"/>
                  <w:vAlign w:val="center"/>
                </w:tcPr>
                <w:p w14:paraId="745CA43F">
                  <w:pPr>
                    <w:snapToGrid w:val="0"/>
                    <w:jc w:val="center"/>
                    <w:rPr>
                      <w:color w:val="auto"/>
                    </w:rPr>
                  </w:pPr>
                  <w:r>
                    <w:rPr>
                      <w:rFonts w:hint="eastAsia"/>
                      <w:color w:val="auto"/>
                      <w:lang w:val="en-US" w:eastAsia="zh-CN"/>
                    </w:rPr>
                    <w:t>批灰</w:t>
                  </w:r>
                  <w:r>
                    <w:rPr>
                      <w:rFonts w:hint="eastAsia"/>
                      <w:color w:val="auto"/>
                    </w:rPr>
                    <w:t>腻子</w:t>
                  </w:r>
                </w:p>
              </w:tc>
              <w:tc>
                <w:tcPr>
                  <w:tcW w:w="1145" w:type="dxa"/>
                  <w:vAlign w:val="center"/>
                </w:tcPr>
                <w:p w14:paraId="59101460">
                  <w:pPr>
                    <w:snapToGrid w:val="0"/>
                    <w:jc w:val="center"/>
                    <w:rPr>
                      <w:color w:val="auto"/>
                    </w:rPr>
                  </w:pPr>
                  <w:r>
                    <w:rPr>
                      <w:rFonts w:hint="eastAsia"/>
                      <w:color w:val="auto"/>
                    </w:rPr>
                    <w:t>20kg/桶</w:t>
                  </w:r>
                </w:p>
              </w:tc>
              <w:tc>
                <w:tcPr>
                  <w:tcW w:w="887" w:type="dxa"/>
                  <w:vAlign w:val="center"/>
                </w:tcPr>
                <w:p w14:paraId="64E6700B">
                  <w:pPr>
                    <w:snapToGrid w:val="0"/>
                    <w:jc w:val="center"/>
                    <w:rPr>
                      <w:color w:val="auto"/>
                    </w:rPr>
                  </w:pPr>
                  <w:r>
                    <w:rPr>
                      <w:rFonts w:hint="eastAsia"/>
                      <w:color w:val="auto"/>
                    </w:rPr>
                    <w:t>0.5t</w:t>
                  </w:r>
                </w:p>
              </w:tc>
              <w:tc>
                <w:tcPr>
                  <w:tcW w:w="4419" w:type="dxa"/>
                  <w:vAlign w:val="center"/>
                </w:tcPr>
                <w:p w14:paraId="4CE6D738">
                  <w:pPr>
                    <w:snapToGrid w:val="0"/>
                    <w:jc w:val="center"/>
                    <w:rPr>
                      <w:color w:val="auto"/>
                    </w:rPr>
                  </w:pPr>
                  <w:r>
                    <w:rPr>
                      <w:rFonts w:hint="eastAsia"/>
                      <w:color w:val="auto"/>
                      <w:lang w:val="en-US" w:eastAsia="zh-CN"/>
                    </w:rPr>
                    <w:t>调配好的腻子膏，</w:t>
                  </w:r>
                  <w:r>
                    <w:rPr>
                      <w:rFonts w:hint="eastAsia"/>
                      <w:color w:val="auto"/>
                    </w:rPr>
                    <w:t>用于批灰</w:t>
                  </w:r>
                </w:p>
              </w:tc>
            </w:tr>
            <w:tr w14:paraId="20EE7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Merge w:val="continue"/>
                  <w:vAlign w:val="center"/>
                </w:tcPr>
                <w:p w14:paraId="5E1A44CB">
                  <w:pPr>
                    <w:snapToGrid w:val="0"/>
                    <w:jc w:val="center"/>
                    <w:rPr>
                      <w:color w:val="auto"/>
                    </w:rPr>
                  </w:pPr>
                </w:p>
              </w:tc>
              <w:tc>
                <w:tcPr>
                  <w:tcW w:w="1281" w:type="dxa"/>
                  <w:vAlign w:val="center"/>
                </w:tcPr>
                <w:p w14:paraId="17DF2585">
                  <w:pPr>
                    <w:snapToGrid w:val="0"/>
                    <w:jc w:val="center"/>
                    <w:rPr>
                      <w:rFonts w:hint="default"/>
                      <w:color w:val="auto"/>
                      <w:lang w:val="en-US" w:eastAsia="zh-CN"/>
                    </w:rPr>
                  </w:pPr>
                  <w:r>
                    <w:rPr>
                      <w:rFonts w:hint="eastAsia"/>
                      <w:color w:val="auto"/>
                      <w:lang w:val="en-US" w:eastAsia="zh-CN"/>
                    </w:rPr>
                    <w:t>砂纸</w:t>
                  </w:r>
                </w:p>
              </w:tc>
              <w:tc>
                <w:tcPr>
                  <w:tcW w:w="1145" w:type="dxa"/>
                  <w:vAlign w:val="center"/>
                </w:tcPr>
                <w:p w14:paraId="337F7BE9">
                  <w:pPr>
                    <w:snapToGrid w:val="0"/>
                    <w:jc w:val="center"/>
                    <w:rPr>
                      <w:rFonts w:hint="eastAsia"/>
                      <w:color w:val="auto"/>
                    </w:rPr>
                  </w:pPr>
                  <w:r>
                    <w:rPr>
                      <w:rFonts w:hint="eastAsia"/>
                      <w:color w:val="auto"/>
                    </w:rPr>
                    <w:t>2kg/100张</w:t>
                  </w:r>
                </w:p>
              </w:tc>
              <w:tc>
                <w:tcPr>
                  <w:tcW w:w="887" w:type="dxa"/>
                  <w:vAlign w:val="center"/>
                </w:tcPr>
                <w:p w14:paraId="666CF14C">
                  <w:pPr>
                    <w:snapToGrid w:val="0"/>
                    <w:jc w:val="center"/>
                    <w:rPr>
                      <w:rFonts w:hint="default" w:eastAsia="宋体"/>
                      <w:color w:val="auto"/>
                      <w:lang w:val="en-US" w:eastAsia="zh-CN"/>
                    </w:rPr>
                  </w:pPr>
                  <w:r>
                    <w:rPr>
                      <w:rFonts w:hint="eastAsia"/>
                      <w:color w:val="auto"/>
                      <w:lang w:val="en-US" w:eastAsia="zh-CN"/>
                    </w:rPr>
                    <w:t>2000张</w:t>
                  </w:r>
                </w:p>
              </w:tc>
              <w:tc>
                <w:tcPr>
                  <w:tcW w:w="4419" w:type="dxa"/>
                  <w:vAlign w:val="center"/>
                </w:tcPr>
                <w:p w14:paraId="4EAE4E8C">
                  <w:pPr>
                    <w:snapToGrid w:val="0"/>
                    <w:jc w:val="center"/>
                    <w:rPr>
                      <w:rFonts w:hint="default"/>
                      <w:color w:val="auto"/>
                      <w:lang w:val="en-US" w:eastAsia="zh-CN"/>
                    </w:rPr>
                  </w:pPr>
                  <w:r>
                    <w:rPr>
                      <w:rFonts w:hint="eastAsia"/>
                      <w:color w:val="auto"/>
                      <w:lang w:val="en-US" w:eastAsia="zh-CN"/>
                    </w:rPr>
                    <w:t>用于打磨</w:t>
                  </w:r>
                </w:p>
              </w:tc>
            </w:tr>
            <w:tr w14:paraId="17CCF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738" w:type="dxa"/>
                  <w:vMerge w:val="restart"/>
                  <w:vAlign w:val="center"/>
                </w:tcPr>
                <w:p w14:paraId="3891608A">
                  <w:pPr>
                    <w:snapToGrid w:val="0"/>
                    <w:jc w:val="center"/>
                    <w:rPr>
                      <w:color w:val="auto"/>
                    </w:rPr>
                  </w:pPr>
                  <w:r>
                    <w:rPr>
                      <w:rFonts w:hint="eastAsia"/>
                      <w:color w:val="auto"/>
                    </w:rPr>
                    <w:t>资源能源</w:t>
                  </w:r>
                </w:p>
              </w:tc>
              <w:tc>
                <w:tcPr>
                  <w:tcW w:w="1281" w:type="dxa"/>
                  <w:vAlign w:val="center"/>
                </w:tcPr>
                <w:p w14:paraId="26DB462D">
                  <w:pPr>
                    <w:snapToGrid w:val="0"/>
                    <w:jc w:val="center"/>
                    <w:rPr>
                      <w:color w:val="auto"/>
                    </w:rPr>
                  </w:pPr>
                  <w:r>
                    <w:rPr>
                      <w:rFonts w:hint="eastAsia"/>
                      <w:color w:val="auto"/>
                    </w:rPr>
                    <w:t>水</w:t>
                  </w:r>
                </w:p>
              </w:tc>
              <w:tc>
                <w:tcPr>
                  <w:tcW w:w="2032" w:type="dxa"/>
                  <w:gridSpan w:val="2"/>
                  <w:vAlign w:val="center"/>
                </w:tcPr>
                <w:p w14:paraId="69046F66">
                  <w:pPr>
                    <w:snapToGrid w:val="0"/>
                    <w:jc w:val="center"/>
                    <w:rPr>
                      <w:rFonts w:hint="default" w:eastAsia="宋体"/>
                      <w:color w:val="auto"/>
                      <w:lang w:val="en-US" w:eastAsia="zh-CN"/>
                    </w:rPr>
                  </w:pPr>
                  <w:r>
                    <w:rPr>
                      <w:rFonts w:hint="eastAsia"/>
                      <w:b/>
                      <w:bCs/>
                      <w:color w:val="auto"/>
                      <w:u w:val="single"/>
                    </w:rPr>
                    <w:t>110</w:t>
                  </w:r>
                  <w:r>
                    <w:rPr>
                      <w:rFonts w:hint="eastAsia"/>
                      <w:b/>
                      <w:bCs/>
                      <w:color w:val="auto"/>
                      <w:u w:val="single"/>
                      <w:lang w:val="en-US" w:eastAsia="zh-CN"/>
                    </w:rPr>
                    <w:t>1.1819m</w:t>
                  </w:r>
                  <w:r>
                    <w:rPr>
                      <w:rFonts w:hint="eastAsia"/>
                      <w:b/>
                      <w:bCs/>
                      <w:color w:val="auto"/>
                      <w:u w:val="single"/>
                      <w:vertAlign w:val="superscript"/>
                      <w:lang w:val="en-US" w:eastAsia="zh-CN"/>
                    </w:rPr>
                    <w:t>3</w:t>
                  </w:r>
                </w:p>
              </w:tc>
              <w:tc>
                <w:tcPr>
                  <w:tcW w:w="4419" w:type="dxa"/>
                  <w:vAlign w:val="center"/>
                </w:tcPr>
                <w:p w14:paraId="01B2D3A9">
                  <w:pPr>
                    <w:snapToGrid w:val="0"/>
                    <w:jc w:val="center"/>
                    <w:rPr>
                      <w:color w:val="auto"/>
                    </w:rPr>
                  </w:pPr>
                  <w:r>
                    <w:rPr>
                      <w:rFonts w:hint="eastAsia"/>
                      <w:color w:val="auto"/>
                    </w:rPr>
                    <w:t>清丰县供水系统供给</w:t>
                  </w:r>
                </w:p>
              </w:tc>
            </w:tr>
            <w:tr w14:paraId="3540E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Merge w:val="continue"/>
                  <w:vAlign w:val="center"/>
                </w:tcPr>
                <w:p w14:paraId="6714374D">
                  <w:pPr>
                    <w:snapToGrid w:val="0"/>
                    <w:jc w:val="center"/>
                    <w:rPr>
                      <w:color w:val="auto"/>
                    </w:rPr>
                  </w:pPr>
                </w:p>
              </w:tc>
              <w:tc>
                <w:tcPr>
                  <w:tcW w:w="1281" w:type="dxa"/>
                  <w:vAlign w:val="center"/>
                </w:tcPr>
                <w:p w14:paraId="3B155F4A">
                  <w:pPr>
                    <w:snapToGrid w:val="0"/>
                    <w:jc w:val="center"/>
                    <w:rPr>
                      <w:color w:val="auto"/>
                    </w:rPr>
                  </w:pPr>
                  <w:r>
                    <w:rPr>
                      <w:rFonts w:hint="eastAsia"/>
                      <w:color w:val="auto"/>
                    </w:rPr>
                    <w:t>电</w:t>
                  </w:r>
                </w:p>
              </w:tc>
              <w:tc>
                <w:tcPr>
                  <w:tcW w:w="2032" w:type="dxa"/>
                  <w:gridSpan w:val="2"/>
                  <w:vAlign w:val="center"/>
                </w:tcPr>
                <w:p w14:paraId="013630DB">
                  <w:pPr>
                    <w:snapToGrid w:val="0"/>
                    <w:jc w:val="center"/>
                    <w:rPr>
                      <w:rFonts w:hint="default" w:eastAsia="宋体"/>
                      <w:color w:val="auto"/>
                      <w:lang w:val="en-US" w:eastAsia="zh-CN"/>
                    </w:rPr>
                  </w:pPr>
                  <w:r>
                    <w:rPr>
                      <w:rFonts w:hint="eastAsia"/>
                      <w:color w:val="auto"/>
                    </w:rPr>
                    <w:t>15万kWh</w:t>
                  </w:r>
                </w:p>
              </w:tc>
              <w:tc>
                <w:tcPr>
                  <w:tcW w:w="4419" w:type="dxa"/>
                  <w:vAlign w:val="center"/>
                </w:tcPr>
                <w:p w14:paraId="41EDDEDA">
                  <w:pPr>
                    <w:snapToGrid w:val="0"/>
                    <w:jc w:val="center"/>
                    <w:rPr>
                      <w:color w:val="auto"/>
                    </w:rPr>
                  </w:pPr>
                  <w:r>
                    <w:rPr>
                      <w:rFonts w:hint="eastAsia"/>
                      <w:color w:val="auto"/>
                    </w:rPr>
                    <w:t>清丰县供电系统供给</w:t>
                  </w:r>
                </w:p>
              </w:tc>
            </w:tr>
          </w:tbl>
          <w:p w14:paraId="3650B1C6">
            <w:pPr>
              <w:snapToGrid w:val="0"/>
              <w:spacing w:line="360" w:lineRule="auto"/>
              <w:ind w:firstLine="480" w:firstLineChars="200"/>
              <w:rPr>
                <w:rFonts w:hint="eastAsia"/>
                <w:color w:val="auto"/>
                <w:sz w:val="24"/>
              </w:rPr>
            </w:pPr>
            <w:r>
              <w:rPr>
                <w:rFonts w:hint="eastAsia"/>
                <w:color w:val="auto"/>
                <w:sz w:val="24"/>
              </w:rPr>
              <w:t>本</w:t>
            </w:r>
            <w:r>
              <w:rPr>
                <w:color w:val="auto"/>
                <w:sz w:val="24"/>
              </w:rPr>
              <w:t>项目根据合同订单要求来确定产品使用</w:t>
            </w:r>
            <w:r>
              <w:rPr>
                <w:rFonts w:hint="eastAsia"/>
                <w:color w:val="auto"/>
                <w:sz w:val="24"/>
              </w:rPr>
              <w:t>油漆种类</w:t>
            </w:r>
            <w:r>
              <w:rPr>
                <w:color w:val="auto"/>
                <w:sz w:val="24"/>
              </w:rPr>
              <w:t>，不混合使用。根据建设单位提供的资料，</w:t>
            </w:r>
            <w:r>
              <w:rPr>
                <w:rFonts w:hint="eastAsia"/>
                <w:color w:val="auto"/>
                <w:sz w:val="24"/>
              </w:rPr>
              <w:t>项目实木家具（10000套）中约2000套为免漆家具，其余8000套需要进行喷漆，</w:t>
            </w:r>
            <w:r>
              <w:rPr>
                <w:rFonts w:hint="eastAsia"/>
                <w:b/>
                <w:bCs/>
                <w:color w:val="auto"/>
                <w:sz w:val="24"/>
                <w:u w:val="single"/>
              </w:rPr>
              <w:t>其中</w:t>
            </w:r>
            <w:r>
              <w:rPr>
                <w:b/>
                <w:bCs/>
                <w:color w:val="auto"/>
                <w:sz w:val="24"/>
                <w:u w:val="single"/>
              </w:rPr>
              <w:t>需要喷油性漆产品约</w:t>
            </w:r>
            <w:r>
              <w:rPr>
                <w:rFonts w:hint="eastAsia"/>
                <w:b/>
                <w:bCs/>
                <w:color w:val="auto"/>
                <w:sz w:val="24"/>
                <w:u w:val="single"/>
                <w:lang w:val="en-US" w:eastAsia="zh-CN"/>
              </w:rPr>
              <w:t>35</w:t>
            </w:r>
            <w:r>
              <w:rPr>
                <w:rFonts w:hint="eastAsia"/>
                <w:b/>
                <w:bCs/>
                <w:color w:val="auto"/>
                <w:sz w:val="24"/>
                <w:u w:val="single"/>
              </w:rPr>
              <w:t>00套，</w:t>
            </w:r>
            <w:r>
              <w:rPr>
                <w:b/>
                <w:bCs/>
                <w:color w:val="auto"/>
                <w:sz w:val="24"/>
                <w:u w:val="single"/>
              </w:rPr>
              <w:t>水性漆料喷涂约</w:t>
            </w:r>
            <w:r>
              <w:rPr>
                <w:rFonts w:hint="eastAsia"/>
                <w:b/>
                <w:bCs/>
                <w:color w:val="auto"/>
                <w:sz w:val="24"/>
                <w:u w:val="single"/>
                <w:lang w:val="en-US" w:eastAsia="zh-CN"/>
              </w:rPr>
              <w:t>4</w:t>
            </w:r>
            <w:r>
              <w:rPr>
                <w:rFonts w:hint="eastAsia"/>
                <w:b/>
                <w:bCs/>
                <w:color w:val="auto"/>
                <w:sz w:val="24"/>
                <w:u w:val="single"/>
              </w:rPr>
              <w:t>000套，UV油漆辊涂</w:t>
            </w:r>
            <w:r>
              <w:rPr>
                <w:b/>
                <w:bCs/>
                <w:color w:val="auto"/>
                <w:sz w:val="24"/>
                <w:u w:val="single"/>
              </w:rPr>
              <w:t>约</w:t>
            </w:r>
            <w:r>
              <w:rPr>
                <w:rFonts w:hint="eastAsia"/>
                <w:b/>
                <w:bCs/>
                <w:color w:val="auto"/>
                <w:sz w:val="24"/>
                <w:u w:val="single"/>
                <w:lang w:val="en-US" w:eastAsia="zh-CN"/>
              </w:rPr>
              <w:t>5</w:t>
            </w:r>
            <w:r>
              <w:rPr>
                <w:rFonts w:hint="eastAsia"/>
                <w:b/>
                <w:bCs/>
                <w:color w:val="auto"/>
                <w:sz w:val="24"/>
                <w:u w:val="single"/>
              </w:rPr>
              <w:t>00套，</w:t>
            </w:r>
            <w:r>
              <w:rPr>
                <w:rFonts w:hint="eastAsia"/>
                <w:color w:val="auto"/>
                <w:sz w:val="24"/>
              </w:rPr>
              <w:t>根据产品尺寸核算单套家具平均喷涂面积约为6.25m</w:t>
            </w:r>
            <w:r>
              <w:rPr>
                <w:rFonts w:hint="eastAsia"/>
                <w:color w:val="auto"/>
                <w:sz w:val="24"/>
                <w:vertAlign w:val="superscript"/>
              </w:rPr>
              <w:t>2</w:t>
            </w:r>
            <w:r>
              <w:rPr>
                <w:rFonts w:hint="eastAsia"/>
                <w:color w:val="auto"/>
                <w:sz w:val="24"/>
              </w:rPr>
              <w:t>。</w:t>
            </w:r>
          </w:p>
          <w:p w14:paraId="70B3B745">
            <w:pPr>
              <w:snapToGrid w:val="0"/>
              <w:spacing w:line="360" w:lineRule="auto"/>
              <w:ind w:firstLine="480" w:firstLineChars="200"/>
              <w:rPr>
                <w:rFonts w:hint="eastAsia"/>
                <w:color w:val="auto"/>
                <w:sz w:val="24"/>
                <w:highlight w:val="none"/>
              </w:rPr>
            </w:pPr>
            <w:r>
              <w:rPr>
                <w:rFonts w:hint="eastAsia"/>
                <w:color w:val="auto"/>
                <w:sz w:val="24"/>
                <w:highlight w:val="none"/>
              </w:rPr>
              <w:t>项目家具喷漆方式：喷油性漆产品油性底漆喷涂</w:t>
            </w:r>
            <w:r>
              <w:rPr>
                <w:rFonts w:hint="eastAsia"/>
                <w:color w:val="auto"/>
                <w:sz w:val="24"/>
                <w:highlight w:val="none"/>
                <w:lang w:val="en-US" w:eastAsia="zh-CN"/>
              </w:rPr>
              <w:t>1</w:t>
            </w:r>
            <w:r>
              <w:rPr>
                <w:rFonts w:hint="eastAsia"/>
                <w:color w:val="auto"/>
                <w:sz w:val="24"/>
                <w:highlight w:val="none"/>
              </w:rPr>
              <w:t>遍，油性面漆喷涂</w:t>
            </w:r>
            <w:r>
              <w:rPr>
                <w:rFonts w:hint="eastAsia"/>
                <w:color w:val="auto"/>
                <w:sz w:val="24"/>
                <w:highlight w:val="none"/>
                <w:lang w:val="en-US" w:eastAsia="zh-CN"/>
              </w:rPr>
              <w:t>1</w:t>
            </w:r>
            <w:r>
              <w:rPr>
                <w:rFonts w:hint="eastAsia"/>
                <w:color w:val="auto"/>
                <w:sz w:val="24"/>
                <w:highlight w:val="none"/>
              </w:rPr>
              <w:t>遍；喷</w:t>
            </w:r>
            <w:r>
              <w:rPr>
                <w:rFonts w:hint="eastAsia"/>
                <w:color w:val="auto"/>
                <w:sz w:val="24"/>
                <w:highlight w:val="none"/>
                <w:lang w:val="en-US" w:eastAsia="zh-CN"/>
              </w:rPr>
              <w:t>水</w:t>
            </w:r>
            <w:r>
              <w:rPr>
                <w:rFonts w:hint="eastAsia"/>
                <w:color w:val="auto"/>
                <w:sz w:val="24"/>
                <w:highlight w:val="none"/>
              </w:rPr>
              <w:t>性漆产品水性底漆喷涂</w:t>
            </w:r>
            <w:r>
              <w:rPr>
                <w:rFonts w:hint="eastAsia"/>
                <w:color w:val="auto"/>
                <w:sz w:val="24"/>
                <w:highlight w:val="none"/>
                <w:lang w:val="en-US" w:eastAsia="zh-CN"/>
              </w:rPr>
              <w:t>1</w:t>
            </w:r>
            <w:r>
              <w:rPr>
                <w:rFonts w:hint="eastAsia"/>
                <w:color w:val="auto"/>
                <w:sz w:val="24"/>
                <w:highlight w:val="none"/>
              </w:rPr>
              <w:t>遍，水性面漆喷涂1遍</w:t>
            </w:r>
            <w:r>
              <w:rPr>
                <w:rFonts w:hint="eastAsia"/>
                <w:color w:val="auto"/>
                <w:sz w:val="24"/>
                <w:highlight w:val="none"/>
                <w:lang w:eastAsia="zh-CN"/>
              </w:rPr>
              <w:t>；</w:t>
            </w:r>
            <w:r>
              <w:rPr>
                <w:rFonts w:hint="eastAsia"/>
                <w:color w:val="auto"/>
                <w:sz w:val="24"/>
                <w:highlight w:val="none"/>
              </w:rPr>
              <w:t>喷UV油漆产品UV油漆喷涂</w:t>
            </w:r>
            <w:r>
              <w:rPr>
                <w:rFonts w:hint="eastAsia"/>
                <w:color w:val="auto"/>
                <w:sz w:val="24"/>
                <w:highlight w:val="none"/>
                <w:lang w:val="en-US" w:eastAsia="zh-CN"/>
              </w:rPr>
              <w:t>1</w:t>
            </w:r>
            <w:r>
              <w:rPr>
                <w:rFonts w:hint="eastAsia"/>
                <w:color w:val="auto"/>
                <w:sz w:val="24"/>
                <w:highlight w:val="none"/>
              </w:rPr>
              <w:t>遍。</w:t>
            </w:r>
          </w:p>
          <w:p w14:paraId="1F2BB156">
            <w:pPr>
              <w:adjustRightInd w:val="0"/>
              <w:snapToGrid w:val="0"/>
              <w:spacing w:line="360" w:lineRule="auto"/>
              <w:ind w:firstLine="480" w:firstLineChars="200"/>
              <w:jc w:val="left"/>
              <w:rPr>
                <w:color w:val="auto"/>
                <w:sz w:val="24"/>
              </w:rPr>
            </w:pPr>
            <w:r>
              <w:rPr>
                <w:rFonts w:hint="eastAsia"/>
                <w:color w:val="auto"/>
                <w:sz w:val="24"/>
              </w:rPr>
              <w:t>本项目喷涂工作液用量计算按下表：</w:t>
            </w:r>
          </w:p>
          <w:p w14:paraId="217DF75F">
            <w:pPr>
              <w:pStyle w:val="46"/>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eastAsia" w:ascii="Times New Roman" w:hAnsi="Arial Unicode MS" w:eastAsia="宋体" w:cs="Times New Roman"/>
                <w:b/>
                <w:color w:val="auto"/>
                <w:kern w:val="2"/>
                <w:sz w:val="24"/>
                <w:szCs w:val="24"/>
                <w:lang w:val="en-US" w:eastAsia="zh-CN" w:bidi="ar-SA"/>
              </w:rPr>
            </w:pPr>
            <w:r>
              <w:rPr>
                <w:rFonts w:hint="eastAsia" w:ascii="Times New Roman" w:hAnsi="Arial Unicode MS" w:eastAsia="宋体" w:cs="Times New Roman"/>
                <w:b/>
                <w:color w:val="auto"/>
                <w:kern w:val="2"/>
                <w:sz w:val="24"/>
                <w:szCs w:val="24"/>
                <w:lang w:val="en-US" w:eastAsia="zh-CN" w:bidi="ar-SA"/>
              </w:rPr>
              <w:t>喷涂工作液用量计算一览表</w:t>
            </w:r>
          </w:p>
          <w:tbl>
            <w:tblPr>
              <w:tblStyle w:val="25"/>
              <w:tblW w:w="83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1138"/>
              <w:gridCol w:w="1097"/>
              <w:gridCol w:w="1684"/>
              <w:gridCol w:w="876"/>
              <w:gridCol w:w="1102"/>
              <w:gridCol w:w="1365"/>
            </w:tblGrid>
            <w:tr w14:paraId="5792E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Align w:val="center"/>
                </w:tcPr>
                <w:p w14:paraId="556AD5C8">
                  <w:pPr>
                    <w:jc w:val="center"/>
                    <w:rPr>
                      <w:b/>
                      <w:bCs/>
                      <w:color w:val="auto"/>
                      <w:lang w:val="zh-CN"/>
                    </w:rPr>
                  </w:pPr>
                  <w:r>
                    <w:rPr>
                      <w:b/>
                      <w:bCs/>
                      <w:color w:val="auto"/>
                      <w:lang w:val="zh-CN"/>
                    </w:rPr>
                    <w:t>类型</w:t>
                  </w:r>
                </w:p>
              </w:tc>
              <w:tc>
                <w:tcPr>
                  <w:tcW w:w="1138" w:type="dxa"/>
                  <w:vAlign w:val="center"/>
                </w:tcPr>
                <w:p w14:paraId="6DDE0218">
                  <w:pPr>
                    <w:jc w:val="center"/>
                    <w:rPr>
                      <w:b/>
                      <w:bCs/>
                      <w:color w:val="auto"/>
                      <w:lang w:val="zh-CN"/>
                    </w:rPr>
                  </w:pPr>
                  <w:r>
                    <w:rPr>
                      <w:b/>
                      <w:bCs/>
                      <w:color w:val="auto"/>
                    </w:rPr>
                    <w:t>油漆密度（g/cm</w:t>
                  </w:r>
                  <w:r>
                    <w:rPr>
                      <w:b/>
                      <w:bCs/>
                      <w:color w:val="auto"/>
                      <w:vertAlign w:val="superscript"/>
                    </w:rPr>
                    <w:t>3</w:t>
                  </w:r>
                  <w:r>
                    <w:rPr>
                      <w:b/>
                      <w:bCs/>
                      <w:color w:val="auto"/>
                    </w:rPr>
                    <w:t>）</w:t>
                  </w:r>
                </w:p>
              </w:tc>
              <w:tc>
                <w:tcPr>
                  <w:tcW w:w="1097" w:type="dxa"/>
                  <w:vAlign w:val="center"/>
                </w:tcPr>
                <w:p w14:paraId="3FF5EC4A">
                  <w:pPr>
                    <w:jc w:val="center"/>
                    <w:rPr>
                      <w:b/>
                      <w:bCs/>
                      <w:color w:val="auto"/>
                    </w:rPr>
                  </w:pPr>
                  <w:r>
                    <w:rPr>
                      <w:b/>
                      <w:bCs/>
                      <w:color w:val="auto"/>
                    </w:rPr>
                    <w:t>涂层厚度</w:t>
                  </w:r>
                </w:p>
                <w:p w14:paraId="4F26F9C5">
                  <w:pPr>
                    <w:jc w:val="center"/>
                    <w:rPr>
                      <w:b/>
                      <w:bCs/>
                      <w:color w:val="auto"/>
                      <w:lang w:val="zh-CN"/>
                    </w:rPr>
                  </w:pPr>
                  <w:r>
                    <w:rPr>
                      <w:b/>
                      <w:bCs/>
                      <w:color w:val="auto"/>
                    </w:rPr>
                    <w:t>（μ</w:t>
                  </w:r>
                  <w:r>
                    <w:rPr>
                      <w:b/>
                      <w:bCs/>
                      <w:color w:val="auto"/>
                      <w:lang w:val="zh-CN"/>
                    </w:rPr>
                    <w:t>m</w:t>
                  </w:r>
                  <w:r>
                    <w:rPr>
                      <w:b/>
                      <w:bCs/>
                      <w:color w:val="auto"/>
                    </w:rPr>
                    <w:t>）</w:t>
                  </w:r>
                </w:p>
              </w:tc>
              <w:tc>
                <w:tcPr>
                  <w:tcW w:w="1684" w:type="dxa"/>
                  <w:vAlign w:val="center"/>
                </w:tcPr>
                <w:p w14:paraId="1CDCB71C">
                  <w:pPr>
                    <w:jc w:val="center"/>
                    <w:rPr>
                      <w:b/>
                      <w:bCs/>
                      <w:color w:val="auto"/>
                      <w:lang w:val="zh-CN"/>
                    </w:rPr>
                  </w:pPr>
                  <w:r>
                    <w:rPr>
                      <w:b/>
                      <w:bCs/>
                      <w:color w:val="auto"/>
                      <w:u w:val="none"/>
                      <w:lang w:val="zh-CN"/>
                    </w:rPr>
                    <w:t>油漆中（工作液）的固体份（%）</w:t>
                  </w:r>
                </w:p>
              </w:tc>
              <w:tc>
                <w:tcPr>
                  <w:tcW w:w="876" w:type="dxa"/>
                  <w:vAlign w:val="center"/>
                </w:tcPr>
                <w:p w14:paraId="49554A5A">
                  <w:pPr>
                    <w:jc w:val="center"/>
                    <w:rPr>
                      <w:b/>
                      <w:bCs/>
                      <w:color w:val="auto"/>
                      <w:lang w:val="zh-CN"/>
                    </w:rPr>
                  </w:pPr>
                  <w:r>
                    <w:rPr>
                      <w:b/>
                      <w:bCs/>
                      <w:color w:val="auto"/>
                      <w:u w:val="none"/>
                      <w:lang w:val="zh-CN"/>
                    </w:rPr>
                    <w:t>上漆率（%）</w:t>
                  </w:r>
                </w:p>
              </w:tc>
              <w:tc>
                <w:tcPr>
                  <w:tcW w:w="1102" w:type="dxa"/>
                  <w:vAlign w:val="center"/>
                </w:tcPr>
                <w:p w14:paraId="525830F2">
                  <w:pPr>
                    <w:jc w:val="center"/>
                    <w:rPr>
                      <w:b/>
                      <w:bCs/>
                      <w:color w:val="auto"/>
                      <w:lang w:val="zh-CN"/>
                    </w:rPr>
                  </w:pPr>
                  <w:r>
                    <w:rPr>
                      <w:b/>
                      <w:bCs/>
                      <w:color w:val="auto"/>
                      <w:u w:val="none"/>
                      <w:lang w:val="zh-CN"/>
                    </w:rPr>
                    <w:t>涂装面积（m</w:t>
                  </w:r>
                  <w:r>
                    <w:rPr>
                      <w:b/>
                      <w:bCs/>
                      <w:color w:val="auto"/>
                      <w:u w:val="none"/>
                      <w:vertAlign w:val="superscript"/>
                      <w:lang w:val="zh-CN"/>
                    </w:rPr>
                    <w:t>2</w:t>
                  </w:r>
                  <w:r>
                    <w:rPr>
                      <w:b/>
                      <w:bCs/>
                      <w:color w:val="auto"/>
                      <w:u w:val="none"/>
                      <w:lang w:val="zh-CN"/>
                    </w:rPr>
                    <w:t>）</w:t>
                  </w:r>
                </w:p>
              </w:tc>
              <w:tc>
                <w:tcPr>
                  <w:tcW w:w="1365" w:type="dxa"/>
                  <w:vAlign w:val="center"/>
                </w:tcPr>
                <w:p w14:paraId="724E2945">
                  <w:pPr>
                    <w:jc w:val="center"/>
                    <w:rPr>
                      <w:b/>
                      <w:bCs/>
                      <w:color w:val="auto"/>
                      <w:u w:val="none"/>
                      <w:lang w:val="zh-CN"/>
                    </w:rPr>
                  </w:pPr>
                  <w:r>
                    <w:rPr>
                      <w:b/>
                      <w:bCs/>
                      <w:color w:val="auto"/>
                      <w:u w:val="none"/>
                      <w:lang w:val="zh-CN"/>
                    </w:rPr>
                    <w:t>工作液</w:t>
                  </w:r>
                </w:p>
                <w:p w14:paraId="00DB1DFA">
                  <w:pPr>
                    <w:jc w:val="center"/>
                    <w:rPr>
                      <w:b/>
                      <w:bCs/>
                      <w:color w:val="auto"/>
                      <w:lang w:val="zh-CN"/>
                    </w:rPr>
                  </w:pPr>
                  <w:r>
                    <w:rPr>
                      <w:b/>
                      <w:bCs/>
                      <w:color w:val="auto"/>
                      <w:u w:val="none"/>
                      <w:lang w:val="zh-CN"/>
                    </w:rPr>
                    <w:t>用量（t）</w:t>
                  </w:r>
                </w:p>
              </w:tc>
            </w:tr>
            <w:tr w14:paraId="5A687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Align w:val="center"/>
                </w:tcPr>
                <w:p w14:paraId="766AE5E9">
                  <w:pPr>
                    <w:jc w:val="center"/>
                    <w:rPr>
                      <w:color w:val="auto"/>
                      <w:lang w:val="zh-CN"/>
                    </w:rPr>
                  </w:pPr>
                  <w:r>
                    <w:rPr>
                      <w:rFonts w:hint="eastAsia"/>
                      <w:color w:val="auto"/>
                    </w:rPr>
                    <w:t>油性</w:t>
                  </w:r>
                  <w:r>
                    <w:rPr>
                      <w:color w:val="auto"/>
                      <w:lang w:val="zh-CN"/>
                    </w:rPr>
                    <w:t>底漆</w:t>
                  </w:r>
                </w:p>
              </w:tc>
              <w:tc>
                <w:tcPr>
                  <w:tcW w:w="1138" w:type="dxa"/>
                  <w:vAlign w:val="center"/>
                </w:tcPr>
                <w:p w14:paraId="0CF361CB">
                  <w:pPr>
                    <w:jc w:val="center"/>
                    <w:rPr>
                      <w:rFonts w:hint="default" w:eastAsia="宋体"/>
                      <w:color w:val="auto"/>
                      <w:lang w:val="en-US" w:eastAsia="zh-CN"/>
                    </w:rPr>
                  </w:pPr>
                  <w:r>
                    <w:rPr>
                      <w:rFonts w:hint="eastAsia"/>
                      <w:color w:val="auto"/>
                      <w:lang w:val="en-US" w:eastAsia="zh-CN"/>
                    </w:rPr>
                    <w:t>1.16</w:t>
                  </w:r>
                </w:p>
              </w:tc>
              <w:tc>
                <w:tcPr>
                  <w:tcW w:w="1097" w:type="dxa"/>
                  <w:vAlign w:val="center"/>
                </w:tcPr>
                <w:p w14:paraId="215E0C5C">
                  <w:pPr>
                    <w:jc w:val="center"/>
                    <w:rPr>
                      <w:color w:val="auto"/>
                    </w:rPr>
                  </w:pPr>
                  <w:r>
                    <w:rPr>
                      <w:rFonts w:hint="eastAsia"/>
                      <w:color w:val="auto"/>
                    </w:rPr>
                    <w:t>60</w:t>
                  </w:r>
                </w:p>
              </w:tc>
              <w:tc>
                <w:tcPr>
                  <w:tcW w:w="1684" w:type="dxa"/>
                  <w:vAlign w:val="center"/>
                </w:tcPr>
                <w:p w14:paraId="3A3A6A31">
                  <w:pPr>
                    <w:jc w:val="center"/>
                    <w:rPr>
                      <w:color w:val="auto"/>
                    </w:rPr>
                  </w:pPr>
                  <w:r>
                    <w:rPr>
                      <w:rFonts w:hint="eastAsia"/>
                      <w:color w:val="auto"/>
                    </w:rPr>
                    <w:t>50</w:t>
                  </w:r>
                </w:p>
              </w:tc>
              <w:tc>
                <w:tcPr>
                  <w:tcW w:w="876" w:type="dxa"/>
                  <w:vAlign w:val="center"/>
                </w:tcPr>
                <w:p w14:paraId="232ABBD7">
                  <w:pPr>
                    <w:jc w:val="center"/>
                    <w:rPr>
                      <w:color w:val="auto"/>
                    </w:rPr>
                  </w:pPr>
                  <w:r>
                    <w:rPr>
                      <w:rFonts w:hint="eastAsia"/>
                      <w:color w:val="auto"/>
                    </w:rPr>
                    <w:t>70</w:t>
                  </w:r>
                </w:p>
              </w:tc>
              <w:tc>
                <w:tcPr>
                  <w:tcW w:w="1102" w:type="dxa"/>
                  <w:vAlign w:val="center"/>
                </w:tcPr>
                <w:p w14:paraId="3579BE3F">
                  <w:pPr>
                    <w:jc w:val="center"/>
                    <w:rPr>
                      <w:rFonts w:hint="default"/>
                      <w:b/>
                      <w:bCs/>
                      <w:color w:val="auto"/>
                      <w:u w:val="single"/>
                      <w:lang w:val="en-US"/>
                    </w:rPr>
                  </w:pPr>
                  <w:r>
                    <w:rPr>
                      <w:rFonts w:hint="eastAsia"/>
                      <w:b/>
                      <w:bCs/>
                      <w:color w:val="auto"/>
                      <w:u w:val="single"/>
                      <w:lang w:val="en-US" w:eastAsia="zh-CN"/>
                    </w:rPr>
                    <w:t>21875</w:t>
                  </w:r>
                </w:p>
              </w:tc>
              <w:tc>
                <w:tcPr>
                  <w:tcW w:w="1365" w:type="dxa"/>
                  <w:vAlign w:val="center"/>
                </w:tcPr>
                <w:p w14:paraId="4353E581">
                  <w:pPr>
                    <w:keepNext w:val="0"/>
                    <w:keepLines w:val="0"/>
                    <w:widowControl/>
                    <w:suppressLineNumbers w:val="0"/>
                    <w:jc w:val="center"/>
                    <w:textAlignment w:val="center"/>
                    <w:rPr>
                      <w:rFonts w:hint="default" w:ascii="Times New Roman" w:hAnsi="Times New Roman" w:cs="Times New Roman"/>
                      <w:b/>
                      <w:bCs/>
                      <w:color w:val="auto"/>
                      <w:sz w:val="21"/>
                      <w:szCs w:val="21"/>
                      <w:u w:val="single"/>
                      <w:lang w:val="en-US" w:eastAsia="zh-CN"/>
                    </w:rPr>
                  </w:pPr>
                  <w:r>
                    <w:rPr>
                      <w:rFonts w:hint="default" w:ascii="Times New Roman" w:hAnsi="Times New Roman" w:eastAsia="宋体" w:cs="Times New Roman"/>
                      <w:b/>
                      <w:bCs/>
                      <w:i w:val="0"/>
                      <w:iCs w:val="0"/>
                      <w:color w:val="auto"/>
                      <w:kern w:val="0"/>
                      <w:sz w:val="21"/>
                      <w:szCs w:val="21"/>
                      <w:u w:val="single"/>
                      <w:lang w:val="en-US" w:eastAsia="zh-CN" w:bidi="ar"/>
                    </w:rPr>
                    <w:t>4.350</w:t>
                  </w:r>
                </w:p>
              </w:tc>
            </w:tr>
            <w:tr w14:paraId="0C232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Align w:val="center"/>
                </w:tcPr>
                <w:p w14:paraId="10C1D0A7">
                  <w:pPr>
                    <w:jc w:val="center"/>
                    <w:rPr>
                      <w:color w:val="auto"/>
                      <w:lang w:val="zh-CN"/>
                    </w:rPr>
                  </w:pPr>
                  <w:r>
                    <w:rPr>
                      <w:rFonts w:hint="eastAsia"/>
                      <w:color w:val="auto"/>
                    </w:rPr>
                    <w:t>油性</w:t>
                  </w:r>
                  <w:r>
                    <w:rPr>
                      <w:color w:val="auto"/>
                      <w:lang w:val="zh-CN"/>
                    </w:rPr>
                    <w:t>面漆</w:t>
                  </w:r>
                </w:p>
              </w:tc>
              <w:tc>
                <w:tcPr>
                  <w:tcW w:w="1138" w:type="dxa"/>
                  <w:vAlign w:val="center"/>
                </w:tcPr>
                <w:p w14:paraId="18E07BF3">
                  <w:pPr>
                    <w:jc w:val="center"/>
                    <w:rPr>
                      <w:rFonts w:hint="default" w:eastAsia="宋体"/>
                      <w:color w:val="auto"/>
                      <w:lang w:val="en-US" w:eastAsia="zh-CN"/>
                    </w:rPr>
                  </w:pPr>
                  <w:r>
                    <w:rPr>
                      <w:rFonts w:hint="eastAsia"/>
                      <w:color w:val="auto"/>
                      <w:lang w:val="en-US" w:eastAsia="zh-CN"/>
                    </w:rPr>
                    <w:t>1.22</w:t>
                  </w:r>
                </w:p>
              </w:tc>
              <w:tc>
                <w:tcPr>
                  <w:tcW w:w="1097" w:type="dxa"/>
                  <w:vAlign w:val="center"/>
                </w:tcPr>
                <w:p w14:paraId="78F86D62">
                  <w:pPr>
                    <w:jc w:val="center"/>
                    <w:rPr>
                      <w:color w:val="auto"/>
                    </w:rPr>
                  </w:pPr>
                  <w:r>
                    <w:rPr>
                      <w:rFonts w:hint="eastAsia"/>
                      <w:color w:val="auto"/>
                    </w:rPr>
                    <w:t>50</w:t>
                  </w:r>
                </w:p>
              </w:tc>
              <w:tc>
                <w:tcPr>
                  <w:tcW w:w="1684" w:type="dxa"/>
                  <w:vAlign w:val="center"/>
                </w:tcPr>
                <w:p w14:paraId="35E6B02A">
                  <w:pPr>
                    <w:jc w:val="center"/>
                    <w:rPr>
                      <w:color w:val="auto"/>
                    </w:rPr>
                  </w:pPr>
                  <w:r>
                    <w:rPr>
                      <w:rFonts w:hint="eastAsia"/>
                      <w:color w:val="auto"/>
                    </w:rPr>
                    <w:t>55</w:t>
                  </w:r>
                </w:p>
              </w:tc>
              <w:tc>
                <w:tcPr>
                  <w:tcW w:w="876" w:type="dxa"/>
                  <w:vAlign w:val="center"/>
                </w:tcPr>
                <w:p w14:paraId="38B05F65">
                  <w:pPr>
                    <w:jc w:val="center"/>
                    <w:rPr>
                      <w:color w:val="auto"/>
                    </w:rPr>
                  </w:pPr>
                  <w:r>
                    <w:rPr>
                      <w:rFonts w:hint="eastAsia"/>
                      <w:color w:val="auto"/>
                    </w:rPr>
                    <w:t>7</w:t>
                  </w:r>
                  <w:r>
                    <w:rPr>
                      <w:color w:val="auto"/>
                      <w:lang w:val="zh-CN"/>
                    </w:rPr>
                    <w:t>0</w:t>
                  </w:r>
                </w:p>
              </w:tc>
              <w:tc>
                <w:tcPr>
                  <w:tcW w:w="1102" w:type="dxa"/>
                  <w:vAlign w:val="center"/>
                </w:tcPr>
                <w:p w14:paraId="578447EE">
                  <w:pPr>
                    <w:jc w:val="center"/>
                    <w:rPr>
                      <w:b/>
                      <w:bCs/>
                      <w:color w:val="auto"/>
                      <w:u w:val="single"/>
                    </w:rPr>
                  </w:pPr>
                  <w:r>
                    <w:rPr>
                      <w:rFonts w:hint="eastAsia"/>
                      <w:b/>
                      <w:bCs/>
                      <w:color w:val="auto"/>
                      <w:u w:val="single"/>
                      <w:lang w:val="en-US" w:eastAsia="zh-CN"/>
                    </w:rPr>
                    <w:t>21875</w:t>
                  </w:r>
                </w:p>
              </w:tc>
              <w:tc>
                <w:tcPr>
                  <w:tcW w:w="1365" w:type="dxa"/>
                  <w:vAlign w:val="center"/>
                </w:tcPr>
                <w:p w14:paraId="79E450B5">
                  <w:pPr>
                    <w:keepNext w:val="0"/>
                    <w:keepLines w:val="0"/>
                    <w:widowControl/>
                    <w:suppressLineNumbers w:val="0"/>
                    <w:jc w:val="center"/>
                    <w:textAlignment w:val="center"/>
                    <w:rPr>
                      <w:rFonts w:hint="default" w:ascii="Times New Roman" w:hAnsi="Times New Roman" w:cs="Times New Roman"/>
                      <w:b/>
                      <w:bCs/>
                      <w:color w:val="auto"/>
                      <w:sz w:val="21"/>
                      <w:szCs w:val="21"/>
                      <w:u w:val="single"/>
                      <w:lang w:val="en-US" w:eastAsia="zh-CN"/>
                    </w:rPr>
                  </w:pPr>
                  <w:r>
                    <w:rPr>
                      <w:rFonts w:hint="default" w:ascii="Times New Roman" w:hAnsi="Times New Roman" w:eastAsia="宋体" w:cs="Times New Roman"/>
                      <w:b/>
                      <w:bCs/>
                      <w:i w:val="0"/>
                      <w:iCs w:val="0"/>
                      <w:color w:val="auto"/>
                      <w:kern w:val="0"/>
                      <w:sz w:val="21"/>
                      <w:szCs w:val="21"/>
                      <w:u w:val="single"/>
                      <w:lang w:val="en-US" w:eastAsia="zh-CN" w:bidi="ar"/>
                    </w:rPr>
                    <w:t>3.466</w:t>
                  </w:r>
                </w:p>
              </w:tc>
            </w:tr>
            <w:tr w14:paraId="0BFF5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Align w:val="center"/>
                </w:tcPr>
                <w:p w14:paraId="161A9A0D">
                  <w:pPr>
                    <w:jc w:val="center"/>
                    <w:rPr>
                      <w:rFonts w:hint="eastAsia"/>
                      <w:color w:val="auto"/>
                    </w:rPr>
                  </w:pPr>
                  <w:r>
                    <w:rPr>
                      <w:rFonts w:hint="eastAsia"/>
                      <w:color w:val="auto"/>
                    </w:rPr>
                    <w:t>水性</w:t>
                  </w:r>
                  <w:r>
                    <w:rPr>
                      <w:rFonts w:hint="eastAsia"/>
                      <w:color w:val="auto"/>
                      <w:lang w:val="en-US" w:eastAsia="zh-CN"/>
                    </w:rPr>
                    <w:t>底</w:t>
                  </w:r>
                  <w:r>
                    <w:rPr>
                      <w:color w:val="auto"/>
                      <w:lang w:val="zh-CN"/>
                    </w:rPr>
                    <w:t>漆</w:t>
                  </w:r>
                </w:p>
              </w:tc>
              <w:tc>
                <w:tcPr>
                  <w:tcW w:w="1138" w:type="dxa"/>
                  <w:vAlign w:val="center"/>
                </w:tcPr>
                <w:p w14:paraId="78B180D5">
                  <w:pPr>
                    <w:jc w:val="center"/>
                    <w:rPr>
                      <w:rFonts w:hint="default" w:eastAsia="宋体"/>
                      <w:color w:val="auto"/>
                      <w:lang w:val="en-US" w:eastAsia="zh-CN"/>
                    </w:rPr>
                  </w:pPr>
                  <w:r>
                    <w:rPr>
                      <w:rFonts w:hint="eastAsia"/>
                      <w:color w:val="auto"/>
                      <w:lang w:val="en-US" w:eastAsia="zh-CN"/>
                    </w:rPr>
                    <w:t>1.20</w:t>
                  </w:r>
                </w:p>
              </w:tc>
              <w:tc>
                <w:tcPr>
                  <w:tcW w:w="1097" w:type="dxa"/>
                  <w:vAlign w:val="center"/>
                </w:tcPr>
                <w:p w14:paraId="37F18125">
                  <w:pPr>
                    <w:jc w:val="center"/>
                    <w:rPr>
                      <w:color w:val="auto"/>
                    </w:rPr>
                  </w:pPr>
                  <w:r>
                    <w:rPr>
                      <w:rFonts w:hint="eastAsia"/>
                      <w:color w:val="auto"/>
                    </w:rPr>
                    <w:t>40</w:t>
                  </w:r>
                </w:p>
              </w:tc>
              <w:tc>
                <w:tcPr>
                  <w:tcW w:w="1684" w:type="dxa"/>
                  <w:vAlign w:val="center"/>
                </w:tcPr>
                <w:p w14:paraId="0D2FB9B8">
                  <w:pPr>
                    <w:jc w:val="center"/>
                    <w:rPr>
                      <w:color w:val="auto"/>
                    </w:rPr>
                  </w:pPr>
                  <w:r>
                    <w:rPr>
                      <w:rFonts w:hint="eastAsia"/>
                      <w:color w:val="auto"/>
                    </w:rPr>
                    <w:t>35</w:t>
                  </w:r>
                </w:p>
              </w:tc>
              <w:tc>
                <w:tcPr>
                  <w:tcW w:w="876" w:type="dxa"/>
                  <w:vAlign w:val="center"/>
                </w:tcPr>
                <w:p w14:paraId="3A3D7207">
                  <w:pPr>
                    <w:jc w:val="center"/>
                    <w:rPr>
                      <w:rFonts w:hint="eastAsia"/>
                      <w:color w:val="auto"/>
                    </w:rPr>
                  </w:pPr>
                  <w:r>
                    <w:rPr>
                      <w:rFonts w:hint="eastAsia"/>
                      <w:color w:val="auto"/>
                    </w:rPr>
                    <w:t>70</w:t>
                  </w:r>
                </w:p>
              </w:tc>
              <w:tc>
                <w:tcPr>
                  <w:tcW w:w="1102" w:type="dxa"/>
                  <w:vAlign w:val="center"/>
                </w:tcPr>
                <w:p w14:paraId="28084A06">
                  <w:pPr>
                    <w:jc w:val="center"/>
                    <w:rPr>
                      <w:rFonts w:hint="default" w:eastAsia="宋体"/>
                      <w:color w:val="auto"/>
                      <w:lang w:val="en-US" w:eastAsia="zh-CN"/>
                    </w:rPr>
                  </w:pPr>
                  <w:r>
                    <w:rPr>
                      <w:rFonts w:hint="eastAsia"/>
                      <w:color w:val="auto"/>
                      <w:lang w:val="en-US" w:eastAsia="zh-CN"/>
                    </w:rPr>
                    <w:t>25000</w:t>
                  </w:r>
                </w:p>
              </w:tc>
              <w:tc>
                <w:tcPr>
                  <w:tcW w:w="1365" w:type="dxa"/>
                  <w:vAlign w:val="center"/>
                </w:tcPr>
                <w:p w14:paraId="41AF79B7">
                  <w:pPr>
                    <w:keepNext w:val="0"/>
                    <w:keepLines w:val="0"/>
                    <w:widowControl/>
                    <w:suppressLineNumbers w:val="0"/>
                    <w:jc w:val="center"/>
                    <w:textAlignment w:val="center"/>
                    <w:rPr>
                      <w:rFonts w:hint="default" w:ascii="Times New Roman" w:hAnsi="Times New Roman" w:cs="Times New Roman"/>
                      <w:b/>
                      <w:bCs/>
                      <w:color w:val="auto"/>
                      <w:sz w:val="21"/>
                      <w:szCs w:val="21"/>
                      <w:u w:val="single"/>
                      <w:lang w:val="en-US" w:eastAsia="zh-CN"/>
                    </w:rPr>
                  </w:pPr>
                  <w:r>
                    <w:rPr>
                      <w:rFonts w:hint="default" w:ascii="Times New Roman" w:hAnsi="Times New Roman" w:eastAsia="宋体" w:cs="Times New Roman"/>
                      <w:b/>
                      <w:bCs/>
                      <w:i w:val="0"/>
                      <w:iCs w:val="0"/>
                      <w:color w:val="auto"/>
                      <w:kern w:val="0"/>
                      <w:sz w:val="21"/>
                      <w:szCs w:val="21"/>
                      <w:u w:val="single"/>
                      <w:lang w:val="en-US" w:eastAsia="zh-CN" w:bidi="ar"/>
                    </w:rPr>
                    <w:t>4.898</w:t>
                  </w:r>
                </w:p>
              </w:tc>
            </w:tr>
            <w:tr w14:paraId="38909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Align w:val="center"/>
                </w:tcPr>
                <w:p w14:paraId="22FD163A">
                  <w:pPr>
                    <w:jc w:val="center"/>
                    <w:rPr>
                      <w:color w:val="auto"/>
                      <w:lang w:val="zh-CN"/>
                    </w:rPr>
                  </w:pPr>
                  <w:r>
                    <w:rPr>
                      <w:rFonts w:hint="eastAsia"/>
                      <w:color w:val="auto"/>
                    </w:rPr>
                    <w:t>水性</w:t>
                  </w:r>
                  <w:r>
                    <w:rPr>
                      <w:rFonts w:hint="eastAsia"/>
                      <w:color w:val="auto"/>
                      <w:lang w:val="en-US" w:eastAsia="zh-CN"/>
                    </w:rPr>
                    <w:t>面</w:t>
                  </w:r>
                  <w:r>
                    <w:rPr>
                      <w:color w:val="auto"/>
                      <w:lang w:val="zh-CN"/>
                    </w:rPr>
                    <w:t>漆</w:t>
                  </w:r>
                </w:p>
              </w:tc>
              <w:tc>
                <w:tcPr>
                  <w:tcW w:w="1138" w:type="dxa"/>
                  <w:vAlign w:val="center"/>
                </w:tcPr>
                <w:p w14:paraId="7D5A190F">
                  <w:pPr>
                    <w:jc w:val="center"/>
                    <w:rPr>
                      <w:rFonts w:hint="default" w:eastAsia="宋体"/>
                      <w:color w:val="auto"/>
                      <w:lang w:val="en-US" w:eastAsia="zh-CN"/>
                    </w:rPr>
                  </w:pPr>
                  <w:r>
                    <w:rPr>
                      <w:rFonts w:hint="eastAsia"/>
                      <w:color w:val="auto"/>
                      <w:lang w:val="en-US" w:eastAsia="zh-CN"/>
                    </w:rPr>
                    <w:t>1.26</w:t>
                  </w:r>
                </w:p>
              </w:tc>
              <w:tc>
                <w:tcPr>
                  <w:tcW w:w="1097" w:type="dxa"/>
                  <w:vAlign w:val="center"/>
                </w:tcPr>
                <w:p w14:paraId="7605167D">
                  <w:pPr>
                    <w:jc w:val="center"/>
                    <w:rPr>
                      <w:color w:val="auto"/>
                    </w:rPr>
                  </w:pPr>
                  <w:r>
                    <w:rPr>
                      <w:rFonts w:hint="eastAsia"/>
                      <w:color w:val="auto"/>
                    </w:rPr>
                    <w:t>30</w:t>
                  </w:r>
                </w:p>
              </w:tc>
              <w:tc>
                <w:tcPr>
                  <w:tcW w:w="1684" w:type="dxa"/>
                  <w:vAlign w:val="center"/>
                </w:tcPr>
                <w:p w14:paraId="6DC83C82">
                  <w:pPr>
                    <w:jc w:val="center"/>
                    <w:rPr>
                      <w:color w:val="auto"/>
                    </w:rPr>
                  </w:pPr>
                  <w:r>
                    <w:rPr>
                      <w:rFonts w:hint="eastAsia"/>
                      <w:color w:val="auto"/>
                    </w:rPr>
                    <w:t>40</w:t>
                  </w:r>
                </w:p>
              </w:tc>
              <w:tc>
                <w:tcPr>
                  <w:tcW w:w="876" w:type="dxa"/>
                  <w:vAlign w:val="center"/>
                </w:tcPr>
                <w:p w14:paraId="1ECE823D">
                  <w:pPr>
                    <w:jc w:val="center"/>
                    <w:rPr>
                      <w:rFonts w:hint="eastAsia"/>
                      <w:color w:val="auto"/>
                    </w:rPr>
                  </w:pPr>
                  <w:r>
                    <w:rPr>
                      <w:rFonts w:hint="eastAsia"/>
                      <w:color w:val="auto"/>
                    </w:rPr>
                    <w:t>7</w:t>
                  </w:r>
                  <w:r>
                    <w:rPr>
                      <w:color w:val="auto"/>
                      <w:lang w:val="zh-CN"/>
                    </w:rPr>
                    <w:t>0</w:t>
                  </w:r>
                </w:p>
              </w:tc>
              <w:tc>
                <w:tcPr>
                  <w:tcW w:w="1102" w:type="dxa"/>
                  <w:vAlign w:val="center"/>
                </w:tcPr>
                <w:p w14:paraId="553AC2D9">
                  <w:pPr>
                    <w:jc w:val="center"/>
                    <w:rPr>
                      <w:rFonts w:hint="eastAsia"/>
                      <w:color w:val="auto"/>
                    </w:rPr>
                  </w:pPr>
                  <w:r>
                    <w:rPr>
                      <w:rFonts w:hint="eastAsia"/>
                      <w:color w:val="auto"/>
                      <w:lang w:val="en-US" w:eastAsia="zh-CN"/>
                    </w:rPr>
                    <w:t>25000</w:t>
                  </w:r>
                </w:p>
              </w:tc>
              <w:tc>
                <w:tcPr>
                  <w:tcW w:w="1365" w:type="dxa"/>
                  <w:vAlign w:val="center"/>
                </w:tcPr>
                <w:p w14:paraId="0CBD41F1">
                  <w:pPr>
                    <w:keepNext w:val="0"/>
                    <w:keepLines w:val="0"/>
                    <w:widowControl/>
                    <w:suppressLineNumbers w:val="0"/>
                    <w:jc w:val="center"/>
                    <w:textAlignment w:val="center"/>
                    <w:rPr>
                      <w:rFonts w:hint="default" w:ascii="Times New Roman" w:hAnsi="Times New Roman" w:cs="Times New Roman"/>
                      <w:b/>
                      <w:bCs/>
                      <w:color w:val="auto"/>
                      <w:sz w:val="21"/>
                      <w:szCs w:val="21"/>
                      <w:u w:val="single"/>
                      <w:lang w:val="en-US" w:eastAsia="zh-CN"/>
                    </w:rPr>
                  </w:pPr>
                  <w:r>
                    <w:rPr>
                      <w:rFonts w:hint="default" w:ascii="Times New Roman" w:hAnsi="Times New Roman" w:eastAsia="宋体" w:cs="Times New Roman"/>
                      <w:b/>
                      <w:bCs/>
                      <w:i w:val="0"/>
                      <w:iCs w:val="0"/>
                      <w:color w:val="auto"/>
                      <w:kern w:val="0"/>
                      <w:sz w:val="21"/>
                      <w:szCs w:val="21"/>
                      <w:u w:val="single"/>
                      <w:lang w:val="en-US" w:eastAsia="zh-CN" w:bidi="ar"/>
                    </w:rPr>
                    <w:t>3.375</w:t>
                  </w:r>
                </w:p>
              </w:tc>
            </w:tr>
            <w:tr w14:paraId="517E2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Align w:val="center"/>
                </w:tcPr>
                <w:p w14:paraId="1DF2221F">
                  <w:pPr>
                    <w:jc w:val="center"/>
                    <w:rPr>
                      <w:color w:val="auto"/>
                    </w:rPr>
                  </w:pPr>
                  <w:r>
                    <w:rPr>
                      <w:rFonts w:hint="eastAsia"/>
                      <w:color w:val="auto"/>
                    </w:rPr>
                    <w:t>UV油漆</w:t>
                  </w:r>
                </w:p>
              </w:tc>
              <w:tc>
                <w:tcPr>
                  <w:tcW w:w="1138" w:type="dxa"/>
                  <w:vAlign w:val="center"/>
                </w:tcPr>
                <w:p w14:paraId="05293160">
                  <w:pPr>
                    <w:jc w:val="center"/>
                    <w:rPr>
                      <w:color w:val="auto"/>
                    </w:rPr>
                  </w:pPr>
                  <w:r>
                    <w:rPr>
                      <w:rFonts w:hint="eastAsia"/>
                      <w:color w:val="auto"/>
                    </w:rPr>
                    <w:t>1.31</w:t>
                  </w:r>
                </w:p>
              </w:tc>
              <w:tc>
                <w:tcPr>
                  <w:tcW w:w="1097" w:type="dxa"/>
                  <w:vAlign w:val="center"/>
                </w:tcPr>
                <w:p w14:paraId="670A02EA">
                  <w:pPr>
                    <w:jc w:val="center"/>
                    <w:rPr>
                      <w:color w:val="auto"/>
                    </w:rPr>
                  </w:pPr>
                  <w:r>
                    <w:rPr>
                      <w:rFonts w:hint="eastAsia"/>
                      <w:color w:val="auto"/>
                    </w:rPr>
                    <w:t>80</w:t>
                  </w:r>
                </w:p>
              </w:tc>
              <w:tc>
                <w:tcPr>
                  <w:tcW w:w="1684" w:type="dxa"/>
                  <w:vAlign w:val="center"/>
                </w:tcPr>
                <w:p w14:paraId="1096D1DD">
                  <w:pPr>
                    <w:jc w:val="center"/>
                    <w:rPr>
                      <w:color w:val="auto"/>
                    </w:rPr>
                  </w:pPr>
                  <w:r>
                    <w:rPr>
                      <w:rFonts w:hint="eastAsia"/>
                      <w:color w:val="auto"/>
                      <w:lang w:val="en-US" w:eastAsia="zh-CN"/>
                    </w:rPr>
                    <w:t>100</w:t>
                  </w:r>
                </w:p>
              </w:tc>
              <w:tc>
                <w:tcPr>
                  <w:tcW w:w="876" w:type="dxa"/>
                  <w:vAlign w:val="center"/>
                </w:tcPr>
                <w:p w14:paraId="4BD5410C">
                  <w:pPr>
                    <w:jc w:val="center"/>
                    <w:rPr>
                      <w:color w:val="auto"/>
                    </w:rPr>
                  </w:pPr>
                  <w:r>
                    <w:rPr>
                      <w:rFonts w:hint="eastAsia"/>
                      <w:color w:val="auto"/>
                    </w:rPr>
                    <w:t>95</w:t>
                  </w:r>
                </w:p>
              </w:tc>
              <w:tc>
                <w:tcPr>
                  <w:tcW w:w="1102" w:type="dxa"/>
                  <w:vAlign w:val="center"/>
                </w:tcPr>
                <w:p w14:paraId="365F1C37">
                  <w:pPr>
                    <w:jc w:val="center"/>
                    <w:rPr>
                      <w:rFonts w:hint="default" w:eastAsia="宋体"/>
                      <w:color w:val="auto"/>
                      <w:lang w:val="en-US" w:eastAsia="zh-CN"/>
                    </w:rPr>
                  </w:pPr>
                  <w:r>
                    <w:rPr>
                      <w:rFonts w:hint="eastAsia"/>
                      <w:b/>
                      <w:bCs/>
                      <w:color w:val="auto"/>
                      <w:u w:val="single"/>
                      <w:lang w:val="en-US" w:eastAsia="zh-CN"/>
                    </w:rPr>
                    <w:t>3125</w:t>
                  </w:r>
                </w:p>
              </w:tc>
              <w:tc>
                <w:tcPr>
                  <w:tcW w:w="1365" w:type="dxa"/>
                  <w:vAlign w:val="center"/>
                </w:tcPr>
                <w:p w14:paraId="2BDDE4C0">
                  <w:pPr>
                    <w:keepNext w:val="0"/>
                    <w:keepLines w:val="0"/>
                    <w:widowControl/>
                    <w:suppressLineNumbers w:val="0"/>
                    <w:jc w:val="center"/>
                    <w:textAlignment w:val="center"/>
                    <w:rPr>
                      <w:rFonts w:hint="default" w:ascii="Times New Roman" w:hAnsi="Times New Roman" w:cs="Times New Roman"/>
                      <w:b/>
                      <w:bCs/>
                      <w:color w:val="auto"/>
                      <w:sz w:val="21"/>
                      <w:szCs w:val="21"/>
                      <w:u w:val="single"/>
                      <w:lang w:val="en-US" w:eastAsia="zh-CN"/>
                    </w:rPr>
                  </w:pPr>
                  <w:r>
                    <w:rPr>
                      <w:rFonts w:hint="default" w:ascii="Times New Roman" w:hAnsi="Times New Roman" w:eastAsia="宋体" w:cs="Times New Roman"/>
                      <w:b/>
                      <w:bCs/>
                      <w:i w:val="0"/>
                      <w:iCs w:val="0"/>
                      <w:color w:val="auto"/>
                      <w:kern w:val="0"/>
                      <w:sz w:val="21"/>
                      <w:szCs w:val="21"/>
                      <w:u w:val="single"/>
                      <w:lang w:val="en-US" w:eastAsia="zh-CN" w:bidi="ar"/>
                    </w:rPr>
                    <w:t>0.345</w:t>
                  </w:r>
                </w:p>
              </w:tc>
            </w:tr>
            <w:tr w14:paraId="6386F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5" w:type="dxa"/>
                  <w:gridSpan w:val="7"/>
                  <w:vAlign w:val="center"/>
                </w:tcPr>
                <w:p w14:paraId="09BE3587">
                  <w:pPr>
                    <w:pStyle w:val="77"/>
                    <w:jc w:val="left"/>
                    <w:rPr>
                      <w:color w:val="auto"/>
                    </w:rPr>
                  </w:pPr>
                  <w:r>
                    <w:rPr>
                      <w:rFonts w:hint="eastAsia"/>
                      <w:color w:val="auto"/>
                      <w:sz w:val="21"/>
                    </w:rPr>
                    <w:t>注：</w:t>
                  </w:r>
                  <w:r>
                    <w:rPr>
                      <w:color w:val="auto"/>
                      <w:sz w:val="21"/>
                    </w:rPr>
                    <w:t>①</w:t>
                  </w:r>
                  <w:r>
                    <w:rPr>
                      <w:rFonts w:hint="eastAsia"/>
                      <w:color w:val="auto"/>
                      <w:sz w:val="21"/>
                    </w:rPr>
                    <w:t>油性</w:t>
                  </w:r>
                  <w:r>
                    <w:rPr>
                      <w:color w:val="auto"/>
                      <w:sz w:val="21"/>
                    </w:rPr>
                    <w:t>底漆配比</w:t>
                  </w:r>
                  <w:r>
                    <w:rPr>
                      <w:rFonts w:hint="eastAsia"/>
                      <w:color w:val="auto"/>
                      <w:sz w:val="21"/>
                    </w:rPr>
                    <w:t xml:space="preserve">  </w:t>
                  </w:r>
                  <w:r>
                    <w:rPr>
                      <w:color w:val="auto"/>
                      <w:sz w:val="21"/>
                    </w:rPr>
                    <w:t>底漆</w:t>
                  </w:r>
                  <w:r>
                    <w:rPr>
                      <w:rFonts w:hint="eastAsia"/>
                      <w:color w:val="auto"/>
                      <w:sz w:val="21"/>
                    </w:rPr>
                    <w:t>：</w:t>
                  </w:r>
                  <w:r>
                    <w:rPr>
                      <w:color w:val="auto"/>
                      <w:sz w:val="21"/>
                    </w:rPr>
                    <w:t>稀释剂</w:t>
                  </w:r>
                  <w:r>
                    <w:rPr>
                      <w:rFonts w:hint="eastAsia"/>
                      <w:color w:val="auto"/>
                      <w:sz w:val="21"/>
                    </w:rPr>
                    <w:t>：</w:t>
                  </w:r>
                  <w:r>
                    <w:rPr>
                      <w:color w:val="auto"/>
                      <w:sz w:val="21"/>
                    </w:rPr>
                    <w:t>固化剂=1</w:t>
                  </w:r>
                  <w:r>
                    <w:rPr>
                      <w:rFonts w:hint="eastAsia"/>
                      <w:color w:val="auto"/>
                      <w:sz w:val="21"/>
                    </w:rPr>
                    <w:t>：</w:t>
                  </w:r>
                  <w:r>
                    <w:rPr>
                      <w:color w:val="auto"/>
                      <w:sz w:val="21"/>
                    </w:rPr>
                    <w:t>0.</w:t>
                  </w:r>
                  <w:r>
                    <w:rPr>
                      <w:rFonts w:hint="eastAsia"/>
                      <w:color w:val="auto"/>
                      <w:sz w:val="21"/>
                    </w:rPr>
                    <w:t>2：</w:t>
                  </w:r>
                  <w:r>
                    <w:rPr>
                      <w:color w:val="auto"/>
                      <w:sz w:val="21"/>
                    </w:rPr>
                    <w:t>0.</w:t>
                  </w:r>
                  <w:r>
                    <w:rPr>
                      <w:rFonts w:hint="eastAsia"/>
                      <w:color w:val="auto"/>
                      <w:sz w:val="21"/>
                    </w:rPr>
                    <w:t>3</w:t>
                  </w:r>
                </w:p>
                <w:p w14:paraId="017D7ACF">
                  <w:pPr>
                    <w:ind w:firstLine="420" w:firstLineChars="200"/>
                    <w:jc w:val="left"/>
                    <w:rPr>
                      <w:color w:val="auto"/>
                    </w:rPr>
                  </w:pPr>
                  <w:r>
                    <w:rPr>
                      <w:color w:val="auto"/>
                    </w:rPr>
                    <w:t>②</w:t>
                  </w:r>
                  <w:r>
                    <w:rPr>
                      <w:rFonts w:hint="eastAsia"/>
                      <w:color w:val="auto"/>
                      <w:szCs w:val="21"/>
                    </w:rPr>
                    <w:t>油性</w:t>
                  </w:r>
                  <w:r>
                    <w:rPr>
                      <w:color w:val="auto"/>
                    </w:rPr>
                    <w:t>面漆配比</w:t>
                  </w:r>
                  <w:r>
                    <w:rPr>
                      <w:rFonts w:hint="eastAsia"/>
                      <w:color w:val="auto"/>
                    </w:rPr>
                    <w:t xml:space="preserve">  </w:t>
                  </w:r>
                  <w:r>
                    <w:rPr>
                      <w:color w:val="auto"/>
                    </w:rPr>
                    <w:t>面漆</w:t>
                  </w:r>
                  <w:r>
                    <w:rPr>
                      <w:rFonts w:hint="eastAsia"/>
                      <w:color w:val="auto"/>
                    </w:rPr>
                    <w:t>：</w:t>
                  </w:r>
                  <w:r>
                    <w:rPr>
                      <w:color w:val="auto"/>
                    </w:rPr>
                    <w:t>稀释剂</w:t>
                  </w:r>
                  <w:r>
                    <w:rPr>
                      <w:rFonts w:hint="eastAsia"/>
                      <w:color w:val="auto"/>
                    </w:rPr>
                    <w:t>：</w:t>
                  </w:r>
                  <w:r>
                    <w:rPr>
                      <w:color w:val="auto"/>
                    </w:rPr>
                    <w:t>固化剂=1</w:t>
                  </w:r>
                  <w:r>
                    <w:rPr>
                      <w:rFonts w:hint="eastAsia"/>
                      <w:color w:val="auto"/>
                    </w:rPr>
                    <w:t>：</w:t>
                  </w:r>
                  <w:r>
                    <w:rPr>
                      <w:color w:val="auto"/>
                    </w:rPr>
                    <w:t>0.</w:t>
                  </w:r>
                  <w:r>
                    <w:rPr>
                      <w:rFonts w:hint="eastAsia"/>
                      <w:color w:val="auto"/>
                    </w:rPr>
                    <w:t>15：</w:t>
                  </w:r>
                  <w:r>
                    <w:rPr>
                      <w:color w:val="auto"/>
                    </w:rPr>
                    <w:t>0.</w:t>
                  </w:r>
                  <w:r>
                    <w:rPr>
                      <w:rFonts w:hint="eastAsia"/>
                      <w:color w:val="auto"/>
                    </w:rPr>
                    <w:t>3</w:t>
                  </w:r>
                </w:p>
                <w:p w14:paraId="72FDFB1A">
                  <w:pPr>
                    <w:ind w:firstLine="420" w:firstLineChars="200"/>
                    <w:jc w:val="left"/>
                    <w:rPr>
                      <w:color w:val="auto"/>
                    </w:rPr>
                  </w:pPr>
                  <w:r>
                    <w:rPr>
                      <w:color w:val="auto"/>
                    </w:rPr>
                    <w:fldChar w:fldCharType="begin"/>
                  </w:r>
                  <w:r>
                    <w:rPr>
                      <w:color w:val="auto"/>
                    </w:rPr>
                    <w:instrText xml:space="preserve"> = 3 \* GB3 \* MERGEFORMAT </w:instrText>
                  </w:r>
                  <w:r>
                    <w:rPr>
                      <w:color w:val="auto"/>
                    </w:rPr>
                    <w:fldChar w:fldCharType="separate"/>
                  </w:r>
                  <w:r>
                    <w:rPr>
                      <w:color w:val="auto"/>
                    </w:rPr>
                    <w:t>③</w:t>
                  </w:r>
                  <w:r>
                    <w:rPr>
                      <w:color w:val="auto"/>
                    </w:rPr>
                    <w:fldChar w:fldCharType="end"/>
                  </w:r>
                  <w:r>
                    <w:rPr>
                      <w:rFonts w:hint="eastAsia"/>
                      <w:color w:val="auto"/>
                    </w:rPr>
                    <w:t>水性</w:t>
                  </w:r>
                  <w:r>
                    <w:rPr>
                      <w:color w:val="auto"/>
                      <w:szCs w:val="21"/>
                    </w:rPr>
                    <w:t>底漆配比</w:t>
                  </w:r>
                  <w:r>
                    <w:rPr>
                      <w:rFonts w:hint="eastAsia"/>
                      <w:color w:val="auto"/>
                      <w:szCs w:val="21"/>
                    </w:rPr>
                    <w:t xml:space="preserve">  底漆：纯净水=1：0.1</w:t>
                  </w:r>
                </w:p>
                <w:p w14:paraId="3D49CDA6">
                  <w:pPr>
                    <w:ind w:firstLine="420" w:firstLineChars="200"/>
                    <w:jc w:val="left"/>
                    <w:rPr>
                      <w:rFonts w:hint="eastAsia"/>
                      <w:color w:val="auto"/>
                    </w:rPr>
                  </w:pPr>
                  <w:r>
                    <w:rPr>
                      <w:rFonts w:hint="eastAsia"/>
                      <w:color w:val="auto"/>
                    </w:rPr>
                    <w:fldChar w:fldCharType="begin"/>
                  </w:r>
                  <w:r>
                    <w:rPr>
                      <w:rFonts w:hint="eastAsia"/>
                      <w:color w:val="auto"/>
                    </w:rPr>
                    <w:instrText xml:space="preserve"> = 4 \* GB3 \* MERGEFORMAT </w:instrText>
                  </w:r>
                  <w:r>
                    <w:rPr>
                      <w:rFonts w:hint="eastAsia"/>
                      <w:color w:val="auto"/>
                    </w:rPr>
                    <w:fldChar w:fldCharType="separate"/>
                  </w:r>
                  <w:r>
                    <w:rPr>
                      <w:color w:val="auto"/>
                    </w:rPr>
                    <w:t>④</w:t>
                  </w:r>
                  <w:r>
                    <w:rPr>
                      <w:rFonts w:hint="eastAsia"/>
                      <w:color w:val="auto"/>
                    </w:rPr>
                    <w:fldChar w:fldCharType="end"/>
                  </w:r>
                  <w:r>
                    <w:rPr>
                      <w:rFonts w:hint="eastAsia"/>
                      <w:color w:val="auto"/>
                    </w:rPr>
                    <w:t>水性</w:t>
                  </w:r>
                  <w:r>
                    <w:rPr>
                      <w:rFonts w:hint="eastAsia"/>
                      <w:color w:val="auto"/>
                      <w:szCs w:val="21"/>
                    </w:rPr>
                    <w:t>面漆</w:t>
                  </w:r>
                  <w:r>
                    <w:rPr>
                      <w:color w:val="auto"/>
                      <w:szCs w:val="21"/>
                    </w:rPr>
                    <w:t>配比</w:t>
                  </w:r>
                  <w:r>
                    <w:rPr>
                      <w:rFonts w:hint="eastAsia"/>
                      <w:color w:val="auto"/>
                      <w:szCs w:val="21"/>
                    </w:rPr>
                    <w:t xml:space="preserve">  </w:t>
                  </w:r>
                  <w:r>
                    <w:rPr>
                      <w:color w:val="auto"/>
                    </w:rPr>
                    <w:t>面</w:t>
                  </w:r>
                  <w:r>
                    <w:rPr>
                      <w:rFonts w:hint="eastAsia"/>
                      <w:color w:val="auto"/>
                      <w:szCs w:val="21"/>
                    </w:rPr>
                    <w:t>漆：纯净水=1：0.1</w:t>
                  </w:r>
                </w:p>
                <w:p w14:paraId="64847220">
                  <w:pPr>
                    <w:ind w:firstLine="420" w:firstLineChars="200"/>
                    <w:jc w:val="left"/>
                    <w:rPr>
                      <w:rFonts w:hint="eastAsia"/>
                      <w:color w:val="auto"/>
                    </w:rPr>
                  </w:pPr>
                  <w:r>
                    <w:rPr>
                      <w:rFonts w:hint="eastAsia"/>
                      <w:color w:val="auto"/>
                    </w:rPr>
                    <w:t>工作液用量计算公式：</w:t>
                  </w:r>
                  <w:r>
                    <w:rPr>
                      <w:rFonts w:hint="eastAsia"/>
                      <w:color w:val="auto"/>
                      <w:position w:val="-10"/>
                    </w:rPr>
                    <w:object>
                      <v:shape id="_x0000_i1025" o:spt="75" type="#_x0000_t75" style="height:18pt;width:116pt;" o:ole="t" filled="f" o:preferrelative="t" stroked="f" coordsize="21600,21600">
                        <v:path/>
                        <v:fill on="f" focussize="0,0"/>
                        <v:stroke on="f"/>
                        <v:imagedata r:id="rId17" o:title=""/>
                        <o:lock v:ext="edit" aspectratio="t"/>
                        <w10:wrap type="none"/>
                        <w10:anchorlock/>
                      </v:shape>
                      <o:OLEObject Type="Embed" ProgID="Equation.KSEE3" ShapeID="_x0000_i1025" DrawAspect="Content" ObjectID="_1468075725" r:id="rId16">
                        <o:LockedField>false</o:LockedField>
                      </o:OLEObject>
                    </w:object>
                  </w:r>
                </w:p>
                <w:p w14:paraId="1BB26FA6">
                  <w:pPr>
                    <w:ind w:firstLine="420" w:firstLineChars="200"/>
                    <w:jc w:val="left"/>
                    <w:rPr>
                      <w:color w:val="auto"/>
                    </w:rPr>
                  </w:pPr>
                  <w:r>
                    <w:rPr>
                      <w:rFonts w:hint="eastAsia"/>
                      <w:color w:val="auto"/>
                    </w:rPr>
                    <w:t>式中：</w:t>
                  </w:r>
                  <w:r>
                    <w:rPr>
                      <w:color w:val="auto"/>
                    </w:rPr>
                    <w:t>m—涂料总用量（t）；</w:t>
                  </w:r>
                </w:p>
                <w:p w14:paraId="6F8B2CB7">
                  <w:pPr>
                    <w:ind w:firstLine="420" w:firstLineChars="200"/>
                    <w:jc w:val="left"/>
                    <w:rPr>
                      <w:color w:val="auto"/>
                    </w:rPr>
                  </w:pPr>
                  <w:r>
                    <w:rPr>
                      <w:color w:val="auto"/>
                    </w:rPr>
                    <w:t xml:space="preserve">      ρ—涂料密度（g/cm</w:t>
                  </w:r>
                  <w:r>
                    <w:rPr>
                      <w:color w:val="auto"/>
                      <w:vertAlign w:val="superscript"/>
                    </w:rPr>
                    <w:t>3</w:t>
                  </w:r>
                  <w:r>
                    <w:rPr>
                      <w:color w:val="auto"/>
                    </w:rPr>
                    <w:t>）；</w:t>
                  </w:r>
                </w:p>
                <w:p w14:paraId="45338AE5">
                  <w:pPr>
                    <w:ind w:firstLine="420" w:firstLineChars="200"/>
                    <w:jc w:val="left"/>
                    <w:rPr>
                      <w:color w:val="auto"/>
                    </w:rPr>
                  </w:pPr>
                  <w:r>
                    <w:rPr>
                      <w:color w:val="auto"/>
                    </w:rPr>
                    <w:t xml:space="preserve">      δ—</w:t>
                  </w:r>
                  <w:r>
                    <w:rPr>
                      <w:rFonts w:hint="eastAsia"/>
                      <w:color w:val="auto"/>
                    </w:rPr>
                    <w:t>涂装</w:t>
                  </w:r>
                  <w:r>
                    <w:rPr>
                      <w:color w:val="auto"/>
                    </w:rPr>
                    <w:t>厚度（μm）；</w:t>
                  </w:r>
                </w:p>
                <w:p w14:paraId="104236CA">
                  <w:pPr>
                    <w:ind w:firstLine="420" w:firstLineChars="200"/>
                    <w:jc w:val="left"/>
                    <w:rPr>
                      <w:color w:val="auto"/>
                    </w:rPr>
                  </w:pPr>
                  <w:r>
                    <w:rPr>
                      <w:color w:val="auto"/>
                    </w:rPr>
                    <w:t xml:space="preserve">      S—</w:t>
                  </w:r>
                  <w:r>
                    <w:rPr>
                      <w:rFonts w:hint="eastAsia"/>
                      <w:color w:val="auto"/>
                    </w:rPr>
                    <w:t>涂装</w:t>
                  </w:r>
                  <w:r>
                    <w:rPr>
                      <w:color w:val="auto"/>
                    </w:rPr>
                    <w:t>总面积（m</w:t>
                  </w:r>
                  <w:r>
                    <w:rPr>
                      <w:color w:val="auto"/>
                      <w:vertAlign w:val="superscript"/>
                    </w:rPr>
                    <w:t>2</w:t>
                  </w:r>
                  <w:r>
                    <w:rPr>
                      <w:color w:val="auto"/>
                    </w:rPr>
                    <w:t>）；</w:t>
                  </w:r>
                </w:p>
                <w:p w14:paraId="13D81AE5">
                  <w:pPr>
                    <w:ind w:firstLine="420" w:firstLineChars="200"/>
                    <w:jc w:val="left"/>
                    <w:rPr>
                      <w:color w:val="auto"/>
                    </w:rPr>
                  </w:pPr>
                  <w:r>
                    <w:rPr>
                      <w:color w:val="auto"/>
                    </w:rPr>
                    <w:t xml:space="preserve">      NV—涂料中的固体份（%）</w:t>
                  </w:r>
                  <w:r>
                    <w:rPr>
                      <w:rFonts w:hint="eastAsia"/>
                      <w:color w:val="auto"/>
                    </w:rPr>
                    <w:t>；</w:t>
                  </w:r>
                </w:p>
                <w:p w14:paraId="4F750611">
                  <w:pPr>
                    <w:ind w:firstLine="1050" w:firstLineChars="500"/>
                    <w:jc w:val="left"/>
                    <w:rPr>
                      <w:color w:val="auto"/>
                    </w:rPr>
                  </w:pPr>
                  <w:r>
                    <w:rPr>
                      <w:color w:val="auto"/>
                    </w:rPr>
                    <w:t>ε—上漆率</w:t>
                  </w:r>
                  <w:r>
                    <w:rPr>
                      <w:rFonts w:hint="eastAsia"/>
                      <w:color w:val="auto"/>
                    </w:rPr>
                    <w:t>。</w:t>
                  </w:r>
                </w:p>
              </w:tc>
            </w:tr>
          </w:tbl>
          <w:p w14:paraId="486B6A31">
            <w:pPr>
              <w:snapToGrid w:val="0"/>
              <w:spacing w:line="360" w:lineRule="auto"/>
              <w:ind w:firstLine="480" w:firstLineChars="200"/>
              <w:jc w:val="left"/>
              <w:rPr>
                <w:rFonts w:hint="eastAsia"/>
                <w:color w:val="auto"/>
                <w:sz w:val="24"/>
                <w:lang w:val="en-US" w:eastAsia="zh-CN"/>
              </w:rPr>
            </w:pPr>
            <w:r>
              <w:rPr>
                <w:rFonts w:hint="eastAsia"/>
                <w:color w:val="auto"/>
                <w:sz w:val="24"/>
                <w:highlight w:val="none"/>
              </w:rPr>
              <w:t>经计算，油性底漆用量为</w:t>
            </w:r>
            <w:r>
              <w:rPr>
                <w:rFonts w:hint="eastAsia"/>
                <w:b/>
                <w:bCs/>
                <w:color w:val="auto"/>
                <w:sz w:val="24"/>
                <w:highlight w:val="none"/>
                <w:u w:val="single"/>
                <w:lang w:val="en-US" w:eastAsia="zh-CN"/>
              </w:rPr>
              <w:t>4.350</w:t>
            </w:r>
            <w:r>
              <w:rPr>
                <w:rFonts w:hint="eastAsia"/>
                <w:color w:val="auto"/>
                <w:sz w:val="24"/>
                <w:highlight w:val="none"/>
              </w:rPr>
              <w:t>t/a，油性面漆用量为</w:t>
            </w:r>
            <w:r>
              <w:rPr>
                <w:rFonts w:hint="eastAsia"/>
                <w:b/>
                <w:bCs/>
                <w:color w:val="auto"/>
                <w:sz w:val="24"/>
                <w:highlight w:val="none"/>
                <w:u w:val="single"/>
                <w:lang w:val="en-US" w:eastAsia="zh-CN"/>
              </w:rPr>
              <w:t>3.466</w:t>
            </w:r>
            <w:r>
              <w:rPr>
                <w:rFonts w:hint="eastAsia"/>
                <w:color w:val="auto"/>
                <w:sz w:val="24"/>
                <w:highlight w:val="none"/>
              </w:rPr>
              <w:t>t/a，</w:t>
            </w:r>
            <w:r>
              <w:rPr>
                <w:rFonts w:hint="eastAsia"/>
                <w:color w:val="auto"/>
                <w:sz w:val="24"/>
                <w:highlight w:val="none"/>
                <w:lang w:val="en-US" w:eastAsia="zh-CN"/>
              </w:rPr>
              <w:t>溶剂型涂料总用量为</w:t>
            </w:r>
            <w:r>
              <w:rPr>
                <w:rFonts w:hint="eastAsia"/>
                <w:b/>
                <w:bCs/>
                <w:color w:val="auto"/>
                <w:sz w:val="24"/>
                <w:highlight w:val="none"/>
                <w:u w:val="single"/>
                <w:lang w:val="en-US" w:eastAsia="zh-CN"/>
              </w:rPr>
              <w:t>7.816</w:t>
            </w:r>
            <w:r>
              <w:rPr>
                <w:rFonts w:hint="eastAsia"/>
                <w:color w:val="auto"/>
                <w:sz w:val="24"/>
                <w:highlight w:val="none"/>
                <w:lang w:val="en-US" w:eastAsia="zh-CN"/>
              </w:rPr>
              <w:t>t/a，</w:t>
            </w:r>
            <w:r>
              <w:rPr>
                <w:rFonts w:hint="eastAsia"/>
                <w:color w:val="auto"/>
                <w:sz w:val="24"/>
                <w:highlight w:val="none"/>
              </w:rPr>
              <w:t>稀释剂用量为</w:t>
            </w:r>
            <w:r>
              <w:rPr>
                <w:rFonts w:hint="eastAsia"/>
                <w:b/>
                <w:bCs/>
                <w:color w:val="auto"/>
                <w:sz w:val="24"/>
                <w:highlight w:val="none"/>
                <w:u w:val="single"/>
                <w:lang w:val="en-US" w:eastAsia="zh-CN"/>
              </w:rPr>
              <w:t>1.3899</w:t>
            </w:r>
            <w:r>
              <w:rPr>
                <w:rFonts w:hint="eastAsia"/>
                <w:color w:val="auto"/>
                <w:sz w:val="24"/>
                <w:highlight w:val="none"/>
              </w:rPr>
              <w:t>t/a，固化剂用量为</w:t>
            </w:r>
            <w:r>
              <w:rPr>
                <w:rFonts w:hint="eastAsia"/>
                <w:b/>
                <w:bCs/>
                <w:color w:val="auto"/>
                <w:sz w:val="24"/>
                <w:highlight w:val="none"/>
                <w:u w:val="single"/>
                <w:lang w:val="en-US" w:eastAsia="zh-CN"/>
              </w:rPr>
              <w:t>2.3448</w:t>
            </w:r>
            <w:r>
              <w:rPr>
                <w:rFonts w:hint="eastAsia"/>
                <w:color w:val="auto"/>
                <w:sz w:val="24"/>
                <w:highlight w:val="none"/>
              </w:rPr>
              <w:t>t/a；水性底漆用量为</w:t>
            </w:r>
            <w:r>
              <w:rPr>
                <w:rFonts w:hint="eastAsia"/>
                <w:color w:val="auto"/>
                <w:sz w:val="24"/>
                <w:highlight w:val="none"/>
                <w:lang w:val="en-US" w:eastAsia="zh-CN"/>
              </w:rPr>
              <w:t>4.898</w:t>
            </w:r>
            <w:r>
              <w:rPr>
                <w:rFonts w:hint="eastAsia"/>
                <w:color w:val="auto"/>
                <w:sz w:val="24"/>
                <w:highlight w:val="none"/>
              </w:rPr>
              <w:t>t/a，水性面漆用量为</w:t>
            </w:r>
            <w:r>
              <w:rPr>
                <w:rFonts w:hint="eastAsia"/>
                <w:color w:val="auto"/>
                <w:sz w:val="24"/>
                <w:highlight w:val="none"/>
                <w:lang w:val="en-US" w:eastAsia="zh-CN"/>
              </w:rPr>
              <w:t>3.375</w:t>
            </w:r>
            <w:r>
              <w:rPr>
                <w:rFonts w:hint="eastAsia"/>
                <w:color w:val="auto"/>
                <w:sz w:val="24"/>
                <w:highlight w:val="none"/>
              </w:rPr>
              <w:t>t/a；UV油漆用量为</w:t>
            </w:r>
            <w:r>
              <w:rPr>
                <w:rFonts w:hint="eastAsia"/>
                <w:b/>
                <w:bCs/>
                <w:color w:val="auto"/>
                <w:sz w:val="24"/>
                <w:highlight w:val="none"/>
                <w:u w:val="single"/>
                <w:lang w:val="en-US" w:eastAsia="zh-CN"/>
              </w:rPr>
              <w:t>0.345</w:t>
            </w:r>
            <w:r>
              <w:rPr>
                <w:rFonts w:hint="eastAsia"/>
                <w:color w:val="auto"/>
                <w:sz w:val="24"/>
                <w:highlight w:val="none"/>
              </w:rPr>
              <w:t>t/a</w:t>
            </w:r>
            <w:r>
              <w:rPr>
                <w:rFonts w:hint="eastAsia"/>
                <w:color w:val="auto"/>
                <w:sz w:val="24"/>
                <w:highlight w:val="none"/>
                <w:lang w:eastAsia="zh-CN"/>
              </w:rPr>
              <w:t>，</w:t>
            </w:r>
            <w:r>
              <w:rPr>
                <w:rFonts w:hint="eastAsia"/>
                <w:color w:val="auto"/>
                <w:sz w:val="24"/>
                <w:highlight w:val="none"/>
                <w:lang w:val="en-US" w:eastAsia="zh-CN"/>
              </w:rPr>
              <w:t>环保型涂料用量为</w:t>
            </w:r>
            <w:r>
              <w:rPr>
                <w:rFonts w:hint="eastAsia"/>
                <w:b/>
                <w:bCs/>
                <w:color w:val="auto"/>
                <w:sz w:val="24"/>
                <w:highlight w:val="none"/>
                <w:u w:val="single"/>
                <w:lang w:val="en-US" w:eastAsia="zh-CN"/>
              </w:rPr>
              <w:t>8.618</w:t>
            </w:r>
            <w:r>
              <w:rPr>
                <w:rFonts w:hint="eastAsia"/>
                <w:color w:val="auto"/>
                <w:sz w:val="24"/>
                <w:highlight w:val="none"/>
                <w:lang w:val="en-US" w:eastAsia="zh-CN"/>
              </w:rPr>
              <w:t>t/a。</w:t>
            </w:r>
          </w:p>
          <w:p w14:paraId="56A690C2">
            <w:pPr>
              <w:snapToGrid w:val="0"/>
              <w:spacing w:line="360" w:lineRule="auto"/>
              <w:ind w:firstLine="480" w:firstLineChars="200"/>
              <w:jc w:val="left"/>
              <w:rPr>
                <w:rFonts w:hint="eastAsia"/>
                <w:color w:val="auto"/>
                <w:sz w:val="24"/>
              </w:rPr>
            </w:pPr>
            <w:r>
              <w:rPr>
                <w:rFonts w:hint="eastAsia"/>
                <w:color w:val="auto"/>
                <w:sz w:val="24"/>
              </w:rPr>
              <w:t>根据《河南省2020年度重点行业挥发性有机物治理方案》中家具制造企业环保型涂料使用比例应达到50%以上要求。根据涂装工艺的不同，鼓励使用水性、高固份、粉末、紫外光固化涂料等低VOCs含量的环保型涂料，限制使用溶剂型涂料，本项目在原辅材料的选料方面、涂料使用比例方面（水性漆使用比例为</w:t>
            </w:r>
            <w:r>
              <w:rPr>
                <w:rFonts w:hint="eastAsia"/>
                <w:b/>
                <w:bCs/>
                <w:color w:val="auto"/>
                <w:sz w:val="24"/>
                <w:u w:val="single"/>
              </w:rPr>
              <w:t>5</w:t>
            </w:r>
            <w:r>
              <w:rPr>
                <w:rFonts w:hint="eastAsia"/>
                <w:b/>
                <w:bCs/>
                <w:color w:val="auto"/>
                <w:sz w:val="24"/>
                <w:u w:val="single"/>
                <w:lang w:val="en-US" w:eastAsia="zh-CN"/>
              </w:rPr>
              <w:t>2</w:t>
            </w:r>
            <w:r>
              <w:rPr>
                <w:rFonts w:hint="eastAsia"/>
                <w:color w:val="auto"/>
                <w:sz w:val="24"/>
              </w:rPr>
              <w:t>%左右）均满足《河南省2020年度重点行业挥发性有机物治理方案》要求，同时也符合清洁生产的要求。</w:t>
            </w:r>
          </w:p>
          <w:p w14:paraId="63C567BA">
            <w:pPr>
              <w:pStyle w:val="46"/>
              <w:keepNext w:val="0"/>
              <w:keepLines w:val="0"/>
              <w:pageBreakBefore w:val="0"/>
              <w:widowControl w:val="0"/>
              <w:numPr>
                <w:ilvl w:val="0"/>
                <w:numId w:val="0"/>
              </w:numPr>
              <w:tabs>
                <w:tab w:val="clear" w:pos="0"/>
              </w:tabs>
              <w:kinsoku/>
              <w:wordWrap/>
              <w:overflowPunct/>
              <w:topLinePunct w:val="0"/>
              <w:autoSpaceDE/>
              <w:autoSpaceDN/>
              <w:bidi w:val="0"/>
              <w:adjustRightInd/>
              <w:snapToGrid/>
              <w:ind w:leftChars="0"/>
              <w:textAlignment w:val="auto"/>
              <w:rPr>
                <w:rFonts w:hint="eastAsia" w:ascii="Times New Roman" w:hAnsi="Arial Unicode MS" w:eastAsia="宋体" w:cs="Times New Roman"/>
                <w:b/>
                <w:color w:val="auto"/>
                <w:kern w:val="2"/>
                <w:sz w:val="24"/>
                <w:szCs w:val="24"/>
                <w:lang w:val="en-US" w:eastAsia="zh-CN" w:bidi="ar-SA"/>
              </w:rPr>
            </w:pPr>
          </w:p>
          <w:p w14:paraId="53FF727C">
            <w:pPr>
              <w:pStyle w:val="46"/>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eastAsia" w:ascii="Times New Roman" w:hAnsi="Arial Unicode MS" w:eastAsia="宋体" w:cs="Times New Roman"/>
                <w:b/>
                <w:color w:val="auto"/>
                <w:kern w:val="2"/>
                <w:sz w:val="24"/>
                <w:szCs w:val="24"/>
                <w:lang w:val="en-US" w:eastAsia="zh-CN" w:bidi="ar-SA"/>
              </w:rPr>
            </w:pPr>
            <w:r>
              <w:rPr>
                <w:rFonts w:hint="eastAsia" w:ascii="Times New Roman" w:hAnsi="Arial Unicode MS" w:eastAsia="宋体" w:cs="Times New Roman"/>
                <w:b/>
                <w:color w:val="auto"/>
                <w:kern w:val="2"/>
                <w:sz w:val="24"/>
                <w:szCs w:val="24"/>
                <w:lang w:val="en-US" w:eastAsia="zh-CN" w:bidi="ar-SA"/>
              </w:rPr>
              <w:t>主要原辅材料理化性质一览表</w:t>
            </w:r>
          </w:p>
          <w:tbl>
            <w:tblPr>
              <w:tblStyle w:val="25"/>
              <w:tblW w:w="83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817"/>
              <w:gridCol w:w="6762"/>
            </w:tblGrid>
            <w:tr w14:paraId="5E48F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6" w:type="dxa"/>
                  <w:vAlign w:val="center"/>
                </w:tcPr>
                <w:p w14:paraId="60D81533">
                  <w:pPr>
                    <w:snapToGrid w:val="0"/>
                    <w:jc w:val="left"/>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序号</w:t>
                  </w:r>
                </w:p>
              </w:tc>
              <w:tc>
                <w:tcPr>
                  <w:tcW w:w="817" w:type="dxa"/>
                  <w:tcMar>
                    <w:top w:w="45" w:type="dxa"/>
                    <w:left w:w="0" w:type="dxa"/>
                    <w:bottom w:w="45" w:type="dxa"/>
                    <w:right w:w="0" w:type="dxa"/>
                  </w:tcMar>
                  <w:vAlign w:val="center"/>
                </w:tcPr>
                <w:p w14:paraId="0662FE6B">
                  <w:pPr>
                    <w:snapToGrid w:val="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原料</w:t>
                  </w:r>
                </w:p>
              </w:tc>
              <w:tc>
                <w:tcPr>
                  <w:tcW w:w="6762" w:type="dxa"/>
                  <w:tcMar>
                    <w:left w:w="0" w:type="dxa"/>
                    <w:right w:w="0" w:type="dxa"/>
                  </w:tcMar>
                  <w:vAlign w:val="center"/>
                </w:tcPr>
                <w:p w14:paraId="5E2D287A">
                  <w:pPr>
                    <w:snapToGrid w:val="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主要性质</w:t>
                  </w:r>
                </w:p>
              </w:tc>
            </w:tr>
            <w:tr w14:paraId="2B949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6" w:type="dxa"/>
                  <w:tcBorders>
                    <w:bottom w:val="single" w:color="000000" w:sz="4" w:space="0"/>
                  </w:tcBorders>
                  <w:tcMar>
                    <w:top w:w="45" w:type="dxa"/>
                    <w:bottom w:w="45" w:type="dxa"/>
                  </w:tcMar>
                  <w:vAlign w:val="center"/>
                </w:tcPr>
                <w:p w14:paraId="5ED12FDE">
                  <w:pPr>
                    <w:snapToGrid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w:t>
                  </w:r>
                </w:p>
              </w:tc>
              <w:tc>
                <w:tcPr>
                  <w:tcW w:w="817" w:type="dxa"/>
                  <w:tcBorders>
                    <w:bottom w:val="single" w:color="000000" w:sz="4" w:space="0"/>
                  </w:tcBorders>
                  <w:tcMar>
                    <w:top w:w="45" w:type="dxa"/>
                    <w:bottom w:w="45" w:type="dxa"/>
                  </w:tcMar>
                  <w:vAlign w:val="center"/>
                </w:tcPr>
                <w:p w14:paraId="7CC6C3C6">
                  <w:pPr>
                    <w:pStyle w:val="23"/>
                    <w:spacing w:before="0" w:after="0" w:line="240" w:lineRule="auto"/>
                    <w:ind w:right="0"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白乳胶</w:t>
                  </w:r>
                </w:p>
              </w:tc>
              <w:tc>
                <w:tcPr>
                  <w:tcW w:w="6762" w:type="dxa"/>
                  <w:tcBorders>
                    <w:bottom w:val="single" w:color="000000" w:sz="4" w:space="0"/>
                  </w:tcBorders>
                  <w:tcMar>
                    <w:top w:w="45" w:type="dxa"/>
                    <w:bottom w:w="45" w:type="dxa"/>
                  </w:tcMar>
                  <w:vAlign w:val="center"/>
                </w:tcPr>
                <w:p w14:paraId="5DF1D35F">
                  <w:pPr>
                    <w:snapToGrid w:val="0"/>
                    <w:jc w:val="both"/>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rPr>
                    <w:t>是一种水溶性胶粘剂，属于环保型无醛白乳胶，为聚醋酸乙烯树脂乳液，聚醋酸乙烯酯简称PVA，分子式为C</w:t>
                  </w:r>
                  <w:r>
                    <w:rPr>
                      <w:rFonts w:hint="default" w:ascii="Times New Roman" w:hAnsi="Times New Roman" w:cs="Times New Roman" w:eastAsiaTheme="minorEastAsia"/>
                      <w:color w:val="auto"/>
                      <w:sz w:val="21"/>
                      <w:szCs w:val="21"/>
                      <w:vertAlign w:val="subscript"/>
                    </w:rPr>
                    <w:t>4</w:t>
                  </w:r>
                  <w:r>
                    <w:rPr>
                      <w:rFonts w:hint="default" w:ascii="Times New Roman" w:hAnsi="Times New Roman" w:cs="Times New Roman" w:eastAsiaTheme="minorEastAsia"/>
                      <w:color w:val="auto"/>
                      <w:sz w:val="21"/>
                      <w:szCs w:val="21"/>
                    </w:rPr>
                    <w:t>H</w:t>
                  </w:r>
                  <w:r>
                    <w:rPr>
                      <w:rFonts w:hint="default" w:ascii="Times New Roman" w:hAnsi="Times New Roman" w:cs="Times New Roman" w:eastAsiaTheme="minorEastAsia"/>
                      <w:color w:val="auto"/>
                      <w:sz w:val="21"/>
                      <w:szCs w:val="21"/>
                      <w:vertAlign w:val="subscript"/>
                    </w:rPr>
                    <w:t>6</w:t>
                  </w:r>
                  <w:r>
                    <w:rPr>
                      <w:rFonts w:hint="default" w:ascii="Times New Roman" w:hAnsi="Times New Roman" w:cs="Times New Roman" w:eastAsiaTheme="minorEastAsia"/>
                      <w:color w:val="auto"/>
                      <w:sz w:val="21"/>
                      <w:szCs w:val="21"/>
                    </w:rPr>
                    <w:t>O</w:t>
                  </w:r>
                  <w:r>
                    <w:rPr>
                      <w:rFonts w:hint="default" w:ascii="Times New Roman" w:hAnsi="Times New Roman" w:cs="Times New Roman" w:eastAsiaTheme="minorEastAsia"/>
                      <w:color w:val="auto"/>
                      <w:sz w:val="21"/>
                      <w:szCs w:val="21"/>
                      <w:vertAlign w:val="subscript"/>
                    </w:rPr>
                    <w:t>2</w:t>
                  </w:r>
                  <w:r>
                    <w:rPr>
                      <w:rFonts w:hint="default" w:ascii="Times New Roman" w:hAnsi="Times New Roman" w:cs="Times New Roman" w:eastAsiaTheme="minorEastAsia"/>
                      <w:color w:val="auto"/>
                      <w:sz w:val="21"/>
                      <w:szCs w:val="21"/>
                    </w:rPr>
                    <w:t>，醋酸乙烯酯经聚合生成的聚合物。是无定形聚合物，外观透明、溶于苯、丙酮和三氯甲烷等溶剂。对光和热稳定，加热到250℃以上会分解出醋酸。保存于室内，保存温度在0-40度，保质期为6个月，属于水性产品，主要作为粘接剂，用于木材、纺织、涂料、纸加工、建筑等行业</w:t>
                  </w:r>
                  <w:r>
                    <w:rPr>
                      <w:rFonts w:hint="default" w:ascii="Times New Roman" w:hAnsi="Times New Roman" w:cs="Times New Roman" w:eastAsiaTheme="minorEastAsia"/>
                      <w:color w:val="auto"/>
                      <w:sz w:val="21"/>
                      <w:szCs w:val="21"/>
                      <w:lang w:eastAsia="zh-CN"/>
                    </w:rPr>
                    <w:t>。</w:t>
                  </w:r>
                </w:p>
              </w:tc>
            </w:tr>
            <w:tr w14:paraId="7818B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6" w:type="dxa"/>
                  <w:tcMar>
                    <w:top w:w="45" w:type="dxa"/>
                    <w:bottom w:w="45" w:type="dxa"/>
                  </w:tcMar>
                  <w:vAlign w:val="center"/>
                </w:tcPr>
                <w:p w14:paraId="480CD165">
                  <w:pPr>
                    <w:snapToGrid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w:t>
                  </w:r>
                </w:p>
              </w:tc>
              <w:tc>
                <w:tcPr>
                  <w:tcW w:w="817" w:type="dxa"/>
                  <w:tcMar>
                    <w:top w:w="45" w:type="dxa"/>
                    <w:bottom w:w="45" w:type="dxa"/>
                  </w:tcMar>
                  <w:vAlign w:val="center"/>
                </w:tcPr>
                <w:p w14:paraId="37DFEF30">
                  <w:pPr>
                    <w:widowControl/>
                    <w:adjustRightInd w:val="0"/>
                    <w:snapToGrid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水性</w:t>
                  </w:r>
                </w:p>
                <w:p w14:paraId="03E68DAE">
                  <w:pPr>
                    <w:widowControl/>
                    <w:adjustRightInd w:val="0"/>
                    <w:snapToGrid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漆</w:t>
                  </w:r>
                </w:p>
              </w:tc>
              <w:tc>
                <w:tcPr>
                  <w:tcW w:w="6762" w:type="dxa"/>
                  <w:tcMar>
                    <w:top w:w="45" w:type="dxa"/>
                    <w:bottom w:w="45" w:type="dxa"/>
                  </w:tcMar>
                  <w:vAlign w:val="center"/>
                </w:tcPr>
                <w:p w14:paraId="69B01FDC">
                  <w:pPr>
                    <w:snapToGrid w:val="0"/>
                    <w:jc w:val="left"/>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水性漆是以水作为稀释剂的漆，水性木器漆以其无毒环保、无气味、可挥发物极少、不燃不爆的高安全性、不黄变、涂刷面积大等优点。主要为树脂、颜料、乙醇、去离子水等。</w:t>
                  </w:r>
                  <w:r>
                    <w:rPr>
                      <w:rFonts w:hint="default" w:ascii="Times New Roman" w:hAnsi="Times New Roman" w:cs="Times New Roman" w:eastAsiaTheme="minorEastAsia"/>
                      <w:color w:val="auto"/>
                      <w:sz w:val="21"/>
                      <w:szCs w:val="21"/>
                      <w:lang w:val="en-US" w:eastAsia="zh-CN"/>
                    </w:rPr>
                    <w:t>水性清漆</w:t>
                  </w:r>
                  <w:r>
                    <w:rPr>
                      <w:rFonts w:hint="default" w:ascii="Times New Roman" w:hAnsi="Times New Roman" w:cs="Times New Roman" w:eastAsiaTheme="minorEastAsia"/>
                      <w:color w:val="auto"/>
                      <w:sz w:val="21"/>
                      <w:szCs w:val="21"/>
                    </w:rPr>
                    <w:t>VOCs含量</w:t>
                  </w:r>
                  <w:r>
                    <w:rPr>
                      <w:rFonts w:hint="default" w:ascii="Times New Roman" w:hAnsi="Times New Roman" w:cs="Times New Roman" w:eastAsiaTheme="minorEastAsia"/>
                      <w:color w:val="auto"/>
                      <w:sz w:val="21"/>
                      <w:szCs w:val="21"/>
                      <w:lang w:val="en-US" w:eastAsia="zh-CN"/>
                    </w:rPr>
                    <w:t>139</w:t>
                  </w:r>
                  <w:r>
                    <w:rPr>
                      <w:rFonts w:hint="default" w:ascii="Times New Roman" w:hAnsi="Times New Roman" w:cs="Times New Roman" w:eastAsiaTheme="minorEastAsia"/>
                      <w:color w:val="auto"/>
                      <w:sz w:val="21"/>
                      <w:szCs w:val="21"/>
                    </w:rPr>
                    <w:t>g/L</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lang w:val="en-US" w:eastAsia="zh-CN"/>
                    </w:rPr>
                    <w:t>水性色漆</w:t>
                  </w:r>
                  <w:r>
                    <w:rPr>
                      <w:rFonts w:hint="default" w:ascii="Times New Roman" w:hAnsi="Times New Roman" w:cs="Times New Roman" w:eastAsiaTheme="minorEastAsia"/>
                      <w:color w:val="auto"/>
                      <w:sz w:val="21"/>
                      <w:szCs w:val="21"/>
                    </w:rPr>
                    <w:t>VOCs含量</w:t>
                  </w:r>
                  <w:r>
                    <w:rPr>
                      <w:rFonts w:hint="default" w:ascii="Times New Roman" w:hAnsi="Times New Roman" w:cs="Times New Roman" w:eastAsiaTheme="minorEastAsia"/>
                      <w:color w:val="auto"/>
                      <w:sz w:val="21"/>
                      <w:szCs w:val="21"/>
                      <w:lang w:val="en-US" w:eastAsia="zh-CN"/>
                    </w:rPr>
                    <w:t>132</w:t>
                  </w:r>
                  <w:r>
                    <w:rPr>
                      <w:rFonts w:hint="default" w:ascii="Times New Roman" w:hAnsi="Times New Roman" w:cs="Times New Roman" w:eastAsiaTheme="minorEastAsia"/>
                      <w:color w:val="auto"/>
                      <w:sz w:val="21"/>
                      <w:szCs w:val="21"/>
                    </w:rPr>
                    <w:t>g/L，本项目水性漆为外购成品漆，添加10%的去离子水。</w:t>
                  </w:r>
                </w:p>
              </w:tc>
            </w:tr>
            <w:tr w14:paraId="6D341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6" w:type="dxa"/>
                  <w:tcMar>
                    <w:top w:w="45" w:type="dxa"/>
                    <w:bottom w:w="45" w:type="dxa"/>
                  </w:tcMar>
                  <w:vAlign w:val="center"/>
                </w:tcPr>
                <w:p w14:paraId="4039A7A6">
                  <w:pPr>
                    <w:snapToGrid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w:t>
                  </w:r>
                </w:p>
              </w:tc>
              <w:tc>
                <w:tcPr>
                  <w:tcW w:w="817" w:type="dxa"/>
                  <w:tcMar>
                    <w:top w:w="45" w:type="dxa"/>
                    <w:bottom w:w="45" w:type="dxa"/>
                  </w:tcMar>
                  <w:vAlign w:val="center"/>
                </w:tcPr>
                <w:p w14:paraId="2DA1EAD3">
                  <w:pPr>
                    <w:pStyle w:val="23"/>
                    <w:spacing w:before="0" w:after="0" w:line="240" w:lineRule="auto"/>
                    <w:ind w:right="0"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聚氨酯底漆</w:t>
                  </w:r>
                </w:p>
              </w:tc>
              <w:tc>
                <w:tcPr>
                  <w:tcW w:w="6762" w:type="dxa"/>
                  <w:tcMar>
                    <w:top w:w="45" w:type="dxa"/>
                    <w:bottom w:w="45" w:type="dxa"/>
                  </w:tcMar>
                  <w:vAlign w:val="center"/>
                </w:tcPr>
                <w:p w14:paraId="0EED8353">
                  <w:pPr>
                    <w:jc w:val="left"/>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本项目使用的是聚氨酯漆，又名不饱和聚酯漆，是用聚酯树脂为主要成膜物制成的一种厚质漆。聚酯漆的漆膜丰满，层厚面硬。固体份含量约50%，溶剂含量为50%，分别为</w:t>
                  </w:r>
                  <w:r>
                    <w:rPr>
                      <w:rFonts w:hint="default" w:ascii="Times New Roman" w:hAnsi="Times New Roman" w:cs="Times New Roman" w:eastAsiaTheme="minorEastAsia"/>
                      <w:color w:val="auto"/>
                      <w:sz w:val="21"/>
                      <w:szCs w:val="21"/>
                      <w:highlight w:val="none"/>
                      <w:lang w:val="en-US" w:eastAsia="zh-CN"/>
                    </w:rPr>
                    <w:t>甲苯、</w:t>
                  </w:r>
                  <w:r>
                    <w:rPr>
                      <w:rFonts w:hint="default" w:ascii="Times New Roman" w:hAnsi="Times New Roman" w:cs="Times New Roman" w:eastAsiaTheme="minorEastAsia"/>
                      <w:color w:val="auto"/>
                      <w:sz w:val="21"/>
                      <w:szCs w:val="21"/>
                      <w:highlight w:val="none"/>
                    </w:rPr>
                    <w:t>二甲苯、芳香烃、醇、醚、酯、酮等。溶剂中甲苯</w:t>
                  </w:r>
                  <w:r>
                    <w:rPr>
                      <w:rFonts w:hint="default" w:ascii="Times New Roman" w:hAnsi="Times New Roman"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lang w:val="en-US" w:eastAsia="zh-CN"/>
                    </w:rPr>
                    <w:t>二甲苯</w:t>
                  </w:r>
                  <w:r>
                    <w:rPr>
                      <w:rFonts w:hint="default" w:ascii="Times New Roman" w:hAnsi="Times New Roman" w:cs="Times New Roman" w:eastAsiaTheme="minorEastAsia"/>
                      <w:color w:val="auto"/>
                      <w:sz w:val="21"/>
                      <w:szCs w:val="21"/>
                      <w:highlight w:val="none"/>
                    </w:rPr>
                    <w:t>含量约为</w:t>
                  </w:r>
                  <w:r>
                    <w:rPr>
                      <w:rFonts w:hint="default" w:ascii="Times New Roman" w:hAnsi="Times New Roman" w:cs="Times New Roman" w:eastAsiaTheme="minorEastAsia"/>
                      <w:color w:val="auto"/>
                      <w:sz w:val="21"/>
                      <w:szCs w:val="21"/>
                      <w:highlight w:val="none"/>
                      <w:lang w:val="en-US" w:eastAsia="zh-CN"/>
                    </w:rPr>
                    <w:t>4.76</w:t>
                  </w:r>
                  <w:r>
                    <w:rPr>
                      <w:rFonts w:hint="default" w:ascii="Times New Roman" w:hAnsi="Times New Roman" w:cs="Times New Roman" w:eastAsiaTheme="minorEastAsia"/>
                      <w:color w:val="auto"/>
                      <w:sz w:val="21"/>
                      <w:szCs w:val="21"/>
                      <w:highlight w:val="none"/>
                    </w:rPr>
                    <w:t>%、其余按非甲烷总烃计</w:t>
                  </w:r>
                  <w:r>
                    <w:rPr>
                      <w:rFonts w:hint="eastAsia" w:cs="Times New Roman" w:eastAsiaTheme="minorEastAsia"/>
                      <w:color w:val="auto"/>
                      <w:sz w:val="21"/>
                      <w:szCs w:val="21"/>
                      <w:highlight w:val="none"/>
                      <w:lang w:eastAsia="zh-CN"/>
                    </w:rPr>
                    <w:t>，</w:t>
                  </w:r>
                  <w:r>
                    <w:rPr>
                      <w:rFonts w:hint="eastAsia" w:cs="Times New Roman" w:eastAsiaTheme="minorEastAsia"/>
                      <w:b/>
                      <w:bCs/>
                      <w:color w:val="auto"/>
                      <w:sz w:val="21"/>
                      <w:szCs w:val="21"/>
                      <w:highlight w:val="none"/>
                      <w:u w:val="single"/>
                      <w:lang w:val="en-US" w:eastAsia="zh-CN"/>
                    </w:rPr>
                    <w:t>不含苯</w:t>
                  </w:r>
                  <w:r>
                    <w:rPr>
                      <w:rFonts w:hint="default" w:ascii="Times New Roman" w:hAnsi="Times New Roman" w:cs="Times New Roman" w:eastAsiaTheme="minorEastAsia"/>
                      <w:color w:val="auto"/>
                      <w:sz w:val="21"/>
                      <w:szCs w:val="21"/>
                      <w:highlight w:val="none"/>
                    </w:rPr>
                    <w:t>。</w:t>
                  </w:r>
                </w:p>
              </w:tc>
            </w:tr>
            <w:tr w14:paraId="19CF4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6" w:type="dxa"/>
                  <w:tcMar>
                    <w:top w:w="45" w:type="dxa"/>
                    <w:bottom w:w="45" w:type="dxa"/>
                  </w:tcMar>
                  <w:vAlign w:val="center"/>
                </w:tcPr>
                <w:p w14:paraId="5963139E">
                  <w:pPr>
                    <w:snapToGrid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4</w:t>
                  </w:r>
                </w:p>
              </w:tc>
              <w:tc>
                <w:tcPr>
                  <w:tcW w:w="817" w:type="dxa"/>
                  <w:tcMar>
                    <w:top w:w="45" w:type="dxa"/>
                    <w:bottom w:w="45" w:type="dxa"/>
                  </w:tcMar>
                  <w:vAlign w:val="center"/>
                </w:tcPr>
                <w:p w14:paraId="1BB8DE4E">
                  <w:pPr>
                    <w:pStyle w:val="23"/>
                    <w:spacing w:before="0" w:after="0" w:line="240" w:lineRule="auto"/>
                    <w:ind w:right="0"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聚氨酯面漆</w:t>
                  </w:r>
                </w:p>
              </w:tc>
              <w:tc>
                <w:tcPr>
                  <w:tcW w:w="6762" w:type="dxa"/>
                  <w:tcMar>
                    <w:top w:w="45" w:type="dxa"/>
                    <w:bottom w:w="45" w:type="dxa"/>
                  </w:tcMar>
                  <w:vAlign w:val="center"/>
                </w:tcPr>
                <w:p w14:paraId="73F28E73">
                  <w:pPr>
                    <w:jc w:val="left"/>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本项目用的是聚氨酯漆，是以高级丙烯酸树脂、颜料、助剂和溶剂等组成的漆料为羟基组分，以脂肪族异氰酸酯为另一组份的双组份自干涂料。该油漆性能优异，漆膜装饰性能好（丰满光亮、硬度高），耐化学品性能好。</w:t>
                  </w:r>
                  <w:r>
                    <w:rPr>
                      <w:rFonts w:hint="default" w:ascii="Times New Roman" w:hAnsi="Times New Roman" w:cs="Times New Roman" w:eastAsiaTheme="minorEastAsia"/>
                      <w:color w:val="auto"/>
                      <w:sz w:val="21"/>
                      <w:szCs w:val="21"/>
                      <w:highlight w:val="none"/>
                      <w:lang w:val="en-US" w:eastAsia="zh-CN"/>
                    </w:rPr>
                    <w:t>主要成分</w:t>
                  </w:r>
                  <w:r>
                    <w:rPr>
                      <w:rFonts w:hint="default" w:ascii="Times New Roman" w:hAnsi="Times New Roman" w:cs="Times New Roman" w:eastAsiaTheme="minorEastAsia"/>
                      <w:color w:val="auto"/>
                      <w:sz w:val="21"/>
                      <w:szCs w:val="21"/>
                      <w:highlight w:val="none"/>
                    </w:rPr>
                    <w:t>树脂含量约40%，颜料、填料占30%，溶剂占30%。溶剂中甲苯</w:t>
                  </w:r>
                  <w:r>
                    <w:rPr>
                      <w:rFonts w:hint="default" w:ascii="Times New Roman" w:hAnsi="Times New Roman"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lang w:val="en-US" w:eastAsia="zh-CN"/>
                    </w:rPr>
                    <w:t>二甲苯</w:t>
                  </w:r>
                  <w:r>
                    <w:rPr>
                      <w:rFonts w:hint="default" w:ascii="Times New Roman" w:hAnsi="Times New Roman" w:cs="Times New Roman" w:eastAsiaTheme="minorEastAsia"/>
                      <w:color w:val="auto"/>
                      <w:sz w:val="21"/>
                      <w:szCs w:val="21"/>
                      <w:highlight w:val="none"/>
                    </w:rPr>
                    <w:t>含量约为</w:t>
                  </w:r>
                  <w:r>
                    <w:rPr>
                      <w:rFonts w:hint="default" w:ascii="Times New Roman" w:hAnsi="Times New Roman" w:cs="Times New Roman" w:eastAsiaTheme="minorEastAsia"/>
                      <w:color w:val="auto"/>
                      <w:sz w:val="21"/>
                      <w:szCs w:val="21"/>
                      <w:highlight w:val="none"/>
                      <w:lang w:val="en-US" w:eastAsia="zh-CN"/>
                    </w:rPr>
                    <w:t>12.4</w:t>
                  </w:r>
                  <w:r>
                    <w:rPr>
                      <w:rFonts w:hint="default" w:ascii="Times New Roman" w:hAnsi="Times New Roman" w:cs="Times New Roman" w:eastAsiaTheme="minorEastAsia"/>
                      <w:color w:val="auto"/>
                      <w:sz w:val="21"/>
                      <w:szCs w:val="21"/>
                      <w:highlight w:val="none"/>
                    </w:rPr>
                    <w:t>%，其他芳香烃类</w:t>
                  </w:r>
                  <w:r>
                    <w:rPr>
                      <w:rFonts w:hint="default" w:ascii="Times New Roman" w:hAnsi="Times New Roman"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rPr>
                    <w:t>醇醚类</w:t>
                  </w:r>
                  <w:r>
                    <w:rPr>
                      <w:rFonts w:hint="default" w:ascii="Times New Roman" w:hAnsi="Times New Roman"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rPr>
                    <w:t>酯类及其它占</w:t>
                  </w:r>
                  <w:r>
                    <w:rPr>
                      <w:rFonts w:hint="default" w:ascii="Times New Roman" w:hAnsi="Times New Roman" w:cs="Times New Roman" w:eastAsiaTheme="minorEastAsia"/>
                      <w:color w:val="auto"/>
                      <w:sz w:val="21"/>
                      <w:szCs w:val="21"/>
                      <w:highlight w:val="none"/>
                      <w:lang w:val="en-US" w:eastAsia="zh-CN"/>
                    </w:rPr>
                    <w:t>17.6</w:t>
                  </w:r>
                  <w:r>
                    <w:rPr>
                      <w:rFonts w:hint="default" w:ascii="Times New Roman" w:hAnsi="Times New Roman" w:cs="Times New Roman" w:eastAsiaTheme="minorEastAsia"/>
                      <w:color w:val="auto"/>
                      <w:sz w:val="21"/>
                      <w:szCs w:val="21"/>
                      <w:highlight w:val="none"/>
                    </w:rPr>
                    <w:t>%</w:t>
                  </w:r>
                  <w:r>
                    <w:rPr>
                      <w:rFonts w:hint="eastAsia" w:cs="Times New Roman" w:eastAsiaTheme="minorEastAsia"/>
                      <w:color w:val="auto"/>
                      <w:sz w:val="21"/>
                      <w:szCs w:val="21"/>
                      <w:highlight w:val="none"/>
                      <w:lang w:eastAsia="zh-CN"/>
                    </w:rPr>
                    <w:t>，</w:t>
                  </w:r>
                  <w:r>
                    <w:rPr>
                      <w:rFonts w:hint="eastAsia" w:cs="Times New Roman" w:eastAsiaTheme="minorEastAsia"/>
                      <w:b/>
                      <w:bCs/>
                      <w:color w:val="auto"/>
                      <w:sz w:val="21"/>
                      <w:szCs w:val="21"/>
                      <w:highlight w:val="none"/>
                      <w:u w:val="single"/>
                      <w:lang w:val="en-US" w:eastAsia="zh-CN"/>
                    </w:rPr>
                    <w:t>不含苯</w:t>
                  </w:r>
                  <w:r>
                    <w:rPr>
                      <w:rFonts w:hint="default" w:ascii="Times New Roman" w:hAnsi="Times New Roman" w:cs="Times New Roman" w:eastAsiaTheme="minorEastAsia"/>
                      <w:color w:val="auto"/>
                      <w:sz w:val="21"/>
                      <w:szCs w:val="21"/>
                      <w:highlight w:val="none"/>
                    </w:rPr>
                    <w:t>。</w:t>
                  </w:r>
                </w:p>
              </w:tc>
            </w:tr>
            <w:tr w14:paraId="49F53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6" w:type="dxa"/>
                  <w:tcMar>
                    <w:top w:w="45" w:type="dxa"/>
                    <w:bottom w:w="45" w:type="dxa"/>
                  </w:tcMar>
                  <w:vAlign w:val="center"/>
                </w:tcPr>
                <w:p w14:paraId="77A2FCF4">
                  <w:pPr>
                    <w:snapToGrid w:val="0"/>
                    <w:jc w:val="center"/>
                    <w:rPr>
                      <w:rFonts w:hint="eastAsia" w:ascii="Times New Roman" w:hAnsi="Times New Roman" w:cs="Times New Roman" w:eastAsiaTheme="minorEastAsia"/>
                      <w:b/>
                      <w:bCs/>
                      <w:color w:val="auto"/>
                      <w:sz w:val="21"/>
                      <w:szCs w:val="21"/>
                      <w:u w:val="single"/>
                      <w:lang w:val="en-US" w:eastAsia="zh-CN"/>
                    </w:rPr>
                  </w:pPr>
                  <w:r>
                    <w:rPr>
                      <w:rFonts w:hint="eastAsia" w:cs="Times New Roman" w:eastAsiaTheme="minorEastAsia"/>
                      <w:b/>
                      <w:bCs/>
                      <w:color w:val="auto"/>
                      <w:sz w:val="21"/>
                      <w:szCs w:val="21"/>
                      <w:u w:val="single"/>
                      <w:lang w:val="en-US" w:eastAsia="zh-CN"/>
                    </w:rPr>
                    <w:t>5</w:t>
                  </w:r>
                </w:p>
              </w:tc>
              <w:tc>
                <w:tcPr>
                  <w:tcW w:w="817" w:type="dxa"/>
                  <w:tcMar>
                    <w:top w:w="45" w:type="dxa"/>
                    <w:bottom w:w="45" w:type="dxa"/>
                  </w:tcMar>
                  <w:vAlign w:val="center"/>
                </w:tcPr>
                <w:p w14:paraId="04A784FC">
                  <w:pPr>
                    <w:pStyle w:val="23"/>
                    <w:spacing w:before="0" w:after="0" w:line="240" w:lineRule="auto"/>
                    <w:ind w:right="0" w:firstLine="0" w:firstLineChars="0"/>
                    <w:jc w:val="center"/>
                    <w:rPr>
                      <w:rFonts w:hint="default" w:ascii="Times New Roman" w:hAnsi="Times New Roman" w:cs="Times New Roman" w:eastAsiaTheme="minorEastAsia"/>
                      <w:b/>
                      <w:bCs/>
                      <w:color w:val="auto"/>
                      <w:sz w:val="21"/>
                      <w:szCs w:val="21"/>
                      <w:highlight w:val="none"/>
                      <w:u w:val="single"/>
                      <w:lang w:val="en-US" w:eastAsia="zh-CN"/>
                    </w:rPr>
                  </w:pPr>
                  <w:r>
                    <w:rPr>
                      <w:rFonts w:hint="eastAsia" w:cs="Times New Roman" w:eastAsiaTheme="minorEastAsia"/>
                      <w:b/>
                      <w:bCs/>
                      <w:color w:val="auto"/>
                      <w:sz w:val="21"/>
                      <w:szCs w:val="21"/>
                      <w:highlight w:val="none"/>
                      <w:u w:val="single"/>
                      <w:lang w:val="en-US" w:eastAsia="zh-CN"/>
                    </w:rPr>
                    <w:t>UV油漆</w:t>
                  </w:r>
                </w:p>
              </w:tc>
              <w:tc>
                <w:tcPr>
                  <w:tcW w:w="6762" w:type="dxa"/>
                  <w:tcMar>
                    <w:top w:w="45" w:type="dxa"/>
                    <w:bottom w:w="45" w:type="dxa"/>
                  </w:tcMar>
                  <w:vAlign w:val="center"/>
                </w:tcPr>
                <w:p w14:paraId="7875A7C8">
                  <w:pPr>
                    <w:jc w:val="left"/>
                    <w:rPr>
                      <w:rFonts w:hint="default" w:ascii="Times New Roman" w:hAnsi="Times New Roman" w:cs="Times New Roman" w:eastAsiaTheme="minorEastAsia"/>
                      <w:b/>
                      <w:bCs/>
                      <w:color w:val="auto"/>
                      <w:sz w:val="21"/>
                      <w:szCs w:val="21"/>
                      <w:highlight w:val="none"/>
                      <w:u w:val="single"/>
                      <w:lang w:val="en-US" w:eastAsia="zh-CN"/>
                    </w:rPr>
                  </w:pPr>
                  <w:r>
                    <w:rPr>
                      <w:rFonts w:hint="eastAsia" w:cs="Times New Roman" w:eastAsiaTheme="minorEastAsia"/>
                      <w:b/>
                      <w:bCs/>
                      <w:color w:val="auto"/>
                      <w:sz w:val="21"/>
                      <w:szCs w:val="21"/>
                      <w:highlight w:val="none"/>
                      <w:u w:val="single"/>
                      <w:lang w:val="en-US" w:eastAsia="zh-CN"/>
                    </w:rPr>
                    <w:t>一种在紫外线的照射下能够在几秒钟内迅速固化成膜的涂料，主要成为为聚氨酯丙烯酸树脂5%，单体45%，填料助剂5%，不含苯。</w:t>
                  </w:r>
                </w:p>
              </w:tc>
            </w:tr>
            <w:tr w14:paraId="0A1D9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6" w:type="dxa"/>
                  <w:tcMar>
                    <w:top w:w="45" w:type="dxa"/>
                    <w:bottom w:w="45" w:type="dxa"/>
                  </w:tcMar>
                  <w:vAlign w:val="center"/>
                </w:tcPr>
                <w:p w14:paraId="0383EAD9">
                  <w:pPr>
                    <w:snapToGrid w:val="0"/>
                    <w:jc w:val="center"/>
                    <w:rPr>
                      <w:rFonts w:hint="eastAsia" w:ascii="Times New Roman" w:hAnsi="Times New Roman" w:cs="Times New Roman" w:eastAsiaTheme="minorEastAsia"/>
                      <w:color w:val="auto"/>
                      <w:sz w:val="21"/>
                      <w:szCs w:val="21"/>
                      <w:lang w:eastAsia="zh-CN"/>
                    </w:rPr>
                  </w:pPr>
                  <w:r>
                    <w:rPr>
                      <w:rFonts w:hint="eastAsia" w:cs="Times New Roman" w:eastAsiaTheme="minorEastAsia"/>
                      <w:color w:val="auto"/>
                      <w:sz w:val="21"/>
                      <w:szCs w:val="21"/>
                      <w:lang w:val="en-US" w:eastAsia="zh-CN"/>
                    </w:rPr>
                    <w:t>6</w:t>
                  </w:r>
                </w:p>
              </w:tc>
              <w:tc>
                <w:tcPr>
                  <w:tcW w:w="817" w:type="dxa"/>
                  <w:tcMar>
                    <w:top w:w="45" w:type="dxa"/>
                    <w:bottom w:w="45" w:type="dxa"/>
                  </w:tcMar>
                  <w:vAlign w:val="center"/>
                </w:tcPr>
                <w:p w14:paraId="72BCC514">
                  <w:pPr>
                    <w:snapToGrid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稀释剂</w:t>
                  </w:r>
                </w:p>
              </w:tc>
              <w:tc>
                <w:tcPr>
                  <w:tcW w:w="6762" w:type="dxa"/>
                  <w:tcMar>
                    <w:top w:w="45" w:type="dxa"/>
                    <w:bottom w:w="45" w:type="dxa"/>
                  </w:tcMar>
                  <w:vAlign w:val="center"/>
                </w:tcPr>
                <w:p w14:paraId="3A471AD0">
                  <w:pPr>
                    <w:snapToGrid w:val="0"/>
                    <w:jc w:val="left"/>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本项目油性漆需使用有机溶剂稀释后使用，稀释剂为无色透明液体，有芳香气味，闪点55℃（闭杯），燃点64℃，相对密度0.857g/cm</w:t>
                  </w:r>
                  <w:r>
                    <w:rPr>
                      <w:rFonts w:hint="default" w:ascii="Times New Roman" w:hAnsi="Times New Roman" w:cs="Times New Roman" w:eastAsiaTheme="minorEastAsia"/>
                      <w:color w:val="auto"/>
                      <w:sz w:val="21"/>
                      <w:szCs w:val="21"/>
                      <w:vertAlign w:val="superscript"/>
                    </w:rPr>
                    <w:t>3</w:t>
                  </w:r>
                  <w:r>
                    <w:rPr>
                      <w:rFonts w:hint="default" w:ascii="Times New Roman" w:hAnsi="Times New Roman" w:cs="Times New Roman" w:eastAsiaTheme="minorEastAsia"/>
                      <w:color w:val="auto"/>
                      <w:sz w:val="21"/>
                      <w:szCs w:val="21"/>
                    </w:rPr>
                    <w:t>，沸点大于35℃（初沸点），不溶于水，易溶于有机溶剂，根据其安全技术说明书，主要成分为乙酸正丁酯</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乙酸仲丁酯</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乙酸乙酯</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丙二醇甲醚丙酸酯</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lang w:val="en-US" w:eastAsia="zh-CN"/>
                    </w:rPr>
                    <w:t>甲苯、二甲苯，其中甲苯、二甲苯合计最高含量为60%</w:t>
                  </w:r>
                  <w:r>
                    <w:rPr>
                      <w:rFonts w:hint="default" w:ascii="Times New Roman" w:hAnsi="Times New Roman" w:cs="Times New Roman" w:eastAsiaTheme="minorEastAsia"/>
                      <w:color w:val="auto"/>
                      <w:sz w:val="21"/>
                      <w:szCs w:val="21"/>
                    </w:rPr>
                    <w:t>。</w:t>
                  </w:r>
                </w:p>
              </w:tc>
            </w:tr>
            <w:tr w14:paraId="6AEF9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6" w:type="dxa"/>
                  <w:tcMar>
                    <w:top w:w="45" w:type="dxa"/>
                    <w:bottom w:w="45" w:type="dxa"/>
                  </w:tcMar>
                  <w:vAlign w:val="center"/>
                </w:tcPr>
                <w:p w14:paraId="0C51E30B">
                  <w:pPr>
                    <w:snapToGrid w:val="0"/>
                    <w:jc w:val="center"/>
                    <w:rPr>
                      <w:rFonts w:hint="eastAsia" w:ascii="Times New Roman" w:hAnsi="Times New Roman" w:cs="Times New Roman" w:eastAsiaTheme="minorEastAsia"/>
                      <w:color w:val="auto"/>
                      <w:sz w:val="21"/>
                      <w:szCs w:val="21"/>
                      <w:lang w:eastAsia="zh-CN"/>
                    </w:rPr>
                  </w:pPr>
                  <w:r>
                    <w:rPr>
                      <w:rFonts w:hint="eastAsia" w:cs="Times New Roman" w:eastAsiaTheme="minorEastAsia"/>
                      <w:color w:val="auto"/>
                      <w:sz w:val="21"/>
                      <w:szCs w:val="21"/>
                      <w:lang w:val="en-US" w:eastAsia="zh-CN"/>
                    </w:rPr>
                    <w:t>7</w:t>
                  </w:r>
                </w:p>
              </w:tc>
              <w:tc>
                <w:tcPr>
                  <w:tcW w:w="817" w:type="dxa"/>
                  <w:tcMar>
                    <w:top w:w="45" w:type="dxa"/>
                    <w:bottom w:w="45" w:type="dxa"/>
                  </w:tcMar>
                  <w:vAlign w:val="center"/>
                </w:tcPr>
                <w:p w14:paraId="3E450168">
                  <w:pPr>
                    <w:widowControl/>
                    <w:adjustRightInd w:val="0"/>
                    <w:snapToGrid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固化剂</w:t>
                  </w:r>
                </w:p>
              </w:tc>
              <w:tc>
                <w:tcPr>
                  <w:tcW w:w="6762" w:type="dxa"/>
                  <w:tcMar>
                    <w:top w:w="45" w:type="dxa"/>
                    <w:bottom w:w="45" w:type="dxa"/>
                  </w:tcMar>
                  <w:vAlign w:val="center"/>
                </w:tcPr>
                <w:p w14:paraId="12FFA48E">
                  <w:pPr>
                    <w:widowControl/>
                    <w:adjustRightInd w:val="0"/>
                    <w:snapToGrid w:val="0"/>
                    <w:jc w:val="left"/>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本项目固化剂为液态，有刺激性气味，闪点25℃（闭杯），爆炸下限36g/m</w:t>
                  </w:r>
                  <w:r>
                    <w:rPr>
                      <w:rFonts w:hint="default" w:ascii="Times New Roman" w:hAnsi="Times New Roman" w:cs="Times New Roman" w:eastAsiaTheme="minorEastAsia"/>
                      <w:color w:val="auto"/>
                      <w:sz w:val="21"/>
                      <w:szCs w:val="21"/>
                      <w:vertAlign w:val="superscript"/>
                    </w:rPr>
                    <w:t>3</w:t>
                  </w:r>
                  <w:r>
                    <w:rPr>
                      <w:rFonts w:hint="default" w:ascii="Times New Roman" w:hAnsi="Times New Roman" w:cs="Times New Roman" w:eastAsiaTheme="minorEastAsia"/>
                      <w:color w:val="auto"/>
                      <w:sz w:val="21"/>
                      <w:szCs w:val="21"/>
                    </w:rPr>
                    <w:t>,相对密度0.98g/cm</w:t>
                  </w:r>
                  <w:r>
                    <w:rPr>
                      <w:rFonts w:hint="default" w:ascii="Times New Roman" w:hAnsi="Times New Roman" w:cs="Times New Roman" w:eastAsiaTheme="minorEastAsia"/>
                      <w:color w:val="auto"/>
                      <w:sz w:val="21"/>
                      <w:szCs w:val="21"/>
                      <w:vertAlign w:val="superscript"/>
                    </w:rPr>
                    <w:t>3</w:t>
                  </w:r>
                  <w:r>
                    <w:rPr>
                      <w:rFonts w:hint="default" w:ascii="Times New Roman" w:hAnsi="Times New Roman" w:cs="Times New Roman" w:eastAsiaTheme="minorEastAsia"/>
                      <w:color w:val="auto"/>
                      <w:sz w:val="21"/>
                      <w:szCs w:val="21"/>
                    </w:rPr>
                    <w:t>，，不溶于水，易溶于有机溶剂，根据其安全技术说明书，主要成分为多异氰酸酯基的组分</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乙酸正丁酯</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乙酸乙酯</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lang w:val="en-US" w:eastAsia="zh-CN"/>
                    </w:rPr>
                    <w:t>甲苯，其中甲苯最高含量为10%</w:t>
                  </w:r>
                  <w:r>
                    <w:rPr>
                      <w:rFonts w:hint="default" w:ascii="Times New Roman" w:hAnsi="Times New Roman" w:cs="Times New Roman" w:eastAsiaTheme="minorEastAsia"/>
                      <w:color w:val="auto"/>
                      <w:sz w:val="21"/>
                      <w:szCs w:val="21"/>
                    </w:rPr>
                    <w:t>。</w:t>
                  </w:r>
                </w:p>
              </w:tc>
            </w:tr>
            <w:tr w14:paraId="42DD1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6" w:type="dxa"/>
                  <w:tcMar>
                    <w:top w:w="45" w:type="dxa"/>
                    <w:bottom w:w="45" w:type="dxa"/>
                  </w:tcMar>
                  <w:vAlign w:val="center"/>
                </w:tcPr>
                <w:p w14:paraId="1BB38917">
                  <w:pPr>
                    <w:snapToGrid w:val="0"/>
                    <w:jc w:val="center"/>
                    <w:rPr>
                      <w:rFonts w:hint="eastAsia" w:ascii="Times New Roman" w:hAnsi="Times New Roman" w:cs="Times New Roman" w:eastAsiaTheme="minorEastAsia"/>
                      <w:color w:val="auto"/>
                      <w:sz w:val="21"/>
                      <w:szCs w:val="21"/>
                      <w:lang w:eastAsia="zh-CN"/>
                    </w:rPr>
                  </w:pPr>
                  <w:r>
                    <w:rPr>
                      <w:rFonts w:hint="eastAsia" w:cs="Times New Roman" w:eastAsiaTheme="minorEastAsia"/>
                      <w:color w:val="auto"/>
                      <w:sz w:val="21"/>
                      <w:szCs w:val="21"/>
                      <w:lang w:val="en-US" w:eastAsia="zh-CN"/>
                    </w:rPr>
                    <w:t>8</w:t>
                  </w:r>
                </w:p>
              </w:tc>
              <w:tc>
                <w:tcPr>
                  <w:tcW w:w="817" w:type="dxa"/>
                  <w:tcMar>
                    <w:top w:w="45" w:type="dxa"/>
                    <w:bottom w:w="45" w:type="dxa"/>
                  </w:tcMar>
                  <w:vAlign w:val="center"/>
                </w:tcPr>
                <w:p w14:paraId="4F89C450">
                  <w:pPr>
                    <w:snapToGrid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腻子</w:t>
                  </w:r>
                </w:p>
              </w:tc>
              <w:tc>
                <w:tcPr>
                  <w:tcW w:w="6762" w:type="dxa"/>
                  <w:tcMar>
                    <w:top w:w="45" w:type="dxa"/>
                    <w:bottom w:w="45" w:type="dxa"/>
                  </w:tcMar>
                  <w:vAlign w:val="center"/>
                </w:tcPr>
                <w:p w14:paraId="16739E19">
                  <w:pPr>
                    <w:snapToGrid w:val="0"/>
                    <w:jc w:val="left"/>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rPr>
                    <w:t>腻子粉是漆类施工前，对施工面进行预处理的一种表面找平粉状材料，主要目的是填充施工面的孔隙及矫正施工面的曲线偏差，为获得均匀、平滑的漆面打好基础。本项目使用的腻子</w:t>
                  </w:r>
                  <w:r>
                    <w:rPr>
                      <w:rFonts w:hint="default" w:ascii="Times New Roman" w:hAnsi="Times New Roman" w:cs="Times New Roman" w:eastAsiaTheme="minorEastAsia"/>
                      <w:color w:val="auto"/>
                      <w:sz w:val="21"/>
                      <w:szCs w:val="21"/>
                      <w:lang w:val="en-US" w:eastAsia="zh-CN"/>
                    </w:rPr>
                    <w:t>为调配好的膏状腻子，其成分为</w:t>
                  </w:r>
                  <w:r>
                    <w:rPr>
                      <w:rFonts w:hint="default" w:ascii="Times New Roman" w:hAnsi="Times New Roman" w:cs="Times New Roman" w:eastAsiaTheme="minorEastAsia"/>
                      <w:color w:val="auto"/>
                      <w:sz w:val="21"/>
                      <w:szCs w:val="21"/>
                    </w:rPr>
                    <w:t>水溶性高分子树脂胶粉8～10%、双飞粉（重钙粉）60%、石膏粉24%、滑石粉6～8%</w:t>
                  </w:r>
                </w:p>
              </w:tc>
            </w:tr>
          </w:tbl>
          <w:p w14:paraId="2A995A73">
            <w:pPr>
              <w:spacing w:line="360" w:lineRule="auto"/>
              <w:rPr>
                <w:b/>
                <w:bCs/>
                <w:color w:val="auto"/>
                <w:sz w:val="24"/>
              </w:rPr>
            </w:pPr>
            <w:r>
              <w:rPr>
                <w:b/>
                <w:bCs/>
                <w:color w:val="auto"/>
                <w:sz w:val="24"/>
              </w:rPr>
              <w:t>2.4产品方案</w:t>
            </w:r>
          </w:p>
          <w:p w14:paraId="01327B71">
            <w:pPr>
              <w:spacing w:line="360" w:lineRule="auto"/>
              <w:ind w:firstLine="480" w:firstLineChars="200"/>
              <w:rPr>
                <w:color w:val="auto"/>
                <w:sz w:val="24"/>
              </w:rPr>
            </w:pPr>
            <w:r>
              <w:rPr>
                <w:rFonts w:hint="eastAsia"/>
                <w:color w:val="auto"/>
                <w:sz w:val="24"/>
              </w:rPr>
              <w:t>本工程</w:t>
            </w:r>
            <w:r>
              <w:rPr>
                <w:color w:val="auto"/>
                <w:sz w:val="24"/>
              </w:rPr>
              <w:t>产品方案见</w:t>
            </w:r>
            <w:r>
              <w:rPr>
                <w:rFonts w:hint="eastAsia"/>
                <w:color w:val="auto"/>
                <w:sz w:val="24"/>
              </w:rPr>
              <w:t>下</w:t>
            </w:r>
            <w:r>
              <w:rPr>
                <w:color w:val="auto"/>
                <w:sz w:val="24"/>
              </w:rPr>
              <w:t>表。</w:t>
            </w:r>
          </w:p>
          <w:p w14:paraId="4D883468">
            <w:pPr>
              <w:pStyle w:val="46"/>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eastAsia" w:ascii="Times New Roman" w:hAnsi="Arial Unicode MS" w:eastAsia="宋体" w:cs="Times New Roman"/>
                <w:b/>
                <w:color w:val="auto"/>
                <w:kern w:val="2"/>
                <w:sz w:val="24"/>
                <w:szCs w:val="24"/>
                <w:highlight w:val="none"/>
                <w:lang w:val="en-US" w:eastAsia="zh-CN" w:bidi="ar-SA"/>
              </w:rPr>
            </w:pPr>
            <w:r>
              <w:rPr>
                <w:rFonts w:hint="eastAsia" w:ascii="Times New Roman" w:hAnsi="Arial Unicode MS" w:eastAsia="宋体" w:cs="Times New Roman"/>
                <w:b/>
                <w:color w:val="auto"/>
                <w:kern w:val="2"/>
                <w:sz w:val="24"/>
                <w:szCs w:val="24"/>
                <w:highlight w:val="none"/>
                <w:lang w:val="en-US" w:eastAsia="zh-CN" w:bidi="ar-SA"/>
              </w:rPr>
              <w:t>项目产品方案一览表</w:t>
            </w:r>
          </w:p>
          <w:tbl>
            <w:tblPr>
              <w:tblStyle w:val="25"/>
              <w:tblW w:w="83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1280"/>
              <w:gridCol w:w="1519"/>
              <w:gridCol w:w="4800"/>
            </w:tblGrid>
            <w:tr w14:paraId="0997B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14:paraId="1A394F51">
                  <w:pPr>
                    <w:jc w:val="center"/>
                    <w:textAlignment w:val="baseline"/>
                    <w:rPr>
                      <w:b/>
                      <w:bCs w:val="0"/>
                      <w:color w:val="auto"/>
                      <w:szCs w:val="21"/>
                      <w:lang w:val="zh-CN"/>
                    </w:rPr>
                  </w:pPr>
                  <w:r>
                    <w:rPr>
                      <w:b/>
                      <w:bCs w:val="0"/>
                      <w:color w:val="auto"/>
                      <w:szCs w:val="21"/>
                      <w:lang w:val="zh-CN"/>
                    </w:rPr>
                    <w:t>序号</w:t>
                  </w:r>
                </w:p>
              </w:tc>
              <w:tc>
                <w:tcPr>
                  <w:tcW w:w="1280" w:type="dxa"/>
                  <w:tcBorders>
                    <w:top w:val="single" w:color="auto" w:sz="4" w:space="0"/>
                    <w:left w:val="single" w:color="auto" w:sz="4" w:space="0"/>
                    <w:bottom w:val="single" w:color="auto" w:sz="4" w:space="0"/>
                    <w:right w:val="single" w:color="auto" w:sz="4" w:space="0"/>
                  </w:tcBorders>
                  <w:vAlign w:val="center"/>
                </w:tcPr>
                <w:p w14:paraId="0E4E23D9">
                  <w:pPr>
                    <w:jc w:val="center"/>
                    <w:textAlignment w:val="baseline"/>
                    <w:rPr>
                      <w:b/>
                      <w:bCs w:val="0"/>
                      <w:color w:val="auto"/>
                      <w:szCs w:val="21"/>
                      <w:lang w:val="zh-CN"/>
                    </w:rPr>
                  </w:pPr>
                  <w:r>
                    <w:rPr>
                      <w:b/>
                      <w:bCs w:val="0"/>
                      <w:color w:val="auto"/>
                      <w:szCs w:val="21"/>
                      <w:lang w:val="zh-CN"/>
                    </w:rPr>
                    <w:t>项目</w:t>
                  </w:r>
                </w:p>
              </w:tc>
              <w:tc>
                <w:tcPr>
                  <w:tcW w:w="1519" w:type="dxa"/>
                  <w:tcBorders>
                    <w:top w:val="single" w:color="auto" w:sz="4" w:space="0"/>
                    <w:left w:val="single" w:color="auto" w:sz="4" w:space="0"/>
                    <w:bottom w:val="single" w:color="auto" w:sz="4" w:space="0"/>
                    <w:right w:val="single" w:color="auto" w:sz="4" w:space="0"/>
                  </w:tcBorders>
                  <w:vAlign w:val="center"/>
                </w:tcPr>
                <w:p w14:paraId="317CEB89">
                  <w:pPr>
                    <w:jc w:val="center"/>
                    <w:textAlignment w:val="baseline"/>
                    <w:rPr>
                      <w:b/>
                      <w:bCs w:val="0"/>
                      <w:color w:val="auto"/>
                      <w:szCs w:val="21"/>
                      <w:lang w:val="zh-CN"/>
                    </w:rPr>
                  </w:pPr>
                  <w:r>
                    <w:rPr>
                      <w:b/>
                      <w:bCs w:val="0"/>
                      <w:color w:val="auto"/>
                      <w:szCs w:val="21"/>
                      <w:lang w:val="zh-CN"/>
                    </w:rPr>
                    <w:t>数量（套）</w:t>
                  </w:r>
                </w:p>
              </w:tc>
              <w:tc>
                <w:tcPr>
                  <w:tcW w:w="4800" w:type="dxa"/>
                  <w:tcBorders>
                    <w:top w:val="single" w:color="auto" w:sz="4" w:space="0"/>
                    <w:left w:val="single" w:color="auto" w:sz="4" w:space="0"/>
                    <w:bottom w:val="single" w:color="auto" w:sz="4" w:space="0"/>
                    <w:right w:val="single" w:color="auto" w:sz="4" w:space="0"/>
                  </w:tcBorders>
                  <w:vAlign w:val="center"/>
                </w:tcPr>
                <w:p w14:paraId="4EEDDC6B">
                  <w:pPr>
                    <w:jc w:val="center"/>
                    <w:textAlignment w:val="baseline"/>
                    <w:rPr>
                      <w:b/>
                      <w:bCs w:val="0"/>
                      <w:color w:val="auto"/>
                      <w:szCs w:val="21"/>
                      <w:lang w:val="zh-CN"/>
                    </w:rPr>
                  </w:pPr>
                  <w:r>
                    <w:rPr>
                      <w:b/>
                      <w:bCs w:val="0"/>
                      <w:color w:val="auto"/>
                      <w:szCs w:val="21"/>
                    </w:rPr>
                    <w:t>产品规格</w:t>
                  </w:r>
                </w:p>
              </w:tc>
            </w:tr>
            <w:tr w14:paraId="43D96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14:paraId="42A7BEF8">
                  <w:pPr>
                    <w:jc w:val="center"/>
                    <w:textAlignment w:val="baseline"/>
                    <w:rPr>
                      <w:bCs/>
                      <w:color w:val="auto"/>
                      <w:szCs w:val="21"/>
                      <w:lang w:val="zh-CN"/>
                    </w:rPr>
                  </w:pPr>
                  <w:r>
                    <w:rPr>
                      <w:bCs/>
                      <w:color w:val="auto"/>
                      <w:szCs w:val="21"/>
                      <w:lang w:val="zh-CN"/>
                    </w:rPr>
                    <w:t>1</w:t>
                  </w:r>
                </w:p>
              </w:tc>
              <w:tc>
                <w:tcPr>
                  <w:tcW w:w="1280" w:type="dxa"/>
                  <w:tcBorders>
                    <w:top w:val="single" w:color="auto" w:sz="4" w:space="0"/>
                    <w:left w:val="single" w:color="auto" w:sz="4" w:space="0"/>
                    <w:bottom w:val="single" w:color="auto" w:sz="4" w:space="0"/>
                    <w:right w:val="single" w:color="auto" w:sz="4" w:space="0"/>
                  </w:tcBorders>
                  <w:vAlign w:val="center"/>
                </w:tcPr>
                <w:p w14:paraId="0B3104C4">
                  <w:pPr>
                    <w:jc w:val="center"/>
                    <w:textAlignment w:val="baseline"/>
                    <w:rPr>
                      <w:rFonts w:hint="eastAsia" w:eastAsia="宋体"/>
                      <w:b/>
                      <w:bCs w:val="0"/>
                      <w:color w:val="auto"/>
                      <w:szCs w:val="21"/>
                      <w:u w:val="single"/>
                      <w:lang w:eastAsia="zh-CN"/>
                    </w:rPr>
                  </w:pPr>
                  <w:r>
                    <w:rPr>
                      <w:rFonts w:hint="eastAsia"/>
                      <w:b/>
                      <w:bCs w:val="0"/>
                      <w:color w:val="auto"/>
                      <w:szCs w:val="21"/>
                      <w:u w:val="single"/>
                      <w:lang w:val="en-US" w:eastAsia="zh-CN"/>
                    </w:rPr>
                    <w:t>门类</w:t>
                  </w:r>
                </w:p>
              </w:tc>
              <w:tc>
                <w:tcPr>
                  <w:tcW w:w="1519" w:type="dxa"/>
                  <w:tcBorders>
                    <w:top w:val="single" w:color="auto" w:sz="4" w:space="0"/>
                    <w:left w:val="single" w:color="auto" w:sz="4" w:space="0"/>
                    <w:bottom w:val="single" w:color="auto" w:sz="4" w:space="0"/>
                    <w:right w:val="single" w:color="auto" w:sz="4" w:space="0"/>
                  </w:tcBorders>
                  <w:vAlign w:val="center"/>
                </w:tcPr>
                <w:p w14:paraId="2202440C">
                  <w:pPr>
                    <w:jc w:val="center"/>
                    <w:textAlignment w:val="baseline"/>
                    <w:rPr>
                      <w:b/>
                      <w:bCs w:val="0"/>
                      <w:color w:val="auto"/>
                      <w:szCs w:val="21"/>
                      <w:u w:val="single"/>
                    </w:rPr>
                  </w:pPr>
                  <w:r>
                    <w:rPr>
                      <w:rFonts w:hint="eastAsia"/>
                      <w:b/>
                      <w:bCs w:val="0"/>
                      <w:color w:val="auto"/>
                      <w:szCs w:val="21"/>
                      <w:u w:val="single"/>
                    </w:rPr>
                    <w:t>3</w:t>
                  </w:r>
                  <w:r>
                    <w:rPr>
                      <w:rFonts w:hint="eastAsia"/>
                      <w:b/>
                      <w:bCs w:val="0"/>
                      <w:color w:val="auto"/>
                      <w:szCs w:val="21"/>
                      <w:u w:val="single"/>
                      <w:lang w:val="en-US" w:eastAsia="zh-CN"/>
                    </w:rPr>
                    <w:t>0</w:t>
                  </w:r>
                  <w:r>
                    <w:rPr>
                      <w:rFonts w:hint="eastAsia"/>
                      <w:b/>
                      <w:bCs w:val="0"/>
                      <w:color w:val="auto"/>
                      <w:szCs w:val="21"/>
                      <w:u w:val="single"/>
                    </w:rPr>
                    <w:t>00</w:t>
                  </w:r>
                </w:p>
              </w:tc>
              <w:tc>
                <w:tcPr>
                  <w:tcW w:w="4800" w:type="dxa"/>
                  <w:tcBorders>
                    <w:top w:val="single" w:color="auto" w:sz="4" w:space="0"/>
                    <w:left w:val="single" w:color="auto" w:sz="4" w:space="0"/>
                    <w:bottom w:val="single" w:color="auto" w:sz="4" w:space="0"/>
                    <w:right w:val="single" w:color="auto" w:sz="4" w:space="0"/>
                  </w:tcBorders>
                  <w:vAlign w:val="center"/>
                </w:tcPr>
                <w:p w14:paraId="0876BAB5">
                  <w:pPr>
                    <w:jc w:val="center"/>
                    <w:textAlignment w:val="baseline"/>
                    <w:rPr>
                      <w:rFonts w:hint="eastAsia"/>
                      <w:color w:val="auto"/>
                      <w:szCs w:val="21"/>
                    </w:rPr>
                  </w:pPr>
                  <w:r>
                    <w:rPr>
                      <w:color w:val="auto"/>
                      <w:szCs w:val="21"/>
                    </w:rPr>
                    <w:t>2×</w:t>
                  </w:r>
                  <w:r>
                    <w:rPr>
                      <w:rFonts w:hint="eastAsia"/>
                      <w:color w:val="auto"/>
                      <w:szCs w:val="21"/>
                    </w:rPr>
                    <w:t>0.7</w:t>
                  </w:r>
                  <w:r>
                    <w:rPr>
                      <w:color w:val="auto"/>
                      <w:szCs w:val="21"/>
                    </w:rPr>
                    <w:t>m</w:t>
                  </w:r>
                  <w:r>
                    <w:rPr>
                      <w:rFonts w:hint="eastAsia"/>
                      <w:color w:val="auto"/>
                      <w:szCs w:val="21"/>
                    </w:rPr>
                    <w:t>；</w:t>
                  </w:r>
                  <w:r>
                    <w:rPr>
                      <w:color w:val="auto"/>
                      <w:szCs w:val="21"/>
                    </w:rPr>
                    <w:t>1</w:t>
                  </w:r>
                  <w:r>
                    <w:rPr>
                      <w:rFonts w:hint="eastAsia"/>
                      <w:color w:val="auto"/>
                      <w:szCs w:val="21"/>
                    </w:rPr>
                    <w:t>.8</w:t>
                  </w:r>
                  <w:r>
                    <w:rPr>
                      <w:color w:val="auto"/>
                      <w:szCs w:val="21"/>
                    </w:rPr>
                    <w:t>×</w:t>
                  </w:r>
                  <w:r>
                    <w:rPr>
                      <w:rFonts w:hint="eastAsia"/>
                      <w:color w:val="auto"/>
                      <w:szCs w:val="21"/>
                    </w:rPr>
                    <w:t>0.7</w:t>
                  </w:r>
                  <w:r>
                    <w:rPr>
                      <w:color w:val="auto"/>
                      <w:szCs w:val="21"/>
                    </w:rPr>
                    <w:t>m</w:t>
                  </w:r>
                  <w:r>
                    <w:rPr>
                      <w:rFonts w:hint="eastAsia"/>
                      <w:color w:val="auto"/>
                      <w:szCs w:val="21"/>
                    </w:rPr>
                    <w:t>；</w:t>
                  </w:r>
                  <w:r>
                    <w:rPr>
                      <w:color w:val="auto"/>
                      <w:szCs w:val="21"/>
                    </w:rPr>
                    <w:t>2×</w:t>
                  </w:r>
                  <w:r>
                    <w:rPr>
                      <w:rFonts w:hint="eastAsia"/>
                      <w:color w:val="auto"/>
                      <w:szCs w:val="21"/>
                    </w:rPr>
                    <w:t>0.75</w:t>
                  </w:r>
                  <w:r>
                    <w:rPr>
                      <w:color w:val="auto"/>
                      <w:szCs w:val="21"/>
                    </w:rPr>
                    <w:t>m</w:t>
                  </w:r>
                  <w:r>
                    <w:rPr>
                      <w:rFonts w:hint="eastAsia"/>
                      <w:color w:val="auto"/>
                      <w:szCs w:val="21"/>
                    </w:rPr>
                    <w:t>；</w:t>
                  </w:r>
                  <w:r>
                    <w:rPr>
                      <w:color w:val="auto"/>
                      <w:szCs w:val="21"/>
                    </w:rPr>
                    <w:t>1</w:t>
                  </w:r>
                  <w:r>
                    <w:rPr>
                      <w:rFonts w:hint="eastAsia"/>
                      <w:color w:val="auto"/>
                      <w:szCs w:val="21"/>
                    </w:rPr>
                    <w:t>.</w:t>
                  </w:r>
                  <w:r>
                    <w:rPr>
                      <w:color w:val="auto"/>
                      <w:szCs w:val="21"/>
                    </w:rPr>
                    <w:t>8×</w:t>
                  </w:r>
                  <w:r>
                    <w:rPr>
                      <w:rFonts w:hint="eastAsia"/>
                      <w:color w:val="auto"/>
                      <w:szCs w:val="21"/>
                    </w:rPr>
                    <w:t>0.8</w:t>
                  </w:r>
                  <w:r>
                    <w:rPr>
                      <w:color w:val="auto"/>
                      <w:szCs w:val="21"/>
                    </w:rPr>
                    <w:t>m</w:t>
                  </w:r>
                  <w:r>
                    <w:rPr>
                      <w:rFonts w:hint="eastAsia"/>
                      <w:color w:val="auto"/>
                      <w:szCs w:val="21"/>
                    </w:rPr>
                    <w:t>等</w:t>
                  </w:r>
                </w:p>
              </w:tc>
            </w:tr>
            <w:tr w14:paraId="04365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14:paraId="0DCC5E36">
                  <w:pPr>
                    <w:jc w:val="center"/>
                    <w:textAlignment w:val="baseline"/>
                    <w:rPr>
                      <w:bCs/>
                      <w:color w:val="auto"/>
                      <w:szCs w:val="21"/>
                      <w:lang w:val="zh-CN"/>
                    </w:rPr>
                  </w:pPr>
                  <w:r>
                    <w:rPr>
                      <w:bCs/>
                      <w:color w:val="auto"/>
                      <w:szCs w:val="21"/>
                      <w:lang w:val="zh-CN"/>
                    </w:rPr>
                    <w:t>2</w:t>
                  </w:r>
                </w:p>
              </w:tc>
              <w:tc>
                <w:tcPr>
                  <w:tcW w:w="1280" w:type="dxa"/>
                  <w:tcBorders>
                    <w:top w:val="single" w:color="auto" w:sz="4" w:space="0"/>
                    <w:left w:val="single" w:color="auto" w:sz="4" w:space="0"/>
                    <w:bottom w:val="single" w:color="auto" w:sz="4" w:space="0"/>
                    <w:right w:val="single" w:color="auto" w:sz="4" w:space="0"/>
                  </w:tcBorders>
                  <w:vAlign w:val="center"/>
                </w:tcPr>
                <w:p w14:paraId="7494209F">
                  <w:pPr>
                    <w:autoSpaceDE w:val="0"/>
                    <w:autoSpaceDN w:val="0"/>
                    <w:adjustRightInd w:val="0"/>
                    <w:jc w:val="center"/>
                    <w:rPr>
                      <w:rFonts w:hint="eastAsia" w:eastAsia="宋体"/>
                      <w:b/>
                      <w:bCs w:val="0"/>
                      <w:color w:val="auto"/>
                      <w:szCs w:val="21"/>
                      <w:u w:val="single"/>
                      <w:lang w:val="zh-CN" w:eastAsia="zh-CN"/>
                    </w:rPr>
                  </w:pPr>
                  <w:r>
                    <w:rPr>
                      <w:rFonts w:hint="eastAsia"/>
                      <w:b/>
                      <w:bCs w:val="0"/>
                      <w:color w:val="auto"/>
                      <w:szCs w:val="21"/>
                      <w:u w:val="single"/>
                      <w:lang w:val="en-US" w:eastAsia="zh-CN"/>
                    </w:rPr>
                    <w:t>柜类</w:t>
                  </w:r>
                </w:p>
              </w:tc>
              <w:tc>
                <w:tcPr>
                  <w:tcW w:w="1519" w:type="dxa"/>
                  <w:tcBorders>
                    <w:top w:val="single" w:color="auto" w:sz="4" w:space="0"/>
                    <w:left w:val="single" w:color="auto" w:sz="4" w:space="0"/>
                    <w:bottom w:val="single" w:color="auto" w:sz="4" w:space="0"/>
                    <w:right w:val="single" w:color="auto" w:sz="4" w:space="0"/>
                  </w:tcBorders>
                  <w:vAlign w:val="center"/>
                </w:tcPr>
                <w:p w14:paraId="4DCACA9A">
                  <w:pPr>
                    <w:autoSpaceDE w:val="0"/>
                    <w:autoSpaceDN w:val="0"/>
                    <w:adjustRightInd w:val="0"/>
                    <w:jc w:val="center"/>
                    <w:rPr>
                      <w:b/>
                      <w:bCs w:val="0"/>
                      <w:color w:val="auto"/>
                      <w:szCs w:val="21"/>
                      <w:u w:val="single"/>
                    </w:rPr>
                  </w:pPr>
                  <w:r>
                    <w:rPr>
                      <w:rFonts w:hint="eastAsia"/>
                      <w:b/>
                      <w:bCs w:val="0"/>
                      <w:color w:val="auto"/>
                      <w:szCs w:val="21"/>
                      <w:u w:val="single"/>
                      <w:lang w:val="en-US" w:eastAsia="zh-CN"/>
                    </w:rPr>
                    <w:t>5</w:t>
                  </w:r>
                  <w:r>
                    <w:rPr>
                      <w:rFonts w:hint="eastAsia"/>
                      <w:b/>
                      <w:bCs w:val="0"/>
                      <w:color w:val="auto"/>
                      <w:szCs w:val="21"/>
                      <w:u w:val="single"/>
                    </w:rPr>
                    <w:t>000</w:t>
                  </w:r>
                </w:p>
              </w:tc>
              <w:tc>
                <w:tcPr>
                  <w:tcW w:w="4800" w:type="dxa"/>
                  <w:tcBorders>
                    <w:top w:val="single" w:color="auto" w:sz="4" w:space="0"/>
                    <w:left w:val="single" w:color="auto" w:sz="4" w:space="0"/>
                    <w:bottom w:val="single" w:color="auto" w:sz="4" w:space="0"/>
                    <w:right w:val="single" w:color="auto" w:sz="4" w:space="0"/>
                  </w:tcBorders>
                  <w:vAlign w:val="center"/>
                </w:tcPr>
                <w:p w14:paraId="68720BDF">
                  <w:pPr>
                    <w:autoSpaceDE w:val="0"/>
                    <w:autoSpaceDN w:val="0"/>
                    <w:adjustRightInd w:val="0"/>
                    <w:jc w:val="center"/>
                    <w:rPr>
                      <w:color w:val="auto"/>
                      <w:szCs w:val="21"/>
                    </w:rPr>
                  </w:pPr>
                  <w:r>
                    <w:rPr>
                      <w:rFonts w:hint="eastAsia"/>
                      <w:color w:val="auto"/>
                      <w:szCs w:val="21"/>
                    </w:rPr>
                    <w:t>2.0</w:t>
                  </w:r>
                  <w:r>
                    <w:rPr>
                      <w:color w:val="auto"/>
                      <w:szCs w:val="21"/>
                    </w:rPr>
                    <w:t>m×1.8m；5.5m×1.8m等；</w:t>
                  </w:r>
                </w:p>
              </w:tc>
            </w:tr>
            <w:tr w14:paraId="5C383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14:paraId="709F5740">
                  <w:pPr>
                    <w:jc w:val="center"/>
                    <w:textAlignment w:val="baseline"/>
                    <w:rPr>
                      <w:bCs/>
                      <w:color w:val="auto"/>
                      <w:szCs w:val="21"/>
                      <w:lang w:val="zh-CN"/>
                    </w:rPr>
                  </w:pPr>
                  <w:r>
                    <w:rPr>
                      <w:rFonts w:hint="eastAsia"/>
                      <w:bCs/>
                      <w:color w:val="auto"/>
                      <w:szCs w:val="21"/>
                    </w:rPr>
                    <w:t>3</w:t>
                  </w:r>
                </w:p>
              </w:tc>
              <w:tc>
                <w:tcPr>
                  <w:tcW w:w="1280" w:type="dxa"/>
                  <w:tcBorders>
                    <w:top w:val="single" w:color="auto" w:sz="4" w:space="0"/>
                    <w:left w:val="single" w:color="auto" w:sz="4" w:space="0"/>
                    <w:bottom w:val="single" w:color="auto" w:sz="4" w:space="0"/>
                    <w:right w:val="single" w:color="auto" w:sz="4" w:space="0"/>
                  </w:tcBorders>
                  <w:vAlign w:val="center"/>
                </w:tcPr>
                <w:p w14:paraId="6F13088C">
                  <w:pPr>
                    <w:autoSpaceDE w:val="0"/>
                    <w:autoSpaceDN w:val="0"/>
                    <w:adjustRightInd w:val="0"/>
                    <w:jc w:val="center"/>
                    <w:rPr>
                      <w:rFonts w:hint="eastAsia" w:eastAsia="宋体"/>
                      <w:b/>
                      <w:bCs w:val="0"/>
                      <w:color w:val="auto"/>
                      <w:szCs w:val="21"/>
                      <w:u w:val="single"/>
                      <w:lang w:val="zh-CN" w:eastAsia="zh-CN"/>
                    </w:rPr>
                  </w:pPr>
                  <w:r>
                    <w:rPr>
                      <w:rFonts w:hint="eastAsia"/>
                      <w:b/>
                      <w:bCs w:val="0"/>
                      <w:color w:val="auto"/>
                      <w:szCs w:val="21"/>
                      <w:highlight w:val="none"/>
                      <w:u w:val="single"/>
                      <w:lang w:val="en-US" w:eastAsia="zh-CN"/>
                    </w:rPr>
                    <w:t>墙板类</w:t>
                  </w:r>
                </w:p>
              </w:tc>
              <w:tc>
                <w:tcPr>
                  <w:tcW w:w="1519" w:type="dxa"/>
                  <w:tcBorders>
                    <w:top w:val="single" w:color="auto" w:sz="4" w:space="0"/>
                    <w:left w:val="single" w:color="auto" w:sz="4" w:space="0"/>
                    <w:bottom w:val="single" w:color="auto" w:sz="4" w:space="0"/>
                    <w:right w:val="single" w:color="auto" w:sz="4" w:space="0"/>
                  </w:tcBorders>
                  <w:vAlign w:val="center"/>
                </w:tcPr>
                <w:p w14:paraId="1CBFC45E">
                  <w:pPr>
                    <w:autoSpaceDE w:val="0"/>
                    <w:autoSpaceDN w:val="0"/>
                    <w:adjustRightInd w:val="0"/>
                    <w:jc w:val="center"/>
                    <w:rPr>
                      <w:b/>
                      <w:bCs w:val="0"/>
                      <w:color w:val="auto"/>
                      <w:szCs w:val="21"/>
                      <w:u w:val="single"/>
                    </w:rPr>
                  </w:pPr>
                  <w:r>
                    <w:rPr>
                      <w:rFonts w:hint="eastAsia"/>
                      <w:b/>
                      <w:bCs w:val="0"/>
                      <w:color w:val="auto"/>
                      <w:szCs w:val="21"/>
                      <w:u w:val="single"/>
                      <w:lang w:val="en-US" w:eastAsia="zh-CN"/>
                    </w:rPr>
                    <w:t>2</w:t>
                  </w:r>
                  <w:r>
                    <w:rPr>
                      <w:rFonts w:hint="eastAsia"/>
                      <w:b/>
                      <w:bCs w:val="0"/>
                      <w:color w:val="auto"/>
                      <w:szCs w:val="21"/>
                      <w:u w:val="single"/>
                    </w:rPr>
                    <w:t>000</w:t>
                  </w:r>
                </w:p>
              </w:tc>
              <w:tc>
                <w:tcPr>
                  <w:tcW w:w="4800" w:type="dxa"/>
                  <w:tcBorders>
                    <w:top w:val="single" w:color="auto" w:sz="4" w:space="0"/>
                    <w:left w:val="single" w:color="auto" w:sz="4" w:space="0"/>
                    <w:bottom w:val="single" w:color="auto" w:sz="4" w:space="0"/>
                    <w:right w:val="single" w:color="auto" w:sz="4" w:space="0"/>
                  </w:tcBorders>
                  <w:vAlign w:val="center"/>
                </w:tcPr>
                <w:p w14:paraId="4AB2A46F">
                  <w:pPr>
                    <w:autoSpaceDE w:val="0"/>
                    <w:autoSpaceDN w:val="0"/>
                    <w:adjustRightInd w:val="0"/>
                    <w:jc w:val="center"/>
                    <w:rPr>
                      <w:color w:val="auto"/>
                      <w:szCs w:val="21"/>
                    </w:rPr>
                  </w:pPr>
                  <w:r>
                    <w:rPr>
                      <w:color w:val="auto"/>
                      <w:szCs w:val="21"/>
                    </w:rPr>
                    <w:t>1.2m×1.9m；1.5×</w:t>
                  </w:r>
                  <w:r>
                    <w:rPr>
                      <w:rFonts w:hint="eastAsia"/>
                      <w:color w:val="auto"/>
                      <w:szCs w:val="21"/>
                    </w:rPr>
                    <w:t>2.0</w:t>
                  </w:r>
                  <w:r>
                    <w:rPr>
                      <w:color w:val="auto"/>
                      <w:szCs w:val="21"/>
                    </w:rPr>
                    <w:t>m；1.8×2.0m；2×2m等；</w:t>
                  </w:r>
                </w:p>
              </w:tc>
            </w:tr>
            <w:tr w14:paraId="46756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14:paraId="253B4023">
                  <w:pPr>
                    <w:jc w:val="center"/>
                    <w:textAlignment w:val="baseline"/>
                    <w:rPr>
                      <w:rFonts w:hint="eastAsia" w:eastAsia="宋体"/>
                      <w:bCs/>
                      <w:color w:val="auto"/>
                      <w:szCs w:val="21"/>
                      <w:lang w:eastAsia="zh-CN"/>
                    </w:rPr>
                  </w:pPr>
                  <w:r>
                    <w:rPr>
                      <w:rFonts w:hint="eastAsia"/>
                      <w:bCs/>
                      <w:color w:val="auto"/>
                      <w:szCs w:val="21"/>
                      <w:lang w:val="en-US" w:eastAsia="zh-CN"/>
                    </w:rPr>
                    <w:t>4</w:t>
                  </w:r>
                </w:p>
              </w:tc>
              <w:tc>
                <w:tcPr>
                  <w:tcW w:w="1280" w:type="dxa"/>
                  <w:tcBorders>
                    <w:top w:val="single" w:color="auto" w:sz="4" w:space="0"/>
                    <w:left w:val="single" w:color="auto" w:sz="4" w:space="0"/>
                    <w:bottom w:val="single" w:color="auto" w:sz="4" w:space="0"/>
                    <w:right w:val="single" w:color="auto" w:sz="4" w:space="0"/>
                  </w:tcBorders>
                  <w:vAlign w:val="center"/>
                </w:tcPr>
                <w:p w14:paraId="71BD65BD">
                  <w:pPr>
                    <w:jc w:val="center"/>
                    <w:textAlignment w:val="baseline"/>
                    <w:rPr>
                      <w:bCs/>
                      <w:color w:val="auto"/>
                      <w:szCs w:val="21"/>
                      <w:lang w:val="zh-CN"/>
                    </w:rPr>
                  </w:pPr>
                  <w:r>
                    <w:rPr>
                      <w:rFonts w:hint="eastAsia"/>
                      <w:bCs/>
                      <w:color w:val="auto"/>
                      <w:szCs w:val="21"/>
                      <w:lang w:val="zh-CN"/>
                    </w:rPr>
                    <w:t>合计</w:t>
                  </w:r>
                </w:p>
              </w:tc>
              <w:tc>
                <w:tcPr>
                  <w:tcW w:w="1519" w:type="dxa"/>
                  <w:tcBorders>
                    <w:top w:val="single" w:color="auto" w:sz="4" w:space="0"/>
                    <w:left w:val="single" w:color="auto" w:sz="4" w:space="0"/>
                    <w:bottom w:val="single" w:color="auto" w:sz="4" w:space="0"/>
                    <w:right w:val="single" w:color="auto" w:sz="4" w:space="0"/>
                  </w:tcBorders>
                  <w:vAlign w:val="center"/>
                </w:tcPr>
                <w:p w14:paraId="495976DF">
                  <w:pPr>
                    <w:autoSpaceDE w:val="0"/>
                    <w:autoSpaceDN w:val="0"/>
                    <w:adjustRightInd w:val="0"/>
                    <w:jc w:val="center"/>
                    <w:rPr>
                      <w:color w:val="auto"/>
                      <w:szCs w:val="21"/>
                    </w:rPr>
                  </w:pPr>
                  <w:r>
                    <w:rPr>
                      <w:rFonts w:hint="eastAsia"/>
                      <w:color w:val="auto"/>
                      <w:szCs w:val="21"/>
                    </w:rPr>
                    <w:t>10000</w:t>
                  </w:r>
                </w:p>
              </w:tc>
              <w:tc>
                <w:tcPr>
                  <w:tcW w:w="4800" w:type="dxa"/>
                  <w:tcBorders>
                    <w:top w:val="single" w:color="auto" w:sz="4" w:space="0"/>
                    <w:left w:val="single" w:color="auto" w:sz="4" w:space="0"/>
                    <w:bottom w:val="single" w:color="auto" w:sz="4" w:space="0"/>
                    <w:right w:val="single" w:color="auto" w:sz="4" w:space="0"/>
                  </w:tcBorders>
                  <w:vAlign w:val="center"/>
                </w:tcPr>
                <w:p w14:paraId="593301F6">
                  <w:pPr>
                    <w:autoSpaceDE w:val="0"/>
                    <w:autoSpaceDN w:val="0"/>
                    <w:adjustRightInd w:val="0"/>
                    <w:jc w:val="center"/>
                    <w:rPr>
                      <w:color w:val="auto"/>
                      <w:szCs w:val="21"/>
                    </w:rPr>
                  </w:pPr>
                  <w:r>
                    <w:rPr>
                      <w:rFonts w:hint="eastAsia"/>
                      <w:color w:val="auto"/>
                      <w:szCs w:val="21"/>
                    </w:rPr>
                    <w:t>/</w:t>
                  </w:r>
                </w:p>
              </w:tc>
            </w:tr>
          </w:tbl>
          <w:p w14:paraId="263F186F">
            <w:pPr>
              <w:spacing w:line="360" w:lineRule="auto"/>
              <w:ind w:firstLine="422" w:firstLineChars="200"/>
              <w:rPr>
                <w:rFonts w:hint="eastAsia"/>
                <w:b/>
                <w:bCs/>
                <w:color w:val="auto"/>
                <w:szCs w:val="21"/>
              </w:rPr>
            </w:pPr>
            <w:r>
              <w:rPr>
                <w:rFonts w:hint="eastAsia"/>
                <w:b/>
                <w:bCs/>
                <w:color w:val="auto"/>
                <w:szCs w:val="21"/>
              </w:rPr>
              <w:t>注：根据客户需求制定不同尺寸。</w:t>
            </w:r>
          </w:p>
          <w:p w14:paraId="09DF8E8D">
            <w:pPr>
              <w:spacing w:line="360" w:lineRule="auto"/>
              <w:ind w:firstLine="482" w:firstLineChars="200"/>
              <w:rPr>
                <w:rFonts w:hint="eastAsia" w:eastAsia="宋体"/>
                <w:b/>
                <w:bCs/>
                <w:color w:val="auto"/>
                <w:sz w:val="24"/>
                <w:u w:val="single"/>
                <w:lang w:eastAsia="zh-CN"/>
              </w:rPr>
            </w:pPr>
            <w:r>
              <w:rPr>
                <w:rFonts w:hint="eastAsia"/>
                <w:b/>
                <w:bCs/>
                <w:color w:val="auto"/>
                <w:sz w:val="24"/>
                <w:u w:val="single"/>
              </w:rPr>
              <w:t>项目实木家具（10000套）中约2000套为免漆家具，其余8000套需要进行喷漆，其中需要喷油性漆产品约</w:t>
            </w:r>
            <w:r>
              <w:rPr>
                <w:rFonts w:hint="eastAsia"/>
                <w:b/>
                <w:bCs/>
                <w:color w:val="auto"/>
                <w:sz w:val="24"/>
                <w:u w:val="single"/>
                <w:lang w:val="en-US" w:eastAsia="zh-CN"/>
              </w:rPr>
              <w:t>35</w:t>
            </w:r>
            <w:r>
              <w:rPr>
                <w:rFonts w:hint="eastAsia"/>
                <w:b/>
                <w:bCs/>
                <w:color w:val="auto"/>
                <w:sz w:val="24"/>
                <w:u w:val="single"/>
              </w:rPr>
              <w:t>00套，水性漆料喷涂约</w:t>
            </w:r>
            <w:r>
              <w:rPr>
                <w:rFonts w:hint="eastAsia"/>
                <w:b/>
                <w:bCs/>
                <w:color w:val="auto"/>
                <w:sz w:val="24"/>
                <w:u w:val="single"/>
                <w:lang w:val="en-US" w:eastAsia="zh-CN"/>
              </w:rPr>
              <w:t>4</w:t>
            </w:r>
            <w:r>
              <w:rPr>
                <w:rFonts w:hint="eastAsia"/>
                <w:b/>
                <w:bCs/>
                <w:color w:val="auto"/>
                <w:sz w:val="24"/>
                <w:u w:val="single"/>
              </w:rPr>
              <w:t>000套，UV油漆辊涂约</w:t>
            </w:r>
            <w:r>
              <w:rPr>
                <w:rFonts w:hint="eastAsia"/>
                <w:b/>
                <w:bCs/>
                <w:color w:val="auto"/>
                <w:sz w:val="24"/>
                <w:u w:val="single"/>
                <w:lang w:val="en-US" w:eastAsia="zh-CN"/>
              </w:rPr>
              <w:t>5</w:t>
            </w:r>
            <w:r>
              <w:rPr>
                <w:rFonts w:hint="eastAsia"/>
                <w:b/>
                <w:bCs/>
                <w:color w:val="auto"/>
                <w:sz w:val="24"/>
                <w:u w:val="single"/>
              </w:rPr>
              <w:t>00套，根据客户需求</w:t>
            </w:r>
            <w:r>
              <w:rPr>
                <w:rFonts w:hint="eastAsia"/>
                <w:b/>
                <w:bCs/>
                <w:color w:val="auto"/>
                <w:sz w:val="24"/>
                <w:u w:val="single"/>
                <w:lang w:val="en-US" w:eastAsia="zh-CN"/>
              </w:rPr>
              <w:t>进行不同产品喷涂</w:t>
            </w:r>
            <w:r>
              <w:rPr>
                <w:rFonts w:hint="eastAsia"/>
                <w:b/>
                <w:bCs/>
                <w:color w:val="auto"/>
                <w:sz w:val="24"/>
                <w:u w:val="single"/>
                <w:lang w:eastAsia="zh-CN"/>
              </w:rPr>
              <w:t>。</w:t>
            </w:r>
          </w:p>
          <w:p w14:paraId="6E5761F0">
            <w:pPr>
              <w:snapToGrid w:val="0"/>
              <w:spacing w:line="360" w:lineRule="auto"/>
              <w:rPr>
                <w:b/>
                <w:bCs/>
                <w:color w:val="auto"/>
                <w:sz w:val="24"/>
              </w:rPr>
            </w:pPr>
            <w:r>
              <w:rPr>
                <w:b/>
                <w:bCs/>
                <w:color w:val="auto"/>
                <w:sz w:val="24"/>
              </w:rPr>
              <w:t>3</w:t>
            </w:r>
            <w:r>
              <w:rPr>
                <w:rFonts w:hint="eastAsia"/>
                <w:b/>
                <w:bCs/>
                <w:color w:val="auto"/>
                <w:sz w:val="24"/>
              </w:rPr>
              <w:t>、</w:t>
            </w:r>
            <w:r>
              <w:rPr>
                <w:b/>
                <w:bCs/>
                <w:color w:val="auto"/>
                <w:sz w:val="24"/>
              </w:rPr>
              <w:t>劳动定员及工作制度</w:t>
            </w:r>
          </w:p>
          <w:p w14:paraId="0BB79D93">
            <w:pPr>
              <w:snapToGrid w:val="0"/>
              <w:spacing w:line="360" w:lineRule="auto"/>
              <w:ind w:firstLine="480" w:firstLineChars="200"/>
              <w:rPr>
                <w:rFonts w:hint="eastAsia"/>
                <w:color w:val="auto"/>
                <w:sz w:val="24"/>
              </w:rPr>
            </w:pPr>
            <w:r>
              <w:rPr>
                <w:rFonts w:hint="eastAsia"/>
                <w:color w:val="auto"/>
                <w:sz w:val="24"/>
              </w:rPr>
              <w:t>本项目劳动定员50人，年工作300天，单班8h工作制，均不在厂区食宿。</w:t>
            </w:r>
          </w:p>
          <w:p w14:paraId="45E45D2D">
            <w:pPr>
              <w:snapToGrid w:val="0"/>
              <w:spacing w:line="360" w:lineRule="auto"/>
              <w:rPr>
                <w:rFonts w:hint="eastAsia"/>
                <w:b/>
                <w:bCs/>
                <w:color w:val="auto"/>
                <w:sz w:val="24"/>
              </w:rPr>
            </w:pPr>
            <w:r>
              <w:rPr>
                <w:rFonts w:hint="eastAsia"/>
                <w:b/>
                <w:bCs/>
                <w:color w:val="auto"/>
                <w:sz w:val="24"/>
              </w:rPr>
              <w:t>4、公用工程</w:t>
            </w:r>
          </w:p>
          <w:p w14:paraId="12ACD141">
            <w:pPr>
              <w:snapToGrid w:val="0"/>
              <w:spacing w:line="360" w:lineRule="auto"/>
              <w:rPr>
                <w:rFonts w:hint="eastAsia"/>
                <w:b/>
                <w:bCs/>
                <w:color w:val="auto"/>
                <w:sz w:val="24"/>
              </w:rPr>
            </w:pPr>
            <w:r>
              <w:rPr>
                <w:rFonts w:hint="eastAsia"/>
                <w:b/>
                <w:bCs/>
                <w:color w:val="auto"/>
                <w:sz w:val="24"/>
              </w:rPr>
              <w:t>4.1给排水</w:t>
            </w:r>
          </w:p>
          <w:p w14:paraId="46EF8D71">
            <w:pPr>
              <w:spacing w:line="360" w:lineRule="auto"/>
              <w:ind w:firstLine="480" w:firstLineChars="200"/>
              <w:rPr>
                <w:color w:val="auto"/>
                <w:sz w:val="24"/>
              </w:rPr>
            </w:pPr>
            <w:r>
              <w:rPr>
                <w:color w:val="auto"/>
                <w:sz w:val="24"/>
              </w:rPr>
              <w:t>（1）给水</w:t>
            </w:r>
          </w:p>
          <w:p w14:paraId="028A057D">
            <w:pPr>
              <w:spacing w:line="360" w:lineRule="auto"/>
              <w:ind w:firstLine="480" w:firstLineChars="200"/>
              <w:rPr>
                <w:rFonts w:hint="eastAsia"/>
                <w:color w:val="auto"/>
                <w:sz w:val="24"/>
              </w:rPr>
            </w:pPr>
            <w:r>
              <w:rPr>
                <w:rFonts w:hint="eastAsia"/>
                <w:color w:val="auto"/>
                <w:sz w:val="24"/>
              </w:rPr>
              <w:t>本</w:t>
            </w:r>
            <w:r>
              <w:rPr>
                <w:color w:val="auto"/>
                <w:sz w:val="24"/>
              </w:rPr>
              <w:t>项目</w:t>
            </w:r>
            <w:r>
              <w:rPr>
                <w:rFonts w:hint="eastAsia"/>
                <w:color w:val="auto"/>
                <w:sz w:val="24"/>
              </w:rPr>
              <w:t>给水主要为生活用水。</w:t>
            </w:r>
          </w:p>
          <w:p w14:paraId="164E930A">
            <w:pPr>
              <w:spacing w:line="360" w:lineRule="auto"/>
              <w:ind w:firstLine="480" w:firstLineChars="200"/>
              <w:rPr>
                <w:rFonts w:hint="eastAsia"/>
                <w:color w:val="auto"/>
                <w:sz w:val="24"/>
              </w:rPr>
            </w:pPr>
            <w:r>
              <w:rPr>
                <w:rFonts w:hint="eastAsia"/>
                <w:color w:val="auto"/>
                <w:sz w:val="24"/>
              </w:rPr>
              <w:t>生活用水：项目劳动定员50人，年工作300天，</w:t>
            </w:r>
            <w:r>
              <w:rPr>
                <w:rFonts w:hint="eastAsia" w:hAnsi="宋体"/>
                <w:color w:val="auto"/>
                <w:sz w:val="24"/>
              </w:rPr>
              <w:t>厂内不设食堂，</w:t>
            </w:r>
            <w:r>
              <w:rPr>
                <w:rFonts w:hint="eastAsia"/>
                <w:color w:val="auto"/>
                <w:sz w:val="24"/>
              </w:rPr>
              <w:t>参照《工业与城镇生活用水定额》（DB41/T385-2020）表48公共管理和社会组织用水定额，机关（无食堂）用水定额22m³/（人•a），则员工生活用水量1100m³/a，约3.67m³/d。</w:t>
            </w:r>
          </w:p>
          <w:p w14:paraId="0E0DB8B9">
            <w:pPr>
              <w:spacing w:line="360" w:lineRule="auto"/>
              <w:ind w:firstLine="482" w:firstLineChars="200"/>
              <w:rPr>
                <w:rFonts w:hint="default"/>
                <w:b/>
                <w:bCs/>
                <w:color w:val="auto"/>
                <w:sz w:val="24"/>
                <w:highlight w:val="none"/>
                <w:u w:val="single"/>
                <w:lang w:val="en-US"/>
              </w:rPr>
            </w:pPr>
            <w:r>
              <w:rPr>
                <w:rFonts w:hint="eastAsia"/>
                <w:b/>
                <w:bCs/>
                <w:color w:val="auto"/>
                <w:sz w:val="24"/>
                <w:highlight w:val="none"/>
                <w:u w:val="single"/>
              </w:rPr>
              <w:t>本项目水性漆采用纯净水为稀释剂，水性漆用量为</w:t>
            </w:r>
            <w:r>
              <w:rPr>
                <w:rFonts w:hint="eastAsia"/>
                <w:b/>
                <w:bCs/>
                <w:color w:val="auto"/>
                <w:sz w:val="24"/>
                <w:highlight w:val="none"/>
                <w:u w:val="single"/>
                <w:lang w:val="en-US" w:eastAsia="zh-CN"/>
              </w:rPr>
              <w:t>8.2730t</w:t>
            </w:r>
            <w:r>
              <w:rPr>
                <w:rFonts w:hint="eastAsia"/>
                <w:b/>
                <w:bCs/>
                <w:color w:val="auto"/>
                <w:sz w:val="24"/>
                <w:highlight w:val="none"/>
                <w:u w:val="single"/>
              </w:rPr>
              <w:t>/a，稀释水用量为</w:t>
            </w:r>
            <w:r>
              <w:rPr>
                <w:rFonts w:hint="eastAsia"/>
                <w:b/>
                <w:bCs/>
                <w:color w:val="auto"/>
                <w:sz w:val="24"/>
                <w:highlight w:val="none"/>
                <w:u w:val="single"/>
                <w:lang w:val="en-US" w:eastAsia="zh-CN"/>
              </w:rPr>
              <w:t>水性漆</w:t>
            </w:r>
            <w:r>
              <w:rPr>
                <w:rFonts w:hint="eastAsia"/>
                <w:b/>
                <w:bCs/>
                <w:color w:val="auto"/>
                <w:sz w:val="24"/>
                <w:highlight w:val="none"/>
                <w:u w:val="single"/>
              </w:rPr>
              <w:t>用量的10%，即稀释水用量为</w:t>
            </w:r>
            <w:r>
              <w:rPr>
                <w:rFonts w:hint="eastAsia"/>
                <w:b/>
                <w:bCs/>
                <w:color w:val="auto"/>
                <w:sz w:val="24"/>
                <w:highlight w:val="none"/>
                <w:u w:val="single"/>
                <w:lang w:val="en-US" w:eastAsia="zh-CN"/>
              </w:rPr>
              <w:t>0.8273</w:t>
            </w:r>
            <w:r>
              <w:rPr>
                <w:rFonts w:hint="eastAsia"/>
                <w:b/>
                <w:bCs/>
                <w:color w:val="auto"/>
                <w:sz w:val="24"/>
                <w:highlight w:val="none"/>
                <w:u w:val="single"/>
              </w:rPr>
              <w:t>t/a，稀释水为</w:t>
            </w:r>
            <w:r>
              <w:rPr>
                <w:rFonts w:hint="eastAsia"/>
                <w:b/>
                <w:bCs/>
                <w:color w:val="auto"/>
                <w:sz w:val="24"/>
                <w:highlight w:val="none"/>
                <w:u w:val="single"/>
                <w:lang w:val="en-US" w:eastAsia="zh-CN"/>
              </w:rPr>
              <w:t>饮水机制备水</w:t>
            </w:r>
            <w:r>
              <w:rPr>
                <w:rFonts w:hint="eastAsia"/>
                <w:b/>
                <w:bCs/>
                <w:color w:val="auto"/>
                <w:sz w:val="24"/>
                <w:highlight w:val="none"/>
                <w:u w:val="single"/>
              </w:rPr>
              <w:t>。</w:t>
            </w:r>
            <w:r>
              <w:rPr>
                <w:rFonts w:hint="eastAsia"/>
                <w:b/>
                <w:bCs/>
                <w:color w:val="auto"/>
                <w:sz w:val="24"/>
                <w:highlight w:val="none"/>
                <w:u w:val="single"/>
                <w:lang w:val="en-US" w:eastAsia="zh-CN"/>
              </w:rPr>
              <w:t>饮水机制备率70%，则需新鲜用水1.1819t/a。</w:t>
            </w:r>
          </w:p>
          <w:p w14:paraId="65F8114A">
            <w:pPr>
              <w:spacing w:line="360" w:lineRule="auto"/>
              <w:ind w:firstLine="480" w:firstLineChars="200"/>
              <w:rPr>
                <w:rFonts w:hint="eastAsia"/>
                <w:color w:val="auto"/>
                <w:sz w:val="24"/>
              </w:rPr>
            </w:pPr>
            <w:r>
              <w:rPr>
                <w:rFonts w:hint="eastAsia"/>
                <w:color w:val="auto"/>
                <w:sz w:val="24"/>
              </w:rPr>
              <w:t>（2）排水</w:t>
            </w:r>
          </w:p>
          <w:p w14:paraId="50A9F8CF">
            <w:pPr>
              <w:spacing w:line="360" w:lineRule="auto"/>
              <w:ind w:firstLine="482" w:firstLineChars="200"/>
              <w:rPr>
                <w:rFonts w:hint="default" w:eastAsia="宋体"/>
                <w:color w:val="auto"/>
                <w:sz w:val="24"/>
                <w:lang w:val="en-US" w:eastAsia="zh-CN"/>
              </w:rPr>
            </w:pPr>
            <w:r>
              <w:rPr>
                <w:rFonts w:hint="eastAsia"/>
                <w:b/>
                <w:bCs/>
                <w:color w:val="auto"/>
                <w:sz w:val="24"/>
                <w:u w:val="single"/>
              </w:rPr>
              <w:t>本项目</w:t>
            </w:r>
            <w:r>
              <w:rPr>
                <w:rFonts w:hint="eastAsia"/>
                <w:b/>
                <w:bCs/>
                <w:color w:val="auto"/>
                <w:sz w:val="24"/>
                <w:u w:val="single"/>
                <w:lang w:val="en-US" w:eastAsia="zh-CN"/>
              </w:rPr>
              <w:t>废水主要为制备废水和生活污水，制备废水与</w:t>
            </w:r>
            <w:r>
              <w:rPr>
                <w:rFonts w:hint="eastAsia"/>
                <w:b/>
                <w:bCs/>
                <w:color w:val="auto"/>
                <w:sz w:val="24"/>
                <w:u w:val="single"/>
              </w:rPr>
              <w:t>生活污水</w:t>
            </w:r>
            <w:r>
              <w:rPr>
                <w:rFonts w:hint="eastAsia"/>
                <w:b/>
                <w:bCs/>
                <w:color w:val="auto"/>
                <w:sz w:val="24"/>
                <w:u w:val="single"/>
                <w:lang w:val="en-US" w:eastAsia="zh-CN"/>
              </w:rPr>
              <w:t>一起</w:t>
            </w:r>
            <w:r>
              <w:rPr>
                <w:rFonts w:hint="eastAsia"/>
                <w:color w:val="auto"/>
                <w:sz w:val="24"/>
              </w:rPr>
              <w:t>经化粪池</w:t>
            </w:r>
            <w:r>
              <w:rPr>
                <w:rFonts w:hint="eastAsia"/>
                <w:color w:val="auto"/>
                <w:sz w:val="24"/>
                <w:lang w:eastAsia="zh-CN"/>
              </w:rPr>
              <w:t>（</w:t>
            </w:r>
            <w:r>
              <w:rPr>
                <w:rFonts w:hint="eastAsia"/>
                <w:color w:val="auto"/>
                <w:sz w:val="24"/>
                <w:lang w:val="en-US" w:eastAsia="zh-CN"/>
              </w:rPr>
              <w:t>自建</w:t>
            </w:r>
            <w:r>
              <w:rPr>
                <w:rFonts w:hint="eastAsia"/>
                <w:color w:val="auto"/>
                <w:szCs w:val="21"/>
                <w:lang w:val="en-US" w:eastAsia="zh-CN"/>
              </w:rPr>
              <w:t>，</w:t>
            </w:r>
            <w:r>
              <w:rPr>
                <w:rFonts w:hint="eastAsia"/>
                <w:color w:val="auto"/>
                <w:lang w:val="en-US" w:eastAsia="zh-CN"/>
              </w:rPr>
              <w:t>12m</w:t>
            </w:r>
            <w:r>
              <w:rPr>
                <w:rFonts w:hint="eastAsia"/>
                <w:color w:val="auto"/>
                <w:vertAlign w:val="superscript"/>
                <w:lang w:val="en-US" w:eastAsia="zh-CN"/>
              </w:rPr>
              <w:t>3</w:t>
            </w:r>
            <w:r>
              <w:rPr>
                <w:rFonts w:hint="eastAsia"/>
                <w:color w:val="auto"/>
                <w:sz w:val="24"/>
                <w:lang w:eastAsia="zh-CN"/>
              </w:rPr>
              <w:t>）</w:t>
            </w:r>
            <w:r>
              <w:rPr>
                <w:rFonts w:hint="eastAsia"/>
                <w:color w:val="auto"/>
                <w:sz w:val="24"/>
              </w:rPr>
              <w:t>收集处理后，排入清丰中州水务有限公司第二污水处理厂进一步处理，处理后排入潴龙河。生活污水产污系数按0.8计，则生活污水量为880m</w:t>
            </w:r>
            <w:r>
              <w:rPr>
                <w:rFonts w:hint="eastAsia"/>
                <w:color w:val="auto"/>
                <w:sz w:val="24"/>
                <w:vertAlign w:val="superscript"/>
              </w:rPr>
              <w:t>3</w:t>
            </w:r>
            <w:r>
              <w:rPr>
                <w:rFonts w:hint="eastAsia"/>
                <w:color w:val="auto"/>
                <w:sz w:val="24"/>
              </w:rPr>
              <w:t>/a，约2.94m</w:t>
            </w:r>
            <w:r>
              <w:rPr>
                <w:rFonts w:hint="eastAsia"/>
                <w:color w:val="auto"/>
                <w:sz w:val="24"/>
                <w:vertAlign w:val="superscript"/>
              </w:rPr>
              <w:t>3</w:t>
            </w:r>
            <w:r>
              <w:rPr>
                <w:rFonts w:hint="eastAsia"/>
                <w:color w:val="auto"/>
                <w:sz w:val="24"/>
              </w:rPr>
              <w:t>/d。</w:t>
            </w:r>
            <w:r>
              <w:rPr>
                <w:rFonts w:hint="eastAsia"/>
                <w:b/>
                <w:bCs/>
                <w:color w:val="auto"/>
                <w:sz w:val="24"/>
                <w:u w:val="single"/>
                <w:lang w:val="en-US" w:eastAsia="zh-CN"/>
              </w:rPr>
              <w:t>饮水机制备率为70%，则制备废水产生量为0.3546t/a。</w:t>
            </w:r>
          </w:p>
          <w:p w14:paraId="097EF89E">
            <w:pPr>
              <w:pStyle w:val="32"/>
              <w:keepNext w:val="0"/>
              <w:keepLines w:val="0"/>
              <w:pageBreakBefore w:val="0"/>
              <w:widowControl w:val="0"/>
              <w:kinsoku/>
              <w:wordWrap/>
              <w:overflowPunct/>
              <w:topLinePunct w:val="0"/>
              <w:autoSpaceDE w:val="0"/>
              <w:autoSpaceDN w:val="0"/>
              <w:bidi w:val="0"/>
              <w:adjustRightInd w:val="0"/>
              <w:snapToGrid w:val="0"/>
              <w:spacing w:beforeLines="0" w:line="240" w:lineRule="auto"/>
              <w:jc w:val="center"/>
              <w:textAlignment w:val="auto"/>
              <w:outlineLvl w:val="9"/>
              <w:rPr>
                <w:rFonts w:hint="default" w:eastAsia="宋体"/>
                <w:b/>
                <w:bCs/>
                <w:color w:val="auto"/>
                <w:sz w:val="24"/>
                <w:lang w:val="en-US" w:eastAsia="zh-CN"/>
              </w:rPr>
            </w:pPr>
            <w:r>
              <w:rPr>
                <w:rFonts w:ascii="Times New Roman" w:hAnsi="Times New Roman"/>
                <w:color w:val="auto"/>
                <w:sz w:val="24"/>
              </w:rPr>
              <mc:AlternateContent>
                <mc:Choice Requires="wpc">
                  <w:drawing>
                    <wp:inline distT="0" distB="0" distL="114300" distR="114300">
                      <wp:extent cx="5510530" cy="1552575"/>
                      <wp:effectExtent l="6350" t="6350" r="7620" b="22225"/>
                      <wp:docPr id="16" name="画布 1483"/>
                      <wp:cNvGraphicFramePr/>
                      <a:graphic xmlns:a="http://schemas.openxmlformats.org/drawingml/2006/main">
                        <a:graphicData uri="http://schemas.microsoft.com/office/word/2010/wordprocessingCanvas">
                          <wpc:wpc>
                            <wpc:bg>
                              <a:noFill/>
                            </wpc:bg>
                            <wpc:whole>
                              <a:ln w="12700" cap="flat" cmpd="sng">
                                <a:solidFill>
                                  <a:srgbClr val="000000"/>
                                </a:solidFill>
                                <a:prstDash val="solid"/>
                                <a:miter/>
                                <a:headEnd type="none" w="med" len="med"/>
                                <a:tailEnd type="none" w="med" len="med"/>
                              </a:ln>
                            </wpc:whole>
                            <wps:wsp>
                              <wps:cNvPr id="176" name="文本框 1485"/>
                              <wps:cNvSpPr txBox="1"/>
                              <wps:spPr>
                                <a:xfrm>
                                  <a:off x="1289685" y="565150"/>
                                  <a:ext cx="857885" cy="217170"/>
                                </a:xfrm>
                                <a:prstGeom prst="rect">
                                  <a:avLst/>
                                </a:prstGeom>
                                <a:solidFill>
                                  <a:srgbClr val="FFFFFF"/>
                                </a:solidFill>
                                <a:ln w="19050" cap="flat" cmpd="sng">
                                  <a:solidFill>
                                    <a:srgbClr val="000000"/>
                                  </a:solidFill>
                                  <a:prstDash val="solid"/>
                                  <a:miter/>
                                  <a:headEnd type="none" w="med" len="med"/>
                                  <a:tailEnd type="none" w="med" len="med"/>
                                </a:ln>
                              </wps:spPr>
                              <wps:txbx>
                                <w:txbxContent>
                                  <w:p w14:paraId="20E88420">
                                    <w:pPr>
                                      <w:jc w:val="center"/>
                                      <w:rPr>
                                        <w:rFonts w:hint="eastAsia"/>
                                      </w:rPr>
                                    </w:pPr>
                                    <w:r>
                                      <w:rPr>
                                        <w:rFonts w:hint="eastAsia"/>
                                      </w:rPr>
                                      <w:t>生活用水</w:t>
                                    </w:r>
                                  </w:p>
                                </w:txbxContent>
                              </wps:txbx>
                              <wps:bodyPr vert="horz" wrap="square" lIns="0" tIns="0" rIns="0" bIns="0" anchor="t" anchorCtr="0" upright="1"/>
                            </wps:wsp>
                            <wps:wsp>
                              <wps:cNvPr id="177" name="直线 1486"/>
                              <wps:cNvCnPr/>
                              <wps:spPr>
                                <a:xfrm>
                                  <a:off x="2150745" y="678815"/>
                                  <a:ext cx="774700" cy="0"/>
                                </a:xfrm>
                                <a:prstGeom prst="line">
                                  <a:avLst/>
                                </a:prstGeom>
                                <a:ln w="19050" cap="flat" cmpd="sng">
                                  <a:solidFill>
                                    <a:srgbClr val="000000"/>
                                  </a:solidFill>
                                  <a:prstDash val="solid"/>
                                  <a:headEnd type="none" w="med" len="med"/>
                                  <a:tailEnd type="triangle" w="med" len="med"/>
                                </a:ln>
                              </wps:spPr>
                              <wps:bodyPr upright="1"/>
                            </wps:wsp>
                            <wps:wsp>
                              <wps:cNvPr id="178" name="文本框 1487"/>
                              <wps:cNvSpPr txBox="1"/>
                              <wps:spPr>
                                <a:xfrm>
                                  <a:off x="2919730" y="575945"/>
                                  <a:ext cx="587375" cy="215900"/>
                                </a:xfrm>
                                <a:prstGeom prst="rect">
                                  <a:avLst/>
                                </a:prstGeom>
                                <a:solidFill>
                                  <a:srgbClr val="FFFFFF"/>
                                </a:solidFill>
                                <a:ln w="19050" cap="flat" cmpd="sng">
                                  <a:solidFill>
                                    <a:srgbClr val="000000"/>
                                  </a:solidFill>
                                  <a:prstDash val="solid"/>
                                  <a:miter/>
                                  <a:headEnd type="none" w="med" len="med"/>
                                  <a:tailEnd type="none" w="med" len="med"/>
                                </a:ln>
                              </wps:spPr>
                              <wps:txbx>
                                <w:txbxContent>
                                  <w:p w14:paraId="2DC3C8C7">
                                    <w:pPr>
                                      <w:jc w:val="center"/>
                                    </w:pPr>
                                    <w:r>
                                      <w:rPr>
                                        <w:rFonts w:hint="eastAsia"/>
                                      </w:rPr>
                                      <w:t>化粪池</w:t>
                                    </w:r>
                                  </w:p>
                                </w:txbxContent>
                              </wps:txbx>
                              <wps:bodyPr vert="horz" wrap="square" lIns="0" tIns="0" rIns="0" bIns="0" anchor="t" anchorCtr="0" upright="1"/>
                            </wps:wsp>
                            <wps:wsp>
                              <wps:cNvPr id="179" name="直线 1488"/>
                              <wps:cNvCnPr/>
                              <wps:spPr>
                                <a:xfrm>
                                  <a:off x="3514090" y="685800"/>
                                  <a:ext cx="721360" cy="635"/>
                                </a:xfrm>
                                <a:prstGeom prst="line">
                                  <a:avLst/>
                                </a:prstGeom>
                                <a:ln w="19050" cap="flat" cmpd="sng">
                                  <a:solidFill>
                                    <a:srgbClr val="000000"/>
                                  </a:solidFill>
                                  <a:prstDash val="solid"/>
                                  <a:headEnd type="none" w="med" len="med"/>
                                  <a:tailEnd type="triangle" w="med" len="med"/>
                                </a:ln>
                              </wps:spPr>
                              <wps:bodyPr upright="1"/>
                            </wps:wsp>
                            <wps:wsp>
                              <wps:cNvPr id="180" name="文本框 1490"/>
                              <wps:cNvSpPr txBox="1"/>
                              <wps:spPr>
                                <a:xfrm>
                                  <a:off x="876300" y="493395"/>
                                  <a:ext cx="483870" cy="214630"/>
                                </a:xfrm>
                                <a:prstGeom prst="rect">
                                  <a:avLst/>
                                </a:prstGeom>
                                <a:noFill/>
                                <a:ln>
                                  <a:noFill/>
                                </a:ln>
                              </wps:spPr>
                              <wps:txbx>
                                <w:txbxContent>
                                  <w:p w14:paraId="5D5FBB23">
                                    <w:pPr>
                                      <w:jc w:val="center"/>
                                      <w:rPr>
                                        <w:rFonts w:hint="default" w:ascii="Times New Roman" w:hAnsi="Times New Roman" w:eastAsia="宋体"/>
                                        <w:lang w:val="en-US" w:eastAsia="zh-CN"/>
                                      </w:rPr>
                                    </w:pPr>
                                    <w:r>
                                      <w:rPr>
                                        <w:rFonts w:hint="eastAsia" w:ascii="Times New Roman" w:hAnsi="Times New Roman"/>
                                        <w:lang w:val="en-US" w:eastAsia="zh-CN"/>
                                      </w:rPr>
                                      <w:t>1100</w:t>
                                    </w:r>
                                  </w:p>
                                </w:txbxContent>
                              </wps:txbx>
                              <wps:bodyPr vert="horz" wrap="square" lIns="0" tIns="0" rIns="0" bIns="0" anchor="t" anchorCtr="0" upright="1"/>
                            </wps:wsp>
                            <wps:wsp>
                              <wps:cNvPr id="181" name="文本框 1492"/>
                              <wps:cNvSpPr txBox="1"/>
                              <wps:spPr>
                                <a:xfrm>
                                  <a:off x="2350770" y="473075"/>
                                  <a:ext cx="482600" cy="190500"/>
                                </a:xfrm>
                                <a:prstGeom prst="rect">
                                  <a:avLst/>
                                </a:prstGeom>
                                <a:solidFill>
                                  <a:srgbClr val="FFFFFF"/>
                                </a:solidFill>
                                <a:ln>
                                  <a:noFill/>
                                </a:ln>
                              </wps:spPr>
                              <wps:txbx>
                                <w:txbxContent>
                                  <w:p w14:paraId="76852064">
                                    <w:pPr>
                                      <w:jc w:val="center"/>
                                      <w:rPr>
                                        <w:rFonts w:hint="default" w:ascii="Times New Roman" w:hAnsi="Times New Roman" w:eastAsia="宋体"/>
                                        <w:lang w:val="en-US" w:eastAsia="zh-CN"/>
                                      </w:rPr>
                                    </w:pPr>
                                    <w:r>
                                      <w:rPr>
                                        <w:rFonts w:hint="eastAsia" w:ascii="Times New Roman" w:hAnsi="Times New Roman"/>
                                        <w:lang w:val="en-US" w:eastAsia="zh-CN"/>
                                      </w:rPr>
                                      <w:t>880</w:t>
                                    </w:r>
                                  </w:p>
                                </w:txbxContent>
                              </wps:txbx>
                              <wps:bodyPr vert="horz" wrap="square" lIns="0" tIns="0" rIns="0" bIns="0" anchor="t" anchorCtr="0" upright="1"/>
                            </wps:wsp>
                            <wps:wsp>
                              <wps:cNvPr id="182" name="自选图形 1493"/>
                              <wps:cNvSpPr/>
                              <wps:spPr>
                                <a:xfrm>
                                  <a:off x="1787525" y="240030"/>
                                  <a:ext cx="578485" cy="243840"/>
                                </a:xfrm>
                                <a:prstGeom prst="cloudCallout">
                                  <a:avLst>
                                    <a:gd name="adj1" fmla="val -43750"/>
                                    <a:gd name="adj2" fmla="val 70000"/>
                                  </a:avLst>
                                </a:prstGeom>
                                <a:solidFill>
                                  <a:srgbClr val="FFFFFF"/>
                                </a:solidFill>
                                <a:ln w="9525" cap="flat" cmpd="sng">
                                  <a:solidFill>
                                    <a:srgbClr val="000000"/>
                                  </a:solidFill>
                                  <a:prstDash val="solid"/>
                                  <a:headEnd type="none" w="med" len="med"/>
                                  <a:tailEnd type="none" w="med" len="med"/>
                                </a:ln>
                              </wps:spPr>
                              <wps:txbx>
                                <w:txbxContent>
                                  <w:p w14:paraId="37B257DA">
                                    <w:pPr>
                                      <w:jc w:val="center"/>
                                      <w:rPr>
                                        <w:rFonts w:hint="default" w:ascii="Times New Roman" w:hAnsi="Times New Roman" w:eastAsia="宋体"/>
                                        <w:lang w:val="en-US" w:eastAsia="zh-CN"/>
                                      </w:rPr>
                                    </w:pPr>
                                    <w:r>
                                      <w:rPr>
                                        <w:rFonts w:hint="eastAsia" w:ascii="Times New Roman" w:hAnsi="Times New Roman"/>
                                        <w:lang w:val="en-US" w:eastAsia="zh-CN"/>
                                      </w:rPr>
                                      <w:t>220</w:t>
                                    </w:r>
                                  </w:p>
                                </w:txbxContent>
                              </wps:txbx>
                              <wps:bodyPr vert="horz" wrap="square" lIns="0" tIns="0" rIns="0" bIns="0" anchor="t" anchorCtr="0" upright="1">
                                <a:spAutoFit/>
                              </wps:bodyPr>
                            </wps:wsp>
                            <wps:wsp>
                              <wps:cNvPr id="183" name="文本框 1496"/>
                              <wps:cNvSpPr txBox="1"/>
                              <wps:spPr>
                                <a:xfrm>
                                  <a:off x="1281430" y="1161415"/>
                                  <a:ext cx="850900" cy="215900"/>
                                </a:xfrm>
                                <a:prstGeom prst="rect">
                                  <a:avLst/>
                                </a:prstGeom>
                                <a:solidFill>
                                  <a:srgbClr val="FFFFFF"/>
                                </a:solidFill>
                                <a:ln w="19050" cap="flat" cmpd="sng">
                                  <a:solidFill>
                                    <a:srgbClr val="000000"/>
                                  </a:solidFill>
                                  <a:prstDash val="solid"/>
                                  <a:miter/>
                                  <a:headEnd type="none" w="med" len="med"/>
                                  <a:tailEnd type="none" w="med" len="med"/>
                                </a:ln>
                              </wps:spPr>
                              <wps:txbx>
                                <w:txbxContent>
                                  <w:p w14:paraId="2C771646">
                                    <w:pPr>
                                      <w:jc w:val="center"/>
                                      <w:rPr>
                                        <w:rFonts w:hint="default" w:eastAsia="宋体"/>
                                        <w:lang w:val="en-US" w:eastAsia="zh-CN"/>
                                      </w:rPr>
                                    </w:pPr>
                                    <w:r>
                                      <w:rPr>
                                        <w:rFonts w:hint="eastAsia"/>
                                        <w:lang w:val="en-US" w:eastAsia="zh-CN"/>
                                      </w:rPr>
                                      <w:t>水性漆稀释</w:t>
                                    </w:r>
                                  </w:p>
                                </w:txbxContent>
                              </wps:txbx>
                              <wps:bodyPr vert="horz" wrap="square" lIns="0" tIns="0" rIns="0" bIns="0" anchor="t" anchorCtr="0" upright="1"/>
                            </wps:wsp>
                            <wps:wsp>
                              <wps:cNvPr id="184" name="文本框 1502"/>
                              <wps:cNvSpPr txBox="1"/>
                              <wps:spPr>
                                <a:xfrm>
                                  <a:off x="4217670" y="407035"/>
                                  <a:ext cx="1282700" cy="567055"/>
                                </a:xfrm>
                                <a:prstGeom prst="rect">
                                  <a:avLst/>
                                </a:prstGeom>
                                <a:solidFill>
                                  <a:srgbClr val="FFFFFF"/>
                                </a:solidFill>
                                <a:ln w="19050">
                                  <a:noFill/>
                                </a:ln>
                              </wps:spPr>
                              <wps:txbx>
                                <w:txbxContent>
                                  <w:p w14:paraId="21EC12E5">
                                    <w:pPr>
                                      <w:jc w:val="center"/>
                                      <w:rPr>
                                        <w:rFonts w:hint="eastAsia"/>
                                      </w:rPr>
                                    </w:pPr>
                                    <w:r>
                                      <w:rPr>
                                        <w:rFonts w:hint="eastAsia"/>
                                      </w:rPr>
                                      <w:t>清丰中州水务有限公司第二污水处理厂进一步处理</w:t>
                                    </w:r>
                                  </w:p>
                                </w:txbxContent>
                              </wps:txbx>
                              <wps:bodyPr vert="horz" wrap="square" lIns="0" tIns="0" rIns="0" bIns="0" anchor="t" anchorCtr="0" upright="1"/>
                            </wps:wsp>
                            <wps:wsp>
                              <wps:cNvPr id="185" name="文本框 1503"/>
                              <wps:cNvSpPr txBox="1"/>
                              <wps:spPr>
                                <a:xfrm>
                                  <a:off x="824230" y="1056005"/>
                                  <a:ext cx="482600" cy="165735"/>
                                </a:xfrm>
                                <a:prstGeom prst="rect">
                                  <a:avLst/>
                                </a:prstGeom>
                                <a:noFill/>
                                <a:ln>
                                  <a:noFill/>
                                </a:ln>
                              </wps:spPr>
                              <wps:txbx>
                                <w:txbxContent>
                                  <w:p w14:paraId="6DDE972D">
                                    <w:pPr>
                                      <w:jc w:val="center"/>
                                      <w:rPr>
                                        <w:rFonts w:hint="default" w:ascii="Times New Roman" w:hAnsi="Times New Roman" w:eastAsia="宋体"/>
                                        <w:lang w:val="en-US" w:eastAsia="zh-CN"/>
                                      </w:rPr>
                                    </w:pPr>
                                    <w:r>
                                      <w:rPr>
                                        <w:rFonts w:hint="eastAsia"/>
                                        <w:lang w:val="en-US" w:eastAsia="zh-CN"/>
                                      </w:rPr>
                                      <w:t>1.1819</w:t>
                                    </w:r>
                                  </w:p>
                                </w:txbxContent>
                              </wps:txbx>
                              <wps:bodyPr vert="horz" wrap="square" lIns="0" tIns="0" rIns="0" bIns="0" anchor="t" anchorCtr="0" upright="1"/>
                            </wps:wsp>
                            <wps:wsp>
                              <wps:cNvPr id="186" name="直线 1494"/>
                              <wps:cNvCnPr/>
                              <wps:spPr>
                                <a:xfrm>
                                  <a:off x="2151380" y="1275080"/>
                                  <a:ext cx="474980" cy="635"/>
                                </a:xfrm>
                                <a:prstGeom prst="line">
                                  <a:avLst/>
                                </a:prstGeom>
                                <a:ln w="19050" cap="flat" cmpd="sng">
                                  <a:solidFill>
                                    <a:srgbClr val="000000"/>
                                  </a:solidFill>
                                  <a:prstDash val="solid"/>
                                  <a:headEnd type="none" w="med" len="med"/>
                                  <a:tailEnd type="triangle" w="med" len="med"/>
                                </a:ln>
                              </wps:spPr>
                              <wps:bodyPr upright="1"/>
                            </wps:wsp>
                            <wps:wsp>
                              <wps:cNvPr id="187" name="文本框 1487"/>
                              <wps:cNvSpPr txBox="1"/>
                              <wps:spPr>
                                <a:xfrm>
                                  <a:off x="2599055" y="1160780"/>
                                  <a:ext cx="587375" cy="215900"/>
                                </a:xfrm>
                                <a:prstGeom prst="rect">
                                  <a:avLst/>
                                </a:prstGeom>
                                <a:solidFill>
                                  <a:srgbClr val="FFFFFF"/>
                                </a:solidFill>
                                <a:ln w="19050" cap="flat" cmpd="sng">
                                  <a:solidFill>
                                    <a:srgbClr val="000000"/>
                                  </a:solidFill>
                                  <a:prstDash val="solid"/>
                                  <a:miter/>
                                  <a:headEnd type="none" w="med" len="med"/>
                                  <a:tailEnd type="none" w="med" len="med"/>
                                </a:ln>
                              </wps:spPr>
                              <wps:txbx>
                                <w:txbxContent>
                                  <w:p w14:paraId="6F1AF361">
                                    <w:pPr>
                                      <w:jc w:val="center"/>
                                      <w:rPr>
                                        <w:rFonts w:hint="eastAsia" w:eastAsia="宋体"/>
                                        <w:lang w:val="en-US" w:eastAsia="zh-CN"/>
                                      </w:rPr>
                                    </w:pPr>
                                    <w:r>
                                      <w:rPr>
                                        <w:rFonts w:hint="eastAsia"/>
                                        <w:lang w:val="en-US" w:eastAsia="zh-CN"/>
                                      </w:rPr>
                                      <w:t>进入产品</w:t>
                                    </w:r>
                                  </w:p>
                                </w:txbxContent>
                              </wps:txbx>
                              <wps:bodyPr vert="horz" wrap="square" lIns="0" tIns="0" rIns="0" bIns="0" anchor="t" anchorCtr="0" upright="1"/>
                            </wps:wsp>
                            <wps:wsp>
                              <wps:cNvPr id="188" name="文本框 1492"/>
                              <wps:cNvSpPr txBox="1"/>
                              <wps:spPr>
                                <a:xfrm>
                                  <a:off x="2122805" y="1123950"/>
                                  <a:ext cx="482600" cy="190500"/>
                                </a:xfrm>
                                <a:prstGeom prst="rect">
                                  <a:avLst/>
                                </a:prstGeom>
                                <a:noFill/>
                                <a:ln>
                                  <a:noFill/>
                                </a:ln>
                              </wps:spPr>
                              <wps:txbx>
                                <w:txbxContent>
                                  <w:p w14:paraId="4A75E200">
                                    <w:pPr>
                                      <w:jc w:val="center"/>
                                      <w:rPr>
                                        <w:rFonts w:hint="default" w:ascii="Times New Roman" w:hAnsi="Times New Roman" w:eastAsia="宋体"/>
                                        <w:lang w:val="en-US" w:eastAsia="zh-CN"/>
                                      </w:rPr>
                                    </w:pPr>
                                    <w:r>
                                      <w:rPr>
                                        <w:rFonts w:hint="default" w:ascii="Times New Roman" w:hAnsi="Times New Roman"/>
                                        <w:lang w:val="en-US" w:eastAsia="zh-CN"/>
                                      </w:rPr>
                                      <w:t>0.8273</w:t>
                                    </w:r>
                                  </w:p>
                                </w:txbxContent>
                              </wps:txbx>
                              <wps:bodyPr vert="horz" wrap="square" lIns="0" tIns="0" rIns="0" bIns="0" anchor="t" anchorCtr="0" upright="1"/>
                            </wps:wsp>
                            <wps:wsp>
                              <wps:cNvPr id="189" name="肘形连接符 154"/>
                              <wps:cNvCnPr>
                                <a:stCxn id="10" idx="1"/>
                                <a:endCxn id="145" idx="1"/>
                              </wps:cNvCnPr>
                              <wps:spPr>
                                <a:xfrm rot="10800000" flipH="1" flipV="1">
                                  <a:off x="1299210" y="673735"/>
                                  <a:ext cx="3175" cy="595630"/>
                                </a:xfrm>
                                <a:prstGeom prst="bentConnector3">
                                  <a:avLst>
                                    <a:gd name="adj1" fmla="val -14240000"/>
                                  </a:avLst>
                                </a:prstGeom>
                                <a:ln w="12700">
                                  <a:solidFill>
                                    <a:schemeClr val="tx1"/>
                                  </a:solidFill>
                                  <a:headEnd type="triangle" w="med" len="med"/>
                                  <a:tailEnd type="triangle" w="med" len="med"/>
                                </a:ln>
                              </wps:spPr>
                              <wps:style>
                                <a:lnRef idx="2">
                                  <a:schemeClr val="accent1"/>
                                </a:lnRef>
                                <a:fillRef idx="0">
                                  <a:srgbClr val="FFFFFF"/>
                                </a:fillRef>
                                <a:effectRef idx="0">
                                  <a:srgbClr val="FFFFFF"/>
                                </a:effectRef>
                                <a:fontRef idx="minor">
                                  <a:schemeClr val="tx1"/>
                                </a:fontRef>
                              </wps:style>
                              <wps:bodyPr/>
                            </wps:wsp>
                            <wps:wsp>
                              <wps:cNvPr id="190" name="直接箭头连接符 155"/>
                              <wps:cNvCnPr/>
                              <wps:spPr>
                                <a:xfrm>
                                  <a:off x="143510" y="969645"/>
                                  <a:ext cx="714375" cy="0"/>
                                </a:xfrm>
                                <a:prstGeom prst="straightConnector1">
                                  <a:avLst/>
                                </a:prstGeom>
                                <a:ln w="1270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91" name="文本框 1490"/>
                              <wps:cNvSpPr txBox="1"/>
                              <wps:spPr>
                                <a:xfrm>
                                  <a:off x="95250" y="617855"/>
                                  <a:ext cx="741680" cy="376555"/>
                                </a:xfrm>
                                <a:prstGeom prst="rect">
                                  <a:avLst/>
                                </a:prstGeom>
                                <a:noFill/>
                                <a:ln>
                                  <a:noFill/>
                                </a:ln>
                              </wps:spPr>
                              <wps:txbx>
                                <w:txbxContent>
                                  <w:p w14:paraId="5B4FA697">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lang w:val="en-US" w:eastAsia="zh-CN"/>
                                      </w:rPr>
                                    </w:pPr>
                                    <w:r>
                                      <w:rPr>
                                        <w:rFonts w:hint="eastAsia" w:ascii="Times New Roman" w:hAnsi="Times New Roman" w:eastAsia="宋体"/>
                                        <w:lang w:val="en-US" w:eastAsia="zh-CN"/>
                                      </w:rPr>
                                      <w:t>新鲜水</w:t>
                                    </w:r>
                                  </w:p>
                                  <w:p w14:paraId="72D3F466">
                                    <w:pPr>
                                      <w:pStyle w:val="32"/>
                                      <w:keepNext w:val="0"/>
                                      <w:keepLines w:val="0"/>
                                      <w:pageBreakBefore w:val="0"/>
                                      <w:widowControl w:val="0"/>
                                      <w:kinsoku/>
                                      <w:wordWrap/>
                                      <w:overflowPunct/>
                                      <w:topLinePunct w:val="0"/>
                                      <w:bidi w:val="0"/>
                                      <w:snapToGrid/>
                                      <w:spacing w:beforeLines="0" w:afterLines="0" w:line="240" w:lineRule="auto"/>
                                      <w:jc w:val="center"/>
                                      <w:textAlignment w:val="auto"/>
                                      <w:rPr>
                                        <w:rFonts w:hint="default"/>
                                        <w:b w:val="0"/>
                                        <w:bCs/>
                                        <w:sz w:val="21"/>
                                        <w:szCs w:val="21"/>
                                        <w:lang w:val="en-US" w:eastAsia="zh-CN"/>
                                      </w:rPr>
                                    </w:pPr>
                                    <w:r>
                                      <w:rPr>
                                        <w:rFonts w:hint="eastAsia" w:ascii="Times New Roman" w:hAnsi="Times New Roman" w:eastAsia="宋体"/>
                                        <w:b w:val="0"/>
                                        <w:bCs/>
                                        <w:sz w:val="21"/>
                                        <w:szCs w:val="21"/>
                                        <w:lang w:val="en-US" w:eastAsia="zh-CN"/>
                                      </w:rPr>
                                      <w:t>1101.1819</w:t>
                                    </w:r>
                                  </w:p>
                                </w:txbxContent>
                              </wps:txbx>
                              <wps:bodyPr vert="horz" wrap="square" lIns="0" tIns="0" rIns="0" bIns="0" anchor="t" anchorCtr="0" upright="1"/>
                            </wps:wsp>
                            <wps:wsp>
                              <wps:cNvPr id="2" name="肘形连接符 2"/>
                              <wps:cNvCnPr/>
                              <wps:spPr>
                                <a:xfrm rot="16200000">
                                  <a:off x="2332355" y="226695"/>
                                  <a:ext cx="369570" cy="1506855"/>
                                </a:xfrm>
                                <a:prstGeom prst="bentConnector3">
                                  <a:avLst>
                                    <a:gd name="adj1" fmla="val 50086"/>
                                  </a:avLst>
                                </a:prstGeom>
                                <a:ln w="190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3" name="文本框 1492"/>
                              <wps:cNvSpPr txBox="1"/>
                              <wps:spPr>
                                <a:xfrm>
                                  <a:off x="2284730" y="827405"/>
                                  <a:ext cx="482600" cy="190500"/>
                                </a:xfrm>
                                <a:prstGeom prst="rect">
                                  <a:avLst/>
                                </a:prstGeom>
                                <a:noFill/>
                                <a:ln>
                                  <a:noFill/>
                                </a:ln>
                              </wps:spPr>
                              <wps:txbx>
                                <w:txbxContent>
                                  <w:p w14:paraId="07E436D2">
                                    <w:pPr>
                                      <w:jc w:val="center"/>
                                      <w:rPr>
                                        <w:rFonts w:hint="default" w:ascii="Times New Roman" w:hAnsi="Times New Roman" w:eastAsia="宋体"/>
                                        <w:lang w:val="en-US" w:eastAsia="zh-CN"/>
                                      </w:rPr>
                                    </w:pPr>
                                    <w:r>
                                      <w:rPr>
                                        <w:rFonts w:hint="default" w:ascii="Times New Roman" w:hAnsi="Times New Roman"/>
                                        <w:lang w:val="en-US" w:eastAsia="zh-CN"/>
                                      </w:rPr>
                                      <w:t>0.</w:t>
                                    </w:r>
                                    <w:r>
                                      <w:rPr>
                                        <w:rFonts w:hint="eastAsia"/>
                                        <w:lang w:val="en-US" w:eastAsia="zh-CN"/>
                                      </w:rPr>
                                      <w:t>3546</w:t>
                                    </w:r>
                                  </w:p>
                                </w:txbxContent>
                              </wps:txbx>
                              <wps:bodyPr vert="horz" wrap="square" lIns="0" tIns="0" rIns="0" bIns="0" anchor="t" anchorCtr="0" upright="1"/>
                            </wps:wsp>
                            <wps:wsp>
                              <wps:cNvPr id="4" name="文本框 1492"/>
                              <wps:cNvSpPr txBox="1"/>
                              <wps:spPr>
                                <a:xfrm>
                                  <a:off x="3522980" y="484505"/>
                                  <a:ext cx="692150" cy="228600"/>
                                </a:xfrm>
                                <a:prstGeom prst="rect">
                                  <a:avLst/>
                                </a:prstGeom>
                                <a:noFill/>
                                <a:ln>
                                  <a:noFill/>
                                </a:ln>
                              </wps:spPr>
                              <wps:txbx>
                                <w:txbxContent>
                                  <w:p w14:paraId="520E341A">
                                    <w:pPr>
                                      <w:jc w:val="center"/>
                                      <w:rPr>
                                        <w:rFonts w:hint="default" w:ascii="Times New Roman" w:hAnsi="Times New Roman" w:eastAsia="宋体"/>
                                        <w:lang w:val="en-US" w:eastAsia="zh-CN"/>
                                      </w:rPr>
                                    </w:pPr>
                                    <w:r>
                                      <w:rPr>
                                        <w:rFonts w:hint="eastAsia"/>
                                        <w:lang w:val="en-US" w:eastAsia="zh-CN"/>
                                      </w:rPr>
                                      <w:t>880.3546</w:t>
                                    </w:r>
                                  </w:p>
                                </w:txbxContent>
                              </wps:txbx>
                              <wps:bodyPr vert="horz" wrap="square" lIns="0" tIns="0" rIns="0" bIns="0" anchor="t" anchorCtr="0" upright="1"/>
                            </wps:wsp>
                          </wpc:wpc>
                        </a:graphicData>
                      </a:graphic>
                    </wp:inline>
                  </w:drawing>
                </mc:Choice>
                <mc:Fallback>
                  <w:pict>
                    <v:group id="画布 1483" o:spid="_x0000_s1026" o:spt="203" style="height:122.25pt;width:433.9pt;" coordsize="5510530,1552575" editas="canvas" o:gfxdata="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">
                      <o:lock v:ext="edit" aspectratio="f"/>
                      <v:shape id="画布 1483" o:spid="_x0000_s1026" style="position:absolute;left:0;top:0;height:1552575;width:5510530;" filled="f" stroked="t" coordsize="21600,21600" o:gfxdata="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">
                        <v:fill on="f" focussize="0,0"/>
                        <v:stroke weight="1pt" color="#000000" joinstyle="miter"/>
                        <v:imagedata o:title=""/>
                        <o:lock v:ext="edit" aspectratio="f"/>
                      </v:shape>
                      <v:shape id="文本框 1485" o:spid="_x0000_s1026" o:spt="202" type="#_x0000_t202" style="position:absolute;left:1289685;top:565150;height:217170;width:857885;" fillcolor="#FFFFFF" filled="t" stroked="t" coordsize="21600,21600" o:gfxdata="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X6u6e1gAAAAUBAAAPAAAAAAAAAAEAIAAAACIA&#10;AABkcnMvZG93bnJldi54bWxQSwECFAAUAAAACACHTuJAWRQ62kQCAACdBAAADgAAAAAAAAABACAA&#10;AAAlAQAAZHJzL2Uyb0RvYy54bWxQSwUGAAAAAAYABgBZAQAA2wUAAAAA&#10;">
                        <v:fill on="t" focussize="0,0"/>
                        <v:stroke weight="1.5pt" color="#000000" joinstyle="miter"/>
                        <v:imagedata o:title=""/>
                        <o:lock v:ext="edit" aspectratio="f"/>
                        <v:textbox inset="0mm,0mm,0mm,0mm">
                          <w:txbxContent>
                            <w:p w14:paraId="20E88420">
                              <w:pPr>
                                <w:jc w:val="center"/>
                                <w:rPr>
                                  <w:rFonts w:hint="eastAsia"/>
                                </w:rPr>
                              </w:pPr>
                              <w:r>
                                <w:rPr>
                                  <w:rFonts w:hint="eastAsia"/>
                                </w:rPr>
                                <w:t>生活用水</w:t>
                              </w:r>
                            </w:p>
                          </w:txbxContent>
                        </v:textbox>
                      </v:shape>
                      <v:line id="直线 1486" o:spid="_x0000_s1026" o:spt="20" style="position:absolute;left:2150745;top:678815;height:0;width:774700;" filled="f" stroked="t" coordsize="21600,21600" o:gfxdata="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YzAcO1AAAAAUBAAAPAAAAAAAAAAEAIAAAACIAAABkcnMvZG93bnJl&#10;di54bWxQSwECFAAUAAAACACHTuJAUBkz0AECAADvAwAADgAAAAAAAAABACAAAAAjAQAAZHJzL2Uy&#10;b0RvYy54bWxQSwUGAAAAAAYABgBZAQAAlgUAAAAA&#10;">
                        <v:fill on="f" focussize="0,0"/>
                        <v:stroke weight="1.5pt" color="#000000" joinstyle="round" endarrow="block"/>
                        <v:imagedata o:title=""/>
                        <o:lock v:ext="edit" aspectratio="f"/>
                      </v:line>
                      <v:shape id="文本框 1487" o:spid="_x0000_s1026" o:spt="202" type="#_x0000_t202" style="position:absolute;left:2919730;top:575945;height:215900;width:587375;" fillcolor="#FFFFFF" filled="t" stroked="t" coordsize="21600,21600" o:gfxdata="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1+runtYAAAAFAQAADwAAAAAAAAABACAA&#10;AAAiAAAAZHJzL2Rvd25yZXYueG1sUEsBAhQAFAAAAAgAh07iQI6DbQdIAgAAnQQAAA4AAAAAAAAA&#10;AQAgAAAAJQEAAGRycy9lMm9Eb2MueG1sUEsFBgAAAAAGAAYAWQEAAN8FAAAAAA==&#10;">
                        <v:fill on="t" focussize="0,0"/>
                        <v:stroke weight="1.5pt" color="#000000" joinstyle="miter"/>
                        <v:imagedata o:title=""/>
                        <o:lock v:ext="edit" aspectratio="f"/>
                        <v:textbox inset="0mm,0mm,0mm,0mm">
                          <w:txbxContent>
                            <w:p w14:paraId="2DC3C8C7">
                              <w:pPr>
                                <w:jc w:val="center"/>
                              </w:pPr>
                              <w:r>
                                <w:rPr>
                                  <w:rFonts w:hint="eastAsia"/>
                                </w:rPr>
                                <w:t>化粪池</w:t>
                              </w:r>
                            </w:p>
                          </w:txbxContent>
                        </v:textbox>
                      </v:shape>
                      <v:line id="直线 1488" o:spid="_x0000_s1026" o:spt="20" style="position:absolute;left:3514090;top:685800;height:635;width:721360;" filled="f" stroked="t" coordsize="21600,21600" o:gfxdata="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GMwHDtQAAAAFAQAADwAAAAAAAAABACAAAAAiAAAAZHJzL2Rvd25yZXYu&#10;eG1sUEsBAhQAFAAAAAgAh07iQD6Ho1D/AQAA8QMAAA4AAAAAAAAAAQAgAAAAIwEAAGRycy9lMm9E&#10;b2MueG1sUEsFBgAAAAAGAAYAWQEAAJQFAAAAAA==&#10;">
                        <v:fill on="f" focussize="0,0"/>
                        <v:stroke weight="1.5pt" color="#000000" joinstyle="round" endarrow="block"/>
                        <v:imagedata o:title=""/>
                        <o:lock v:ext="edit" aspectratio="f"/>
                      </v:line>
                      <v:shape id="文本框 1490" o:spid="_x0000_s1026" o:spt="202" type="#_x0000_t202" style="position:absolute;left:876300;top:493395;height:214630;width:483870;" filled="f" stroked="f" coordsize="21600,21600" o:gfxdata="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Kf6QENUAAAAF&#10;AQAADwAAAAAAAAABACAAAAAiAAAAZHJzL2Rvd25yZXYueG1sUEsBAhQAFAAAAAgAh07iQCSBi/Lm&#10;AQAAswMAAA4AAAAAAAAAAQAgAAAAJAEAAGRycy9lMm9Eb2MueG1sUEsFBgAAAAAGAAYAWQEAAHwF&#10;AAAAAA==&#10;">
                        <v:fill on="f" focussize="0,0"/>
                        <v:stroke on="f"/>
                        <v:imagedata o:title=""/>
                        <o:lock v:ext="edit" aspectratio="f"/>
                        <v:textbox inset="0mm,0mm,0mm,0mm">
                          <w:txbxContent>
                            <w:p w14:paraId="5D5FBB23">
                              <w:pPr>
                                <w:jc w:val="center"/>
                                <w:rPr>
                                  <w:rFonts w:hint="default" w:ascii="Times New Roman" w:hAnsi="Times New Roman" w:eastAsia="宋体"/>
                                  <w:lang w:val="en-US" w:eastAsia="zh-CN"/>
                                </w:rPr>
                              </w:pPr>
                              <w:r>
                                <w:rPr>
                                  <w:rFonts w:hint="eastAsia" w:ascii="Times New Roman" w:hAnsi="Times New Roman"/>
                                  <w:lang w:val="en-US" w:eastAsia="zh-CN"/>
                                </w:rPr>
                                <w:t>1100</w:t>
                              </w:r>
                            </w:p>
                          </w:txbxContent>
                        </v:textbox>
                      </v:shape>
                      <v:shape id="文本框 1492" o:spid="_x0000_s1026" o:spt="202" type="#_x0000_t202" style="position:absolute;left:2350770;top:473075;height:190500;width:482600;" fillcolor="#FFFFFF" filled="t" stroked="f" coordsize="21600,21600" o:gfxdata="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tK3Oz1QAAAAUBAAAPAAAAAAAAAAEAIAAAACIAAABkcnMvZG93bnJldi54&#10;bWxQSwECFAAUAAAACACHTuJANchZpP0BAADdAwAADgAAAAAAAAABACAAAAAkAQAAZHJzL2Uyb0Rv&#10;Yy54bWxQSwUGAAAAAAYABgBZAQAAkwUAAAAA&#10;">
                        <v:fill on="t" focussize="0,0"/>
                        <v:stroke on="f"/>
                        <v:imagedata o:title=""/>
                        <o:lock v:ext="edit" aspectratio="f"/>
                        <v:textbox inset="0mm,0mm,0mm,0mm">
                          <w:txbxContent>
                            <w:p w14:paraId="76852064">
                              <w:pPr>
                                <w:jc w:val="center"/>
                                <w:rPr>
                                  <w:rFonts w:hint="default" w:ascii="Times New Roman" w:hAnsi="Times New Roman" w:eastAsia="宋体"/>
                                  <w:lang w:val="en-US" w:eastAsia="zh-CN"/>
                                </w:rPr>
                              </w:pPr>
                              <w:r>
                                <w:rPr>
                                  <w:rFonts w:hint="eastAsia" w:ascii="Times New Roman" w:hAnsi="Times New Roman"/>
                                  <w:lang w:val="en-US" w:eastAsia="zh-CN"/>
                                </w:rPr>
                                <w:t>880</w:t>
                              </w:r>
                            </w:p>
                          </w:txbxContent>
                        </v:textbox>
                      </v:shape>
                      <v:shape id="自选图形 1493" o:spid="_x0000_s1026" o:spt="106" type="#_x0000_t106" style="position:absolute;left:1787525;top:240030;height:243840;width:578485;" fillcolor="#FFFFFF" filled="t" stroked="t" coordsize="21600,21600" o:gfxdata="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aAFVotQAAAAFAQAADwAAAAAAAAABACAAAAAiAAAAZHJzL2Rvd25y&#10;ZXYueG1sUEsBAhQAFAAAAAgAh07iQGK9jTd0AgAA/wQAAA4AAAAAAAAAAQAgAAAAIwEAAGRycy9l&#10;Mm9Eb2MueG1sUEsFBgAAAAAGAAYAWQEAAAkGAAAAAA==&#10;" adj="1350,25920">
                        <v:fill on="t" focussize="0,0"/>
                        <v:stroke color="#000000" joinstyle="round"/>
                        <v:imagedata o:title=""/>
                        <o:lock v:ext="edit" aspectratio="f"/>
                        <v:textbox inset="0mm,0mm,0mm,0mm" style="mso-fit-shape-to-text:t;">
                          <w:txbxContent>
                            <w:p w14:paraId="37B257DA">
                              <w:pPr>
                                <w:jc w:val="center"/>
                                <w:rPr>
                                  <w:rFonts w:hint="default" w:ascii="Times New Roman" w:hAnsi="Times New Roman" w:eastAsia="宋体"/>
                                  <w:lang w:val="en-US" w:eastAsia="zh-CN"/>
                                </w:rPr>
                              </w:pPr>
                              <w:r>
                                <w:rPr>
                                  <w:rFonts w:hint="eastAsia" w:ascii="Times New Roman" w:hAnsi="Times New Roman"/>
                                  <w:lang w:val="en-US" w:eastAsia="zh-CN"/>
                                </w:rPr>
                                <w:t>220</w:t>
                              </w:r>
                            </w:p>
                          </w:txbxContent>
                        </v:textbox>
                      </v:shape>
                      <v:shape id="文本框 1496" o:spid="_x0000_s1026" o:spt="202" type="#_x0000_t202" style="position:absolute;left:1281430;top:1161415;height:215900;width:850900;" fillcolor="#FFFFFF" filled="t" stroked="t" coordsize="21600,21600" o:gfxdata="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fq7p7WAAAABQEAAA8AAAAAAAAAAQAgAAAAIgAA&#10;AGRycy9kb3ducmV2LnhtbFBLAQIUABQAAAAIAIdO4kDzb0LfQwIAAJ4EAAAOAAAAAAAAAAEAIAAA&#10;ACUBAABkcnMvZTJvRG9jLnhtbFBLBQYAAAAABgAGAFkBAADaBQAAAAA=&#10;">
                        <v:fill on="t" focussize="0,0"/>
                        <v:stroke weight="1.5pt" color="#000000" joinstyle="miter"/>
                        <v:imagedata o:title=""/>
                        <o:lock v:ext="edit" aspectratio="f"/>
                        <v:textbox inset="0mm,0mm,0mm,0mm">
                          <w:txbxContent>
                            <w:p w14:paraId="2C771646">
                              <w:pPr>
                                <w:jc w:val="center"/>
                                <w:rPr>
                                  <w:rFonts w:hint="default" w:eastAsia="宋体"/>
                                  <w:lang w:val="en-US" w:eastAsia="zh-CN"/>
                                </w:rPr>
                              </w:pPr>
                              <w:r>
                                <w:rPr>
                                  <w:rFonts w:hint="eastAsia"/>
                                  <w:lang w:val="en-US" w:eastAsia="zh-CN"/>
                                </w:rPr>
                                <w:t>水性漆稀释</w:t>
                              </w:r>
                            </w:p>
                          </w:txbxContent>
                        </v:textbox>
                      </v:shape>
                      <v:shape id="文本框 1502" o:spid="_x0000_s1026" o:spt="202" type="#_x0000_t202" style="position:absolute;left:4217670;top:407035;height:567055;width:1282700;" fillcolor="#FFFFFF" filled="t" stroked="f" coordsize="21600,21600" o:gfxdata="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j1aoQ1QAAAAUBAAAPAAAAAAAAAAEAIAAAACIAAABkcnMvZG93&#10;bnJldi54bWxQSwECFAAUAAAACACHTuJACDcDbAMCAADoAwAADgAAAAAAAAABACAAAAAkAQAAZHJz&#10;L2Uyb0RvYy54bWxQSwUGAAAAAAYABgBZAQAAmQUAAAAA&#10;">
                        <v:fill on="t" focussize="0,0"/>
                        <v:stroke on="f" weight="1.5pt"/>
                        <v:imagedata o:title=""/>
                        <o:lock v:ext="edit" aspectratio="f"/>
                        <v:textbox inset="0mm,0mm,0mm,0mm">
                          <w:txbxContent>
                            <w:p w14:paraId="21EC12E5">
                              <w:pPr>
                                <w:jc w:val="center"/>
                                <w:rPr>
                                  <w:rFonts w:hint="eastAsia"/>
                                </w:rPr>
                              </w:pPr>
                              <w:r>
                                <w:rPr>
                                  <w:rFonts w:hint="eastAsia"/>
                                </w:rPr>
                                <w:t>清丰中州水务有限公司第二污水处理厂进一步处理</w:t>
                              </w:r>
                            </w:p>
                          </w:txbxContent>
                        </v:textbox>
                      </v:shape>
                      <v:shape id="文本框 1503" o:spid="_x0000_s1026" o:spt="202" type="#_x0000_t202" style="position:absolute;left:824230;top:1056005;height:165735;width:482600;" filled="f" stroked="f" coordsize="21600,21600" o:gfxdata="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Kf6QENUAAAAF&#10;AQAADwAAAAAAAAABACAAAAAiAAAAZHJzL2Rvd25yZXYueG1sUEsBAhQAFAAAAAgAh07iQFlVDO/m&#10;AQAAtAMAAA4AAAAAAAAAAQAgAAAAJAEAAGRycy9lMm9Eb2MueG1sUEsFBgAAAAAGAAYAWQEAAHwF&#10;AAAAAA==&#10;">
                        <v:fill on="f" focussize="0,0"/>
                        <v:stroke on="f"/>
                        <v:imagedata o:title=""/>
                        <o:lock v:ext="edit" aspectratio="f"/>
                        <v:textbox inset="0mm,0mm,0mm,0mm">
                          <w:txbxContent>
                            <w:p w14:paraId="6DDE972D">
                              <w:pPr>
                                <w:jc w:val="center"/>
                                <w:rPr>
                                  <w:rFonts w:hint="default" w:ascii="Times New Roman" w:hAnsi="Times New Roman" w:eastAsia="宋体"/>
                                  <w:lang w:val="en-US" w:eastAsia="zh-CN"/>
                                </w:rPr>
                              </w:pPr>
                              <w:r>
                                <w:rPr>
                                  <w:rFonts w:hint="eastAsia"/>
                                  <w:lang w:val="en-US" w:eastAsia="zh-CN"/>
                                </w:rPr>
                                <w:t>1.1819</w:t>
                              </w:r>
                            </w:p>
                          </w:txbxContent>
                        </v:textbox>
                      </v:shape>
                      <v:line id="直线 1494" o:spid="_x0000_s1026" o:spt="20" style="position:absolute;left:2151380;top:1275080;height:635;width:474980;" filled="f" stroked="t" coordsize="21600,21600" o:gfxdata="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YzAcO1AAAAAUBAAAPAAAAAAAAAAEAIAAAACIAAABkcnMvZG93bnJldi54&#10;bWxQSwECFAAUAAAACACHTuJAuPzcYf4BAADyAwAADgAAAAAAAAABACAAAAAjAQAAZHJzL2Uyb0Rv&#10;Yy54bWxQSwUGAAAAAAYABgBZAQAAkwUAAAAA&#10;">
                        <v:fill on="f" focussize="0,0"/>
                        <v:stroke weight="1.5pt" color="#000000" joinstyle="round" endarrow="block"/>
                        <v:imagedata o:title=""/>
                        <o:lock v:ext="edit" aspectratio="f"/>
                      </v:line>
                      <v:shape id="文本框 1487" o:spid="_x0000_s1026" o:spt="202" type="#_x0000_t202" style="position:absolute;left:2599055;top:1160780;height:215900;width:587375;" fillcolor="#FFFFFF" filled="t" stroked="t" coordsize="21600,21600" o:gfxdata="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fq7p7WAAAABQEAAA8AAAAAAAAAAQAgAAAA&#10;IgAAAGRycy9kb3ducmV2LnhtbFBLAQIUABQAAAAIAIdO4kDPeNLLRgIAAJ4EAAAOAAAAAAAAAAEA&#10;IAAAACUBAABkcnMvZTJvRG9jLnhtbFBLBQYAAAAABgAGAFkBAADdBQAAAAA=&#10;">
                        <v:fill on="t" focussize="0,0"/>
                        <v:stroke weight="1.5pt" color="#000000" joinstyle="miter"/>
                        <v:imagedata o:title=""/>
                        <o:lock v:ext="edit" aspectratio="f"/>
                        <v:textbox inset="0mm,0mm,0mm,0mm">
                          <w:txbxContent>
                            <w:p w14:paraId="6F1AF361">
                              <w:pPr>
                                <w:jc w:val="center"/>
                                <w:rPr>
                                  <w:rFonts w:hint="eastAsia" w:eastAsia="宋体"/>
                                  <w:lang w:val="en-US" w:eastAsia="zh-CN"/>
                                </w:rPr>
                              </w:pPr>
                              <w:r>
                                <w:rPr>
                                  <w:rFonts w:hint="eastAsia"/>
                                  <w:lang w:val="en-US" w:eastAsia="zh-CN"/>
                                </w:rPr>
                                <w:t>进入产品</w:t>
                              </w:r>
                            </w:p>
                          </w:txbxContent>
                        </v:textbox>
                      </v:shape>
                      <v:shape id="文本框 1492" o:spid="_x0000_s1026" o:spt="202" type="#_x0000_t202" style="position:absolute;left:2122805;top:1123950;height:190500;width:482600;" filled="f" stroked="f" coordsize="21600,21600" o:gfxdata="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Cn+kBDVAAAA&#10;BQEAAA8AAAAAAAAAAQAgAAAAIgAAAGRycy9kb3ducmV2LnhtbFBLAQIUABQAAAAIAIdO4kCx7e3W&#10;5wEAALUDAAAOAAAAAAAAAAEAIAAAACQBAABkcnMvZTJvRG9jLnhtbFBLBQYAAAAABgAGAFkBAAB9&#10;BQAAAAA=&#10;">
                        <v:fill on="f" focussize="0,0"/>
                        <v:stroke on="f"/>
                        <v:imagedata o:title=""/>
                        <o:lock v:ext="edit" aspectratio="f"/>
                        <v:textbox inset="0mm,0mm,0mm,0mm">
                          <w:txbxContent>
                            <w:p w14:paraId="4A75E200">
                              <w:pPr>
                                <w:jc w:val="center"/>
                                <w:rPr>
                                  <w:rFonts w:hint="default" w:ascii="Times New Roman" w:hAnsi="Times New Roman" w:eastAsia="宋体"/>
                                  <w:lang w:val="en-US" w:eastAsia="zh-CN"/>
                                </w:rPr>
                              </w:pPr>
                              <w:r>
                                <w:rPr>
                                  <w:rFonts w:hint="default" w:ascii="Times New Roman" w:hAnsi="Times New Roman"/>
                                  <w:lang w:val="en-US" w:eastAsia="zh-CN"/>
                                </w:rPr>
                                <w:t>0.8273</w:t>
                              </w:r>
                            </w:p>
                          </w:txbxContent>
                        </v:textbox>
                      </v:shape>
                      <v:shape id="肘形连接符 154" o:spid="_x0000_s1026" o:spt="34" type="#_x0000_t34" style="position:absolute;left:1299210;top:673735;flip:x y;height:595630;width:3175;rotation:11796480f;" filled="f" stroked="t" coordsize="21600,21600" o:gfxdata="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S3D6&#10;7NYAAAAFAQAADwAAAAAAAAABACAAAAAiAAAAZHJzL2Rvd25yZXYueG1sUEsBAhQAFAAAAAgAh07i&#10;QDFlZGldAgAAqQQAAA4AAAAAAAAAAQAgAAAAJQEAAGRycy9lMm9Eb2MueG1sUEsFBgAAAAAGAAYA&#10;WQEAAPQFAAAAAA==&#10;" adj="-3075840">
                        <v:fill on="f" focussize="0,0"/>
                        <v:stroke weight="1pt" color="#000000 [3213]" joinstyle="round" startarrow="block" endarrow="block"/>
                        <v:imagedata o:title=""/>
                        <o:lock v:ext="edit" aspectratio="f"/>
                      </v:shape>
                      <v:shape id="直接箭头连接符 155" o:spid="_x0000_s1026" o:spt="32" type="#_x0000_t32" style="position:absolute;left:143510;top:969645;height:0;width:714375;" filled="f" stroked="t" coordsize="21600,21600" o:gfxdata="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2DYWv1AAAAAUBAAAP&#10;AAAAAAAAAAEAIAAAACIAAABkcnMvZG93bnJldi54bWxQSwECFAAUAAAACACHTuJAso93jhwCAAAC&#10;BAAADgAAAAAAAAABACAAAAAjAQAAZHJzL2Uyb0RvYy54bWxQSwUGAAAAAAYABgBZAQAAsQUAAAAA&#10;">
                        <v:fill on="f" focussize="0,0"/>
                        <v:stroke weight="1pt" color="#000000 [3213]" joinstyle="round" endarrow="block"/>
                        <v:imagedata o:title=""/>
                        <o:lock v:ext="edit" aspectratio="f"/>
                      </v:shape>
                      <v:shape id="文本框 1490" o:spid="_x0000_s1026" o:spt="202" type="#_x0000_t202" style="position:absolute;left:95250;top:617855;height:376555;width:741680;" filled="f" stroked="f" coordsize="21600,21600" o:gfxdata="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Kf6QENUAAAAF&#10;AQAADwAAAAAAAAABACAAAAAiAAAAZHJzL2Rvd25yZXYueG1sUEsBAhQAFAAAAAgAh07iQKUqkAPm&#10;AQAAsgMAAA4AAAAAAAAAAQAgAAAAJAEAAGRycy9lMm9Eb2MueG1sUEsFBgAAAAAGAAYAWQEAAHwF&#10;AAAAAA==&#10;">
                        <v:fill on="f" focussize="0,0"/>
                        <v:stroke on="f"/>
                        <v:imagedata o:title=""/>
                        <o:lock v:ext="edit" aspectratio="f"/>
                        <v:textbox inset="0mm,0mm,0mm,0mm">
                          <w:txbxContent>
                            <w:p w14:paraId="5B4FA697">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lang w:val="en-US" w:eastAsia="zh-CN"/>
                                </w:rPr>
                              </w:pPr>
                              <w:r>
                                <w:rPr>
                                  <w:rFonts w:hint="eastAsia" w:ascii="Times New Roman" w:hAnsi="Times New Roman" w:eastAsia="宋体"/>
                                  <w:lang w:val="en-US" w:eastAsia="zh-CN"/>
                                </w:rPr>
                                <w:t>新鲜水</w:t>
                              </w:r>
                            </w:p>
                            <w:p w14:paraId="72D3F466">
                              <w:pPr>
                                <w:pStyle w:val="32"/>
                                <w:keepNext w:val="0"/>
                                <w:keepLines w:val="0"/>
                                <w:pageBreakBefore w:val="0"/>
                                <w:widowControl w:val="0"/>
                                <w:kinsoku/>
                                <w:wordWrap/>
                                <w:overflowPunct/>
                                <w:topLinePunct w:val="0"/>
                                <w:bidi w:val="0"/>
                                <w:snapToGrid/>
                                <w:spacing w:beforeLines="0" w:afterLines="0" w:line="240" w:lineRule="auto"/>
                                <w:jc w:val="center"/>
                                <w:textAlignment w:val="auto"/>
                                <w:rPr>
                                  <w:rFonts w:hint="default"/>
                                  <w:b w:val="0"/>
                                  <w:bCs/>
                                  <w:sz w:val="21"/>
                                  <w:szCs w:val="21"/>
                                  <w:lang w:val="en-US" w:eastAsia="zh-CN"/>
                                </w:rPr>
                              </w:pPr>
                              <w:r>
                                <w:rPr>
                                  <w:rFonts w:hint="eastAsia" w:ascii="Times New Roman" w:hAnsi="Times New Roman" w:eastAsia="宋体"/>
                                  <w:b w:val="0"/>
                                  <w:bCs/>
                                  <w:sz w:val="21"/>
                                  <w:szCs w:val="21"/>
                                  <w:lang w:val="en-US" w:eastAsia="zh-CN"/>
                                </w:rPr>
                                <w:t>1101.1819</w:t>
                              </w:r>
                            </w:p>
                          </w:txbxContent>
                        </v:textbox>
                      </v:shape>
                      <v:shape id="_x0000_s1026" o:spid="_x0000_s1026" o:spt="34" type="#_x0000_t34" style="position:absolute;left:2332355;top:226695;height:1506855;width:369570;rotation:-5898240f;" filled="f" stroked="t" coordsize="21600,21600" o:gfxdata="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AgnlbHVAAAABQEAAA8AAAAAAAAAAQAgAAAAIgAAAGRycy9kb3ducmV2&#10;LnhtbFBLAQIUABQAAAAIAIdO4kDSKDY7OAIAADcEAAAOAAAAAAAAAAEAIAAAACQBAABkcnMvZTJv&#10;RG9jLnhtbFBLBQYAAAAABgAGAFkBAADOBQAAAAA=&#10;" adj="10819">
                        <v:fill on="f" focussize="0,0"/>
                        <v:stroke weight="1.5pt" color="#000000 [3213]" joinstyle="round" endarrow="block"/>
                        <v:imagedata o:title=""/>
                        <o:lock v:ext="edit" aspectratio="f"/>
                      </v:shape>
                      <v:shape id="文本框 1492" o:spid="_x0000_s1026" o:spt="202" type="#_x0000_t202" style="position:absolute;left:2284730;top:827405;height:190500;width:482600;" filled="f" stroked="f" coordsize="21600,21600" o:gfxdata="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Kf6QENUAAAAF&#10;AQAADwAAAAAAAAABACAAAAAiAAAAZHJzL2Rvd25yZXYueG1sUEsBAhQAFAAAAAgAh07iQCGzWhLm&#10;AQAAsgMAAA4AAAAAAAAAAQAgAAAAJAEAAGRycy9lMm9Eb2MueG1sUEsFBgAAAAAGAAYAWQEAAHwF&#10;AAAAAA==&#10;">
                        <v:fill on="f" focussize="0,0"/>
                        <v:stroke on="f"/>
                        <v:imagedata o:title=""/>
                        <o:lock v:ext="edit" aspectratio="f"/>
                        <v:textbox inset="0mm,0mm,0mm,0mm">
                          <w:txbxContent>
                            <w:p w14:paraId="07E436D2">
                              <w:pPr>
                                <w:jc w:val="center"/>
                                <w:rPr>
                                  <w:rFonts w:hint="default" w:ascii="Times New Roman" w:hAnsi="Times New Roman" w:eastAsia="宋体"/>
                                  <w:lang w:val="en-US" w:eastAsia="zh-CN"/>
                                </w:rPr>
                              </w:pPr>
                              <w:r>
                                <w:rPr>
                                  <w:rFonts w:hint="default" w:ascii="Times New Roman" w:hAnsi="Times New Roman"/>
                                  <w:lang w:val="en-US" w:eastAsia="zh-CN"/>
                                </w:rPr>
                                <w:t>0.</w:t>
                              </w:r>
                              <w:r>
                                <w:rPr>
                                  <w:rFonts w:hint="eastAsia"/>
                                  <w:lang w:val="en-US" w:eastAsia="zh-CN"/>
                                </w:rPr>
                                <w:t>3546</w:t>
                              </w:r>
                            </w:p>
                          </w:txbxContent>
                        </v:textbox>
                      </v:shape>
                      <v:shape id="文本框 1492" o:spid="_x0000_s1026" o:spt="202" type="#_x0000_t202" style="position:absolute;left:3522980;top:484505;height:228600;width:692150;" filled="f" stroked="f" coordsize="21600,21600" o:gfxdata="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Cn+kBDVAAAA&#10;BQEAAA8AAAAAAAAAAQAgAAAAIgAAAGRycy9kb3ducmV2LnhtbFBLAQIUABQAAAAIAIdO4kC8yNEN&#10;5wEAALIDAAAOAAAAAAAAAAEAIAAAACQBAABkcnMvZTJvRG9jLnhtbFBLBQYAAAAABgAGAFkBAAB9&#10;BQAAAAA=&#10;">
                        <v:fill on="f" focussize="0,0"/>
                        <v:stroke on="f"/>
                        <v:imagedata o:title=""/>
                        <o:lock v:ext="edit" aspectratio="f"/>
                        <v:textbox inset="0mm,0mm,0mm,0mm">
                          <w:txbxContent>
                            <w:p w14:paraId="520E341A">
                              <w:pPr>
                                <w:jc w:val="center"/>
                                <w:rPr>
                                  <w:rFonts w:hint="default" w:ascii="Times New Roman" w:hAnsi="Times New Roman" w:eastAsia="宋体"/>
                                  <w:lang w:val="en-US" w:eastAsia="zh-CN"/>
                                </w:rPr>
                              </w:pPr>
                              <w:r>
                                <w:rPr>
                                  <w:rFonts w:hint="eastAsia"/>
                                  <w:lang w:val="en-US" w:eastAsia="zh-CN"/>
                                </w:rPr>
                                <w:t>880.3546</w:t>
                              </w:r>
                            </w:p>
                          </w:txbxContent>
                        </v:textbox>
                      </v:shape>
                      <w10:wrap type="none"/>
                      <w10:anchorlock/>
                    </v:group>
                  </w:pict>
                </mc:Fallback>
              </mc:AlternateContent>
            </w:r>
            <w:r>
              <w:rPr>
                <w:rFonts w:hint="default" w:ascii="Times New Roman" w:hAnsi="Times New Roman" w:cs="Times New Roman" w:eastAsiaTheme="minorEastAsia"/>
                <w:color w:val="auto"/>
                <w:sz w:val="24"/>
                <w:szCs w:val="24"/>
                <w:lang w:val="en-US" w:eastAsia="zh-CN"/>
              </w:rPr>
              <w:t>图1      本项目水平衡图</w:t>
            </w:r>
          </w:p>
          <w:p w14:paraId="4FCC2A97">
            <w:pPr>
              <w:snapToGrid w:val="0"/>
              <w:spacing w:line="360" w:lineRule="auto"/>
              <w:rPr>
                <w:rFonts w:hint="eastAsia"/>
                <w:b/>
                <w:bCs/>
                <w:color w:val="auto"/>
                <w:sz w:val="24"/>
              </w:rPr>
            </w:pPr>
            <w:r>
              <w:rPr>
                <w:rFonts w:hint="eastAsia"/>
                <w:b/>
                <w:bCs/>
                <w:color w:val="auto"/>
                <w:sz w:val="24"/>
              </w:rPr>
              <w:t>4.2供电系统</w:t>
            </w:r>
          </w:p>
          <w:p w14:paraId="682E8582">
            <w:pPr>
              <w:spacing w:line="360" w:lineRule="auto"/>
              <w:ind w:firstLine="480" w:firstLineChars="200"/>
              <w:rPr>
                <w:rFonts w:hint="eastAsia"/>
                <w:color w:val="auto"/>
                <w:sz w:val="24"/>
              </w:rPr>
            </w:pPr>
            <w:r>
              <w:rPr>
                <w:rFonts w:hint="eastAsia" w:hAnsi="宋体"/>
                <w:color w:val="auto"/>
                <w:sz w:val="24"/>
              </w:rPr>
              <w:t>本项目用电量为</w:t>
            </w:r>
            <w:r>
              <w:rPr>
                <w:rFonts w:hint="eastAsia" w:hAnsi="宋体"/>
                <w:color w:val="auto"/>
                <w:sz w:val="24"/>
                <w:lang w:val="en-US" w:eastAsia="zh-CN"/>
              </w:rPr>
              <w:t>15万</w:t>
            </w:r>
            <w:r>
              <w:rPr>
                <w:color w:val="auto"/>
                <w:sz w:val="24"/>
              </w:rPr>
              <w:t>k</w:t>
            </w:r>
            <w:r>
              <w:rPr>
                <w:rFonts w:hint="eastAsia"/>
                <w:color w:val="auto"/>
                <w:sz w:val="24"/>
              </w:rPr>
              <w:t>W</w:t>
            </w:r>
            <w:r>
              <w:rPr>
                <w:color w:val="auto"/>
                <w:sz w:val="24"/>
              </w:rPr>
              <w:t>·h/a</w:t>
            </w:r>
            <w:r>
              <w:rPr>
                <w:rFonts w:hint="eastAsia" w:hAnsi="宋体"/>
                <w:color w:val="auto"/>
                <w:sz w:val="24"/>
              </w:rPr>
              <w:t>，由清丰县供电电网供给。</w:t>
            </w:r>
          </w:p>
          <w:p w14:paraId="7768C11A">
            <w:pPr>
              <w:snapToGrid w:val="0"/>
              <w:spacing w:line="360" w:lineRule="auto"/>
              <w:rPr>
                <w:b/>
                <w:bCs/>
                <w:color w:val="auto"/>
                <w:sz w:val="24"/>
              </w:rPr>
            </w:pPr>
            <w:r>
              <w:rPr>
                <w:rFonts w:hint="eastAsia"/>
                <w:b/>
                <w:bCs/>
                <w:color w:val="auto"/>
                <w:sz w:val="24"/>
              </w:rPr>
              <w:t>5、厂区平面布置</w:t>
            </w:r>
          </w:p>
          <w:p w14:paraId="54933037">
            <w:pPr>
              <w:snapToGrid w:val="0"/>
              <w:spacing w:line="360" w:lineRule="auto"/>
              <w:ind w:firstLine="480" w:firstLineChars="200"/>
              <w:rPr>
                <w:rFonts w:ascii="宋体" w:hAnsi="宋体" w:cs="宋体"/>
                <w:bCs/>
                <w:color w:val="auto"/>
                <w:szCs w:val="21"/>
              </w:rPr>
            </w:pPr>
            <w:r>
              <w:rPr>
                <w:color w:val="auto"/>
                <w:sz w:val="24"/>
                <w:lang w:val="zh-CN"/>
              </w:rPr>
              <w:t>本项目</w:t>
            </w:r>
            <w:r>
              <w:rPr>
                <w:rFonts w:hint="eastAsia"/>
                <w:color w:val="auto"/>
                <w:sz w:val="24"/>
              </w:rPr>
              <w:t>租赁2栋标准化厂房及办公室，办公室位于一车间生产车间内部东南角和二车间南侧。三个车间分别为一车间（综合车间）、二车间（贴皮车间）和三车间（拼板车间），其中二、三车间的产品为半成品，用于一车间生产家具。其中一车间喷漆工序位于车间西侧，二车间辊涂线位于车间西侧，便于挥发性有机物的收集，其余各生产区按照生产工艺布局，集中生产，减少物料运输距离。经预测分析项目噪声能满足厂界达标的要求；废气浓度能满足厂界达标的要求。评价认为项目厂区平面布置是合理的。</w:t>
            </w:r>
          </w:p>
        </w:tc>
      </w:tr>
      <w:tr w14:paraId="54705B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32" w:hRule="atLeast"/>
          <w:jc w:val="center"/>
        </w:trPr>
        <w:tc>
          <w:tcPr>
            <w:tcW w:w="457" w:type="dxa"/>
            <w:vAlign w:val="center"/>
          </w:tcPr>
          <w:p w14:paraId="7375E1F3">
            <w:pPr>
              <w:pStyle w:val="21"/>
              <w:adjustRightInd w:val="0"/>
              <w:snapToGrid w:val="0"/>
              <w:spacing w:before="0" w:beforeAutospacing="0" w:after="0" w:afterAutospacing="0"/>
              <w:jc w:val="center"/>
              <w:rPr>
                <w:rFonts w:cs="宋体"/>
                <w:color w:val="auto"/>
                <w:szCs w:val="24"/>
              </w:rPr>
            </w:pPr>
            <w:r>
              <w:rPr>
                <w:rFonts w:hint="eastAsia" w:cs="宋体"/>
                <w:b/>
                <w:bCs/>
                <w:color w:val="auto"/>
                <w:szCs w:val="24"/>
              </w:rPr>
              <w:t>工艺流程和产排污环节</w:t>
            </w:r>
          </w:p>
        </w:tc>
        <w:tc>
          <w:tcPr>
            <w:tcW w:w="8830" w:type="dxa"/>
            <w:vAlign w:val="top"/>
          </w:tcPr>
          <w:p w14:paraId="422A8CB9">
            <w:pPr>
              <w:spacing w:line="360" w:lineRule="auto"/>
              <w:rPr>
                <w:rFonts w:hint="eastAsia"/>
                <w:color w:val="auto"/>
                <w:sz w:val="24"/>
              </w:rPr>
            </w:pPr>
            <w:r>
              <w:rPr>
                <w:rFonts w:hint="eastAsia"/>
                <w:b/>
                <w:bCs/>
                <w:color w:val="auto"/>
                <w:sz w:val="24"/>
              </w:rPr>
              <w:t>一、施工期工艺流程和产排污环节：</w:t>
            </w:r>
          </w:p>
          <w:p w14:paraId="2759266A">
            <w:pPr>
              <w:spacing w:line="360" w:lineRule="auto"/>
              <w:ind w:firstLine="480" w:firstLineChars="200"/>
              <w:rPr>
                <w:color w:val="auto"/>
                <w:sz w:val="24"/>
              </w:rPr>
            </w:pPr>
            <w:bookmarkStart w:id="70" w:name="_Toc6967"/>
            <w:bookmarkStart w:id="71" w:name="_Toc3312"/>
            <w:bookmarkStart w:id="72" w:name="_Toc368100464"/>
            <w:bookmarkStart w:id="73" w:name="_Toc357788240"/>
            <w:bookmarkStart w:id="74" w:name="_Toc32352"/>
            <w:bookmarkStart w:id="75" w:name="_Toc270407931"/>
            <w:r>
              <w:rPr>
                <w:color w:val="auto"/>
                <w:sz w:val="24"/>
              </w:rPr>
              <w:t>本项目租赁</w:t>
            </w:r>
            <w:r>
              <w:rPr>
                <w:rFonts w:hint="eastAsia"/>
                <w:color w:val="auto"/>
                <w:sz w:val="24"/>
              </w:rPr>
              <w:t>中顺家具</w:t>
            </w:r>
            <w:r>
              <w:rPr>
                <w:color w:val="auto"/>
                <w:sz w:val="24"/>
              </w:rPr>
              <w:t>已建成空厂房，工程内容主要为生产设备安装、调试。施工期较短，且主要在厂房内施工。因此本次评价施工期不再进行分析。</w:t>
            </w:r>
          </w:p>
          <w:bookmarkEnd w:id="70"/>
          <w:bookmarkEnd w:id="71"/>
          <w:bookmarkEnd w:id="72"/>
          <w:bookmarkEnd w:id="73"/>
          <w:bookmarkEnd w:id="74"/>
          <w:bookmarkEnd w:id="75"/>
          <w:p w14:paraId="1DBB2F61">
            <w:pPr>
              <w:spacing w:line="360" w:lineRule="auto"/>
              <w:rPr>
                <w:b/>
                <w:bCs/>
                <w:color w:val="auto"/>
                <w:sz w:val="24"/>
              </w:rPr>
            </w:pPr>
            <w:r>
              <w:rPr>
                <w:rFonts w:hint="eastAsia"/>
                <w:b/>
                <w:bCs/>
                <w:color w:val="auto"/>
                <w:sz w:val="24"/>
              </w:rPr>
              <w:t>二、</w:t>
            </w:r>
            <w:r>
              <w:rPr>
                <w:b/>
                <w:bCs/>
                <w:color w:val="auto"/>
                <w:sz w:val="24"/>
              </w:rPr>
              <w:t>营运期</w:t>
            </w:r>
            <w:r>
              <w:rPr>
                <w:rFonts w:hint="eastAsia"/>
                <w:b/>
                <w:bCs/>
                <w:color w:val="auto"/>
                <w:sz w:val="24"/>
              </w:rPr>
              <w:t>工艺流程和产排污环节：</w:t>
            </w:r>
          </w:p>
          <w:p w14:paraId="42424428">
            <w:pPr>
              <w:spacing w:line="360" w:lineRule="auto"/>
              <w:ind w:firstLine="480" w:firstLineChars="200"/>
              <w:rPr>
                <w:rFonts w:hint="eastAsia"/>
                <w:color w:val="auto"/>
                <w:sz w:val="24"/>
              </w:rPr>
            </w:pPr>
            <w:r>
              <w:rPr>
                <w:rFonts w:hint="eastAsia"/>
                <w:color w:val="auto"/>
                <w:sz w:val="24"/>
              </w:rPr>
              <w:t>本项目共三个车间，其中一车间为成品车间，涉及生产工序较多，二车间为贴皮车间，三车间为拼板车间，生产工序较为简单，其生产出的贴皮板和实木拼板作为一车间部分家具的原料使用。</w:t>
            </w:r>
          </w:p>
          <w:p w14:paraId="104BB162">
            <w:pPr>
              <w:numPr>
                <w:ilvl w:val="0"/>
                <w:numId w:val="10"/>
              </w:numPr>
              <w:spacing w:line="360" w:lineRule="auto"/>
              <w:ind w:firstLine="480" w:firstLineChars="200"/>
              <w:rPr>
                <w:rFonts w:hint="eastAsia"/>
                <w:color w:val="auto"/>
                <w:sz w:val="24"/>
              </w:rPr>
            </w:pPr>
            <w:r>
              <w:rPr>
                <w:rFonts w:hint="eastAsia"/>
                <w:color w:val="auto"/>
                <w:sz w:val="24"/>
              </w:rPr>
              <w:t>本项目一车间</w:t>
            </w:r>
            <w:r>
              <w:rPr>
                <w:color w:val="auto"/>
                <w:sz w:val="24"/>
              </w:rPr>
              <w:t>生产工艺</w:t>
            </w:r>
            <w:r>
              <w:rPr>
                <w:rFonts w:hint="eastAsia"/>
                <w:color w:val="auto"/>
                <w:sz w:val="24"/>
              </w:rPr>
              <w:t>及产排污环节</w:t>
            </w:r>
            <w:r>
              <w:rPr>
                <w:color w:val="auto"/>
                <w:sz w:val="24"/>
              </w:rPr>
              <w:t>如图所示</w:t>
            </w:r>
            <w:r>
              <w:rPr>
                <w:rFonts w:hint="eastAsia"/>
                <w:color w:val="auto"/>
                <w:sz w:val="24"/>
              </w:rPr>
              <w:t>：</w:t>
            </w:r>
          </w:p>
          <w:p w14:paraId="0F556A1B">
            <w:pPr>
              <w:pStyle w:val="4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color w:val="auto"/>
                <w:sz w:val="24"/>
                <w:szCs w:val="24"/>
              </w:rPr>
            </w:pPr>
            <w:r>
              <w:rPr>
                <w:color w:val="auto"/>
                <w:sz w:val="24"/>
              </w:rPr>
              <mc:AlternateContent>
                <mc:Choice Requires="wpc">
                  <w:drawing>
                    <wp:inline distT="0" distB="0" distL="114300" distR="114300">
                      <wp:extent cx="5332730" cy="4322445"/>
                      <wp:effectExtent l="9525" t="9525" r="10795" b="11430"/>
                      <wp:docPr id="118" name="画布 1154"/>
                      <wp:cNvGraphicFramePr/>
                      <a:graphic xmlns:a="http://schemas.openxmlformats.org/drawingml/2006/main">
                        <a:graphicData uri="http://schemas.microsoft.com/office/word/2010/wordprocessingCanvas">
                          <wpc:wpc>
                            <wpc:bg>
                              <a:noFill/>
                            </wpc:bg>
                            <wpc:whole>
                              <a:ln w="19050" cap="flat" cmpd="sng">
                                <a:solidFill>
                                  <a:srgbClr val="000000"/>
                                </a:solidFill>
                                <a:prstDash val="solid"/>
                                <a:miter/>
                                <a:headEnd type="none" w="med" len="med"/>
                                <a:tailEnd type="none" w="med" len="med"/>
                              </a:ln>
                            </wpc:whole>
                            <wpg:wgp>
                              <wpg:cNvPr id="44" name="组合 1200"/>
                              <wpg:cNvGrpSpPr/>
                              <wpg:grpSpPr>
                                <a:xfrm>
                                  <a:off x="149225" y="800735"/>
                                  <a:ext cx="5000625" cy="3326766"/>
                                  <a:chOff x="235" y="1261"/>
                                  <a:chExt cx="7875" cy="5239"/>
                                </a:xfrm>
                              </wpg:grpSpPr>
                              <wpg:grpSp>
                                <wpg:cNvPr id="23" name="组合 1177"/>
                                <wpg:cNvGrpSpPr/>
                                <wpg:grpSpPr>
                                  <a:xfrm>
                                    <a:off x="235" y="1261"/>
                                    <a:ext cx="7875" cy="653"/>
                                    <a:chOff x="288" y="1309"/>
                                    <a:chExt cx="7875" cy="655"/>
                                  </a:xfrm>
                                </wpg:grpSpPr>
                                <wps:wsp>
                                  <wps:cNvPr id="17" name="文本框 1162"/>
                                  <wps:cNvSpPr txBox="1"/>
                                  <wps:spPr>
                                    <a:xfrm>
                                      <a:off x="7363" y="1309"/>
                                      <a:ext cx="800" cy="655"/>
                                    </a:xfrm>
                                    <a:prstGeom prst="rect">
                                      <a:avLst/>
                                    </a:prstGeom>
                                    <a:solidFill>
                                      <a:srgbClr val="FFFFFF"/>
                                    </a:solidFill>
                                    <a:ln w="19050" cap="flat" cmpd="sng">
                                      <a:solidFill>
                                        <a:srgbClr val="000000"/>
                                      </a:solidFill>
                                      <a:prstDash val="solid"/>
                                      <a:miter/>
                                      <a:headEnd type="none" w="med" len="med"/>
                                      <a:tailEnd type="none" w="med" len="med"/>
                                    </a:ln>
                                  </wps:spPr>
                                  <wps:txbx>
                                    <w:txbxContent>
                                      <w:p w14:paraId="5568F921">
                                        <w:pPr>
                                          <w:jc w:val="center"/>
                                          <w:rPr>
                                            <w:rFonts w:hint="eastAsia" w:eastAsia="宋体"/>
                                            <w:sz w:val="24"/>
                                            <w:lang w:val="en-US" w:eastAsia="zh-CN"/>
                                          </w:rPr>
                                        </w:pPr>
                                        <w:r>
                                          <w:rPr>
                                            <w:rFonts w:hint="eastAsia"/>
                                            <w:sz w:val="24"/>
                                          </w:rPr>
                                          <w:t>贴皮</w:t>
                                        </w:r>
                                        <w:r>
                                          <w:rPr>
                                            <w:rFonts w:hint="eastAsia"/>
                                            <w:b/>
                                            <w:bCs/>
                                            <w:sz w:val="24"/>
                                            <w:u w:val="single"/>
                                            <w:lang w:val="en-US" w:eastAsia="zh-CN"/>
                                          </w:rPr>
                                          <w:t>热压</w:t>
                                        </w:r>
                                      </w:p>
                                    </w:txbxContent>
                                  </wps:txbx>
                                  <wps:bodyPr vert="horz" wrap="square" lIns="0" tIns="0" rIns="0" bIns="0" anchor="t" anchorCtr="0" upright="1">
                                    <a:spAutoFit/>
                                  </wps:bodyPr>
                                </wps:wsp>
                                <wps:wsp>
                                  <wps:cNvPr id="18" name="文本框 1163"/>
                                  <wps:cNvSpPr txBox="1"/>
                                  <wps:spPr>
                                    <a:xfrm>
                                      <a:off x="3118" y="1309"/>
                                      <a:ext cx="800" cy="342"/>
                                    </a:xfrm>
                                    <a:prstGeom prst="rect">
                                      <a:avLst/>
                                    </a:prstGeom>
                                    <a:solidFill>
                                      <a:srgbClr val="FFFFFF"/>
                                    </a:solidFill>
                                    <a:ln w="19050" cap="flat" cmpd="sng">
                                      <a:solidFill>
                                        <a:srgbClr val="000000"/>
                                      </a:solidFill>
                                      <a:prstDash val="solid"/>
                                      <a:miter/>
                                      <a:headEnd type="none" w="med" len="med"/>
                                      <a:tailEnd type="none" w="med" len="med"/>
                                    </a:ln>
                                  </wps:spPr>
                                  <wps:txbx>
                                    <w:txbxContent>
                                      <w:p w14:paraId="6D1ADE9E">
                                        <w:pPr>
                                          <w:jc w:val="center"/>
                                          <w:rPr>
                                            <w:sz w:val="24"/>
                                          </w:rPr>
                                        </w:pPr>
                                        <w:r>
                                          <w:rPr>
                                            <w:rFonts w:hint="eastAsia"/>
                                            <w:sz w:val="24"/>
                                          </w:rPr>
                                          <w:t>拼板</w:t>
                                        </w:r>
                                      </w:p>
                                    </w:txbxContent>
                                  </wps:txbx>
                                  <wps:bodyPr vert="horz" wrap="square" lIns="0" tIns="0" rIns="0" bIns="0" anchor="t" anchorCtr="0" upright="1">
                                    <a:spAutoFit/>
                                  </wps:bodyPr>
                                </wps:wsp>
                                <wps:wsp>
                                  <wps:cNvPr id="19" name="文本框 1167"/>
                                  <wps:cNvSpPr txBox="1"/>
                                  <wps:spPr>
                                    <a:xfrm>
                                      <a:off x="288" y="1309"/>
                                      <a:ext cx="800" cy="341"/>
                                    </a:xfrm>
                                    <a:prstGeom prst="rect">
                                      <a:avLst/>
                                    </a:prstGeom>
                                    <a:solidFill>
                                      <a:srgbClr val="FFFFFF"/>
                                    </a:solidFill>
                                    <a:ln w="19050" cap="flat" cmpd="sng">
                                      <a:solidFill>
                                        <a:srgbClr val="000000"/>
                                      </a:solidFill>
                                      <a:prstDash val="solid"/>
                                      <a:miter/>
                                      <a:headEnd type="none" w="med" len="med"/>
                                      <a:tailEnd type="none" w="med" len="med"/>
                                    </a:ln>
                                  </wps:spPr>
                                  <wps:txbx>
                                    <w:txbxContent>
                                      <w:p w14:paraId="02E1E04E">
                                        <w:pPr>
                                          <w:jc w:val="center"/>
                                          <w:rPr>
                                            <w:sz w:val="24"/>
                                          </w:rPr>
                                        </w:pPr>
                                        <w:r>
                                          <w:rPr>
                                            <w:rFonts w:hint="eastAsia"/>
                                            <w:sz w:val="24"/>
                                          </w:rPr>
                                          <w:t>原料</w:t>
                                        </w:r>
                                      </w:p>
                                    </w:txbxContent>
                                  </wps:txbx>
                                  <wps:bodyPr vert="horz" wrap="square" lIns="0" tIns="0" rIns="0" bIns="0" anchor="t" anchorCtr="0" upright="1">
                                    <a:spAutoFit/>
                                  </wps:bodyPr>
                                </wps:wsp>
                                <wps:wsp>
                                  <wps:cNvPr id="20" name="文本框 1168"/>
                                  <wps:cNvSpPr txBox="1"/>
                                  <wps:spPr>
                                    <a:xfrm>
                                      <a:off x="4533" y="1309"/>
                                      <a:ext cx="800" cy="341"/>
                                    </a:xfrm>
                                    <a:prstGeom prst="rect">
                                      <a:avLst/>
                                    </a:prstGeom>
                                    <a:solidFill>
                                      <a:srgbClr val="FFFFFF"/>
                                    </a:solidFill>
                                    <a:ln w="19050" cap="flat" cmpd="sng">
                                      <a:solidFill>
                                        <a:srgbClr val="000000"/>
                                      </a:solidFill>
                                      <a:prstDash val="solid"/>
                                      <a:miter/>
                                      <a:headEnd type="none" w="med" len="med"/>
                                      <a:tailEnd type="none" w="med" len="med"/>
                                    </a:ln>
                                  </wps:spPr>
                                  <wps:txbx>
                                    <w:txbxContent>
                                      <w:p w14:paraId="6963C96F">
                                        <w:pPr>
                                          <w:jc w:val="center"/>
                                          <w:rPr>
                                            <w:sz w:val="24"/>
                                          </w:rPr>
                                        </w:pPr>
                                        <w:r>
                                          <w:rPr>
                                            <w:rFonts w:hint="eastAsia"/>
                                            <w:sz w:val="24"/>
                                          </w:rPr>
                                          <w:t>冷压</w:t>
                                        </w:r>
                                      </w:p>
                                    </w:txbxContent>
                                  </wps:txbx>
                                  <wps:bodyPr vert="horz" wrap="square" lIns="0" tIns="0" rIns="0" bIns="0" anchor="t" anchorCtr="0" upright="1">
                                    <a:spAutoFit/>
                                  </wps:bodyPr>
                                </wps:wsp>
                                <wps:wsp>
                                  <wps:cNvPr id="21" name="文本框 1169"/>
                                  <wps:cNvSpPr txBox="1"/>
                                  <wps:spPr>
                                    <a:xfrm>
                                      <a:off x="1703" y="1309"/>
                                      <a:ext cx="800" cy="341"/>
                                    </a:xfrm>
                                    <a:prstGeom prst="rect">
                                      <a:avLst/>
                                    </a:prstGeom>
                                    <a:solidFill>
                                      <a:srgbClr val="FFFFFF"/>
                                    </a:solidFill>
                                    <a:ln w="19050" cap="flat" cmpd="sng">
                                      <a:solidFill>
                                        <a:srgbClr val="000000"/>
                                      </a:solidFill>
                                      <a:prstDash val="solid"/>
                                      <a:miter/>
                                      <a:headEnd type="none" w="med" len="med"/>
                                      <a:tailEnd type="none" w="med" len="med"/>
                                    </a:ln>
                                  </wps:spPr>
                                  <wps:txbx>
                                    <w:txbxContent>
                                      <w:p w14:paraId="58DC619D">
                                        <w:pPr>
                                          <w:jc w:val="center"/>
                                          <w:rPr>
                                            <w:sz w:val="24"/>
                                          </w:rPr>
                                        </w:pPr>
                                        <w:r>
                                          <w:rPr>
                                            <w:rFonts w:hint="eastAsia"/>
                                            <w:sz w:val="24"/>
                                          </w:rPr>
                                          <w:t>开料</w:t>
                                        </w:r>
                                      </w:p>
                                    </w:txbxContent>
                                  </wps:txbx>
                                  <wps:bodyPr vert="horz" wrap="square" lIns="0" tIns="0" rIns="0" bIns="0" anchor="t" anchorCtr="0" upright="1">
                                    <a:spAutoFit/>
                                  </wps:bodyPr>
                                </wps:wsp>
                                <wps:wsp>
                                  <wps:cNvPr id="22" name="文本框 1170"/>
                                  <wps:cNvSpPr txBox="1"/>
                                  <wps:spPr>
                                    <a:xfrm>
                                      <a:off x="5948" y="1309"/>
                                      <a:ext cx="800" cy="341"/>
                                    </a:xfrm>
                                    <a:prstGeom prst="rect">
                                      <a:avLst/>
                                    </a:prstGeom>
                                    <a:solidFill>
                                      <a:srgbClr val="FFFFFF"/>
                                    </a:solidFill>
                                    <a:ln w="19050" cap="flat" cmpd="sng">
                                      <a:solidFill>
                                        <a:srgbClr val="000000"/>
                                      </a:solidFill>
                                      <a:prstDash val="solid"/>
                                      <a:miter/>
                                      <a:headEnd type="none" w="med" len="med"/>
                                      <a:tailEnd type="none" w="med" len="med"/>
                                    </a:ln>
                                  </wps:spPr>
                                  <wps:txbx>
                                    <w:txbxContent>
                                      <w:p w14:paraId="25E142FC">
                                        <w:pPr>
                                          <w:jc w:val="center"/>
                                          <w:rPr>
                                            <w:sz w:val="24"/>
                                          </w:rPr>
                                        </w:pPr>
                                        <w:r>
                                          <w:rPr>
                                            <w:rFonts w:hint="eastAsia"/>
                                            <w:sz w:val="24"/>
                                          </w:rPr>
                                          <w:t>砂光</w:t>
                                        </w:r>
                                      </w:p>
                                    </w:txbxContent>
                                  </wps:txbx>
                                  <wps:bodyPr vert="horz" wrap="square" lIns="0" tIns="0" rIns="0" bIns="0" anchor="t" anchorCtr="0" upright="1">
                                    <a:spAutoFit/>
                                  </wps:bodyPr>
                                </wps:wsp>
                              </wpg:grpSp>
                              <wpg:grpSp>
                                <wpg:cNvPr id="30" name="组合 1178"/>
                                <wpg:cNvGrpSpPr/>
                                <wpg:grpSpPr>
                                  <a:xfrm>
                                    <a:off x="250" y="2894"/>
                                    <a:ext cx="7860" cy="341"/>
                                    <a:chOff x="288" y="1309"/>
                                    <a:chExt cx="7875" cy="341"/>
                                  </a:xfrm>
                                </wpg:grpSpPr>
                                <wps:wsp>
                                  <wps:cNvPr id="24" name="文本框 1179"/>
                                  <wps:cNvSpPr txBox="1"/>
                                  <wps:spPr>
                                    <a:xfrm>
                                      <a:off x="7363" y="1309"/>
                                      <a:ext cx="800" cy="341"/>
                                    </a:xfrm>
                                    <a:prstGeom prst="rect">
                                      <a:avLst/>
                                    </a:prstGeom>
                                    <a:solidFill>
                                      <a:srgbClr val="FFFFFF"/>
                                    </a:solidFill>
                                    <a:ln w="19050" cap="flat" cmpd="sng">
                                      <a:solidFill>
                                        <a:srgbClr val="000000"/>
                                      </a:solidFill>
                                      <a:prstDash val="solid"/>
                                      <a:miter/>
                                      <a:headEnd type="none" w="med" len="med"/>
                                      <a:tailEnd type="none" w="med" len="med"/>
                                    </a:ln>
                                  </wps:spPr>
                                  <wps:txbx>
                                    <w:txbxContent>
                                      <w:p w14:paraId="6417DBFB">
                                        <w:pPr>
                                          <w:jc w:val="center"/>
                                          <w:rPr>
                                            <w:sz w:val="24"/>
                                          </w:rPr>
                                        </w:pPr>
                                        <w:r>
                                          <w:rPr>
                                            <w:rFonts w:hint="eastAsia"/>
                                            <w:sz w:val="24"/>
                                          </w:rPr>
                                          <w:t>精切</w:t>
                                        </w:r>
                                      </w:p>
                                    </w:txbxContent>
                                  </wps:txbx>
                                  <wps:bodyPr vert="horz" wrap="square" lIns="0" tIns="0" rIns="0" bIns="0" anchor="t" anchorCtr="0" upright="1">
                                    <a:spAutoFit/>
                                  </wps:bodyPr>
                                </wps:wsp>
                                <wps:wsp>
                                  <wps:cNvPr id="25" name="文本框 1180"/>
                                  <wps:cNvSpPr txBox="1"/>
                                  <wps:spPr>
                                    <a:xfrm>
                                      <a:off x="3118" y="1309"/>
                                      <a:ext cx="800" cy="341"/>
                                    </a:xfrm>
                                    <a:prstGeom prst="rect">
                                      <a:avLst/>
                                    </a:prstGeom>
                                    <a:solidFill>
                                      <a:srgbClr val="FFFFFF"/>
                                    </a:solidFill>
                                    <a:ln w="19050" cap="flat" cmpd="sng">
                                      <a:solidFill>
                                        <a:srgbClr val="000000"/>
                                      </a:solidFill>
                                      <a:prstDash val="solid"/>
                                      <a:miter/>
                                      <a:headEnd type="none" w="med" len="med"/>
                                      <a:tailEnd type="none" w="med" len="med"/>
                                    </a:ln>
                                  </wps:spPr>
                                  <wps:txbx>
                                    <w:txbxContent>
                                      <w:p w14:paraId="62654649">
                                        <w:pPr>
                                          <w:jc w:val="center"/>
                                          <w:rPr>
                                            <w:sz w:val="24"/>
                                          </w:rPr>
                                        </w:pPr>
                                        <w:r>
                                          <w:rPr>
                                            <w:rFonts w:hint="eastAsia"/>
                                            <w:sz w:val="24"/>
                                          </w:rPr>
                                          <w:t>排钻</w:t>
                                        </w:r>
                                      </w:p>
                                    </w:txbxContent>
                                  </wps:txbx>
                                  <wps:bodyPr vert="horz" wrap="square" lIns="0" tIns="0" rIns="0" bIns="0" anchor="t" anchorCtr="0" upright="1">
                                    <a:spAutoFit/>
                                  </wps:bodyPr>
                                </wps:wsp>
                                <wps:wsp>
                                  <wps:cNvPr id="26" name="文本框 1181"/>
                                  <wps:cNvSpPr txBox="1"/>
                                  <wps:spPr>
                                    <a:xfrm>
                                      <a:off x="288" y="1309"/>
                                      <a:ext cx="800" cy="341"/>
                                    </a:xfrm>
                                    <a:prstGeom prst="rect">
                                      <a:avLst/>
                                    </a:prstGeom>
                                    <a:solidFill>
                                      <a:srgbClr val="FFFFFF"/>
                                    </a:solidFill>
                                    <a:ln w="19050" cap="flat" cmpd="sng">
                                      <a:solidFill>
                                        <a:srgbClr val="000000"/>
                                      </a:solidFill>
                                      <a:prstDash val="solid"/>
                                      <a:miter/>
                                      <a:headEnd type="none" w="med" len="med"/>
                                      <a:tailEnd type="none" w="med" len="med"/>
                                    </a:ln>
                                  </wps:spPr>
                                  <wps:txbx>
                                    <w:txbxContent>
                                      <w:p w14:paraId="4EA20DAE">
                                        <w:pPr>
                                          <w:jc w:val="center"/>
                                          <w:rPr>
                                            <w:sz w:val="24"/>
                                          </w:rPr>
                                        </w:pPr>
                                        <w:r>
                                          <w:rPr>
                                            <w:rFonts w:hint="eastAsia"/>
                                            <w:sz w:val="24"/>
                                          </w:rPr>
                                          <w:t>组装</w:t>
                                        </w:r>
                                      </w:p>
                                    </w:txbxContent>
                                  </wps:txbx>
                                  <wps:bodyPr vert="horz" wrap="square" lIns="0" tIns="0" rIns="0" bIns="0" anchor="t" anchorCtr="0" upright="1">
                                    <a:spAutoFit/>
                                  </wps:bodyPr>
                                </wps:wsp>
                                <wps:wsp>
                                  <wps:cNvPr id="27" name="文本框 1182"/>
                                  <wps:cNvSpPr txBox="1"/>
                                  <wps:spPr>
                                    <a:xfrm>
                                      <a:off x="4533" y="1309"/>
                                      <a:ext cx="800" cy="341"/>
                                    </a:xfrm>
                                    <a:prstGeom prst="rect">
                                      <a:avLst/>
                                    </a:prstGeom>
                                    <a:solidFill>
                                      <a:srgbClr val="FFFFFF"/>
                                    </a:solidFill>
                                    <a:ln w="19050" cap="flat" cmpd="sng">
                                      <a:solidFill>
                                        <a:srgbClr val="000000"/>
                                      </a:solidFill>
                                      <a:prstDash val="solid"/>
                                      <a:miter/>
                                      <a:headEnd type="none" w="med" len="med"/>
                                      <a:tailEnd type="none" w="med" len="med"/>
                                    </a:ln>
                                  </wps:spPr>
                                  <wps:txbx>
                                    <w:txbxContent>
                                      <w:p w14:paraId="289F7455">
                                        <w:pPr>
                                          <w:jc w:val="center"/>
                                          <w:rPr>
                                            <w:sz w:val="24"/>
                                          </w:rPr>
                                        </w:pPr>
                                        <w:r>
                                          <w:rPr>
                                            <w:rFonts w:hint="eastAsia"/>
                                            <w:sz w:val="24"/>
                                          </w:rPr>
                                          <w:t>铣型</w:t>
                                        </w:r>
                                      </w:p>
                                    </w:txbxContent>
                                  </wps:txbx>
                                  <wps:bodyPr vert="horz" wrap="square" lIns="0" tIns="0" rIns="0" bIns="0" anchor="t" anchorCtr="0" upright="1">
                                    <a:spAutoFit/>
                                  </wps:bodyPr>
                                </wps:wsp>
                                <wps:wsp>
                                  <wps:cNvPr id="28" name="文本框 1183"/>
                                  <wps:cNvSpPr txBox="1"/>
                                  <wps:spPr>
                                    <a:xfrm>
                                      <a:off x="1703" y="1309"/>
                                      <a:ext cx="800" cy="341"/>
                                    </a:xfrm>
                                    <a:prstGeom prst="rect">
                                      <a:avLst/>
                                    </a:prstGeom>
                                    <a:solidFill>
                                      <a:srgbClr val="FFFFFF"/>
                                    </a:solidFill>
                                    <a:ln w="19050" cap="flat" cmpd="sng">
                                      <a:solidFill>
                                        <a:srgbClr val="000000"/>
                                      </a:solidFill>
                                      <a:prstDash val="solid"/>
                                      <a:miter/>
                                      <a:headEnd type="none" w="med" len="med"/>
                                      <a:tailEnd type="none" w="med" len="med"/>
                                    </a:ln>
                                  </wps:spPr>
                                  <wps:txbx>
                                    <w:txbxContent>
                                      <w:p w14:paraId="752DE7BB">
                                        <w:pPr>
                                          <w:jc w:val="center"/>
                                          <w:rPr>
                                            <w:sz w:val="24"/>
                                          </w:rPr>
                                        </w:pPr>
                                        <w:r>
                                          <w:rPr>
                                            <w:rFonts w:hint="eastAsia"/>
                                            <w:sz w:val="24"/>
                                          </w:rPr>
                                          <w:t>打孔</w:t>
                                        </w:r>
                                      </w:p>
                                    </w:txbxContent>
                                  </wps:txbx>
                                  <wps:bodyPr vert="horz" wrap="square" lIns="0" tIns="0" rIns="0" bIns="0" anchor="t" anchorCtr="0" upright="1">
                                    <a:spAutoFit/>
                                  </wps:bodyPr>
                                </wps:wsp>
                                <wps:wsp>
                                  <wps:cNvPr id="29" name="文本框 1184"/>
                                  <wps:cNvSpPr txBox="1"/>
                                  <wps:spPr>
                                    <a:xfrm>
                                      <a:off x="5948" y="1309"/>
                                      <a:ext cx="800" cy="341"/>
                                    </a:xfrm>
                                    <a:prstGeom prst="rect">
                                      <a:avLst/>
                                    </a:prstGeom>
                                    <a:solidFill>
                                      <a:srgbClr val="FFFFFF"/>
                                    </a:solidFill>
                                    <a:ln w="19050" cap="flat" cmpd="sng">
                                      <a:solidFill>
                                        <a:srgbClr val="000000"/>
                                      </a:solidFill>
                                      <a:prstDash val="solid"/>
                                      <a:miter/>
                                      <a:headEnd type="none" w="med" len="med"/>
                                      <a:tailEnd type="none" w="med" len="med"/>
                                    </a:ln>
                                  </wps:spPr>
                                  <wps:txbx>
                                    <w:txbxContent>
                                      <w:p w14:paraId="4836296D">
                                        <w:pPr>
                                          <w:jc w:val="center"/>
                                          <w:rPr>
                                            <w:sz w:val="24"/>
                                          </w:rPr>
                                        </w:pPr>
                                        <w:r>
                                          <w:rPr>
                                            <w:rFonts w:hint="eastAsia"/>
                                            <w:sz w:val="24"/>
                                          </w:rPr>
                                          <w:t>封边</w:t>
                                        </w:r>
                                      </w:p>
                                    </w:txbxContent>
                                  </wps:txbx>
                                  <wps:bodyPr vert="horz" wrap="square" lIns="0" tIns="0" rIns="0" bIns="0" anchor="t" anchorCtr="0" upright="1">
                                    <a:spAutoFit/>
                                  </wps:bodyPr>
                                </wps:wsp>
                              </wpg:grpSp>
                              <wpg:grpSp>
                                <wpg:cNvPr id="37" name="组合 1185"/>
                                <wpg:cNvGrpSpPr/>
                                <wpg:grpSpPr>
                                  <a:xfrm>
                                    <a:off x="250" y="4527"/>
                                    <a:ext cx="7860" cy="341"/>
                                    <a:chOff x="288" y="1309"/>
                                    <a:chExt cx="7875" cy="341"/>
                                  </a:xfrm>
                                </wpg:grpSpPr>
                                <wps:wsp>
                                  <wps:cNvPr id="31" name="文本框 1186"/>
                                  <wps:cNvSpPr txBox="1"/>
                                  <wps:spPr>
                                    <a:xfrm>
                                      <a:off x="7363" y="1309"/>
                                      <a:ext cx="800" cy="341"/>
                                    </a:xfrm>
                                    <a:prstGeom prst="rect">
                                      <a:avLst/>
                                    </a:prstGeom>
                                    <a:solidFill>
                                      <a:srgbClr val="FFFFFF"/>
                                    </a:solidFill>
                                    <a:ln w="19050" cap="flat" cmpd="sng">
                                      <a:solidFill>
                                        <a:srgbClr val="000000"/>
                                      </a:solidFill>
                                      <a:prstDash val="solid"/>
                                      <a:miter/>
                                      <a:headEnd type="none" w="med" len="med"/>
                                      <a:tailEnd type="none" w="med" len="med"/>
                                    </a:ln>
                                  </wps:spPr>
                                  <wps:txbx>
                                    <w:txbxContent>
                                      <w:p w14:paraId="3B9A5420">
                                        <w:pPr>
                                          <w:jc w:val="center"/>
                                          <w:rPr>
                                            <w:sz w:val="24"/>
                                          </w:rPr>
                                        </w:pPr>
                                        <w:r>
                                          <w:rPr>
                                            <w:rFonts w:hint="eastAsia"/>
                                            <w:sz w:val="24"/>
                                          </w:rPr>
                                          <w:t>喷面漆</w:t>
                                        </w:r>
                                      </w:p>
                                    </w:txbxContent>
                                  </wps:txbx>
                                  <wps:bodyPr vert="horz" wrap="square" lIns="0" tIns="0" rIns="0" bIns="0" anchor="t" anchorCtr="0" upright="1">
                                    <a:spAutoFit/>
                                  </wps:bodyPr>
                                </wps:wsp>
                                <wps:wsp>
                                  <wps:cNvPr id="32" name="文本框 1187"/>
                                  <wps:cNvSpPr txBox="1"/>
                                  <wps:spPr>
                                    <a:xfrm>
                                      <a:off x="3118" y="1309"/>
                                      <a:ext cx="800" cy="341"/>
                                    </a:xfrm>
                                    <a:prstGeom prst="rect">
                                      <a:avLst/>
                                    </a:prstGeom>
                                    <a:solidFill>
                                      <a:srgbClr val="FFFFFF"/>
                                    </a:solidFill>
                                    <a:ln w="19050" cap="flat" cmpd="sng">
                                      <a:solidFill>
                                        <a:srgbClr val="000000"/>
                                      </a:solidFill>
                                      <a:prstDash val="solid"/>
                                      <a:miter/>
                                      <a:headEnd type="none" w="med" len="med"/>
                                      <a:tailEnd type="none" w="med" len="med"/>
                                    </a:ln>
                                  </wps:spPr>
                                  <wps:txbx>
                                    <w:txbxContent>
                                      <w:p w14:paraId="7E6C4021">
                                        <w:pPr>
                                          <w:jc w:val="center"/>
                                          <w:rPr>
                                            <w:sz w:val="24"/>
                                          </w:rPr>
                                        </w:pPr>
                                        <w:r>
                                          <w:rPr>
                                            <w:rFonts w:hint="eastAsia"/>
                                            <w:sz w:val="24"/>
                                          </w:rPr>
                                          <w:t>喷底漆</w:t>
                                        </w:r>
                                      </w:p>
                                    </w:txbxContent>
                                  </wps:txbx>
                                  <wps:bodyPr vert="horz" wrap="square" lIns="0" tIns="0" rIns="0" bIns="0" anchor="t" anchorCtr="0" upright="1">
                                    <a:spAutoFit/>
                                  </wps:bodyPr>
                                </wps:wsp>
                                <wps:wsp>
                                  <wps:cNvPr id="33" name="文本框 1188"/>
                                  <wps:cNvSpPr txBox="1"/>
                                  <wps:spPr>
                                    <a:xfrm>
                                      <a:off x="288" y="1309"/>
                                      <a:ext cx="800" cy="341"/>
                                    </a:xfrm>
                                    <a:prstGeom prst="rect">
                                      <a:avLst/>
                                    </a:prstGeom>
                                    <a:solidFill>
                                      <a:srgbClr val="FFFFFF"/>
                                    </a:solidFill>
                                    <a:ln w="19050" cap="flat" cmpd="sng">
                                      <a:solidFill>
                                        <a:srgbClr val="000000"/>
                                      </a:solidFill>
                                      <a:prstDash val="solid"/>
                                      <a:miter/>
                                      <a:headEnd type="none" w="med" len="med"/>
                                      <a:tailEnd type="none" w="med" len="med"/>
                                    </a:ln>
                                  </wps:spPr>
                                  <wps:txbx>
                                    <w:txbxContent>
                                      <w:p w14:paraId="1E0A93C5">
                                        <w:pPr>
                                          <w:jc w:val="center"/>
                                          <w:rPr>
                                            <w:sz w:val="24"/>
                                          </w:rPr>
                                        </w:pPr>
                                        <w:r>
                                          <w:rPr>
                                            <w:rFonts w:hint="eastAsia"/>
                                            <w:sz w:val="24"/>
                                          </w:rPr>
                                          <w:t>批灰</w:t>
                                        </w:r>
                                      </w:p>
                                    </w:txbxContent>
                                  </wps:txbx>
                                  <wps:bodyPr vert="horz" wrap="square" lIns="0" tIns="0" rIns="0" bIns="0" anchor="t" anchorCtr="0" upright="1">
                                    <a:spAutoFit/>
                                  </wps:bodyPr>
                                </wps:wsp>
                                <wps:wsp>
                                  <wps:cNvPr id="34" name="文本框 1189"/>
                                  <wps:cNvSpPr txBox="1"/>
                                  <wps:spPr>
                                    <a:xfrm>
                                      <a:off x="4533" y="1309"/>
                                      <a:ext cx="800" cy="341"/>
                                    </a:xfrm>
                                    <a:prstGeom prst="rect">
                                      <a:avLst/>
                                    </a:prstGeom>
                                    <a:solidFill>
                                      <a:srgbClr val="FFFFFF"/>
                                    </a:solidFill>
                                    <a:ln w="19050" cap="flat" cmpd="sng">
                                      <a:solidFill>
                                        <a:srgbClr val="000000"/>
                                      </a:solidFill>
                                      <a:prstDash val="solid"/>
                                      <a:miter/>
                                      <a:headEnd type="none" w="med" len="med"/>
                                      <a:tailEnd type="none" w="med" len="med"/>
                                    </a:ln>
                                  </wps:spPr>
                                  <wps:txbx>
                                    <w:txbxContent>
                                      <w:p w14:paraId="63F75242">
                                        <w:pPr>
                                          <w:jc w:val="center"/>
                                          <w:rPr>
                                            <w:sz w:val="24"/>
                                          </w:rPr>
                                        </w:pPr>
                                        <w:r>
                                          <w:rPr>
                                            <w:rFonts w:hint="eastAsia"/>
                                            <w:sz w:val="24"/>
                                          </w:rPr>
                                          <w:t>晾干</w:t>
                                        </w:r>
                                      </w:p>
                                    </w:txbxContent>
                                  </wps:txbx>
                                  <wps:bodyPr vert="horz" wrap="square" lIns="0" tIns="0" rIns="0" bIns="0" anchor="t" anchorCtr="0" upright="1">
                                    <a:spAutoFit/>
                                  </wps:bodyPr>
                                </wps:wsp>
                                <wps:wsp>
                                  <wps:cNvPr id="35" name="文本框 1190"/>
                                  <wps:cNvSpPr txBox="1"/>
                                  <wps:spPr>
                                    <a:xfrm>
                                      <a:off x="1703" y="1309"/>
                                      <a:ext cx="800" cy="341"/>
                                    </a:xfrm>
                                    <a:prstGeom prst="rect">
                                      <a:avLst/>
                                    </a:prstGeom>
                                    <a:solidFill>
                                      <a:srgbClr val="FFFFFF"/>
                                    </a:solidFill>
                                    <a:ln w="19050" cap="flat" cmpd="sng">
                                      <a:solidFill>
                                        <a:srgbClr val="000000"/>
                                      </a:solidFill>
                                      <a:prstDash val="solid"/>
                                      <a:miter/>
                                      <a:headEnd type="none" w="med" len="med"/>
                                      <a:tailEnd type="none" w="med" len="med"/>
                                    </a:ln>
                                  </wps:spPr>
                                  <wps:txbx>
                                    <w:txbxContent>
                                      <w:p w14:paraId="0D9A1FEC">
                                        <w:pPr>
                                          <w:jc w:val="center"/>
                                          <w:rPr>
                                            <w:sz w:val="24"/>
                                          </w:rPr>
                                        </w:pPr>
                                        <w:r>
                                          <w:rPr>
                                            <w:rFonts w:hint="eastAsia"/>
                                            <w:sz w:val="24"/>
                                          </w:rPr>
                                          <w:t>打磨</w:t>
                                        </w:r>
                                      </w:p>
                                    </w:txbxContent>
                                  </wps:txbx>
                                  <wps:bodyPr vert="horz" wrap="square" lIns="0" tIns="0" rIns="0" bIns="0" anchor="t" anchorCtr="0" upright="1">
                                    <a:spAutoFit/>
                                  </wps:bodyPr>
                                </wps:wsp>
                                <wps:wsp>
                                  <wps:cNvPr id="36" name="文本框 1191"/>
                                  <wps:cNvSpPr txBox="1"/>
                                  <wps:spPr>
                                    <a:xfrm>
                                      <a:off x="5948" y="1309"/>
                                      <a:ext cx="800" cy="341"/>
                                    </a:xfrm>
                                    <a:prstGeom prst="rect">
                                      <a:avLst/>
                                    </a:prstGeom>
                                    <a:solidFill>
                                      <a:srgbClr val="FFFFFF"/>
                                    </a:solidFill>
                                    <a:ln w="19050" cap="flat" cmpd="sng">
                                      <a:solidFill>
                                        <a:srgbClr val="000000"/>
                                      </a:solidFill>
                                      <a:prstDash val="solid"/>
                                      <a:miter/>
                                      <a:headEnd type="none" w="med" len="med"/>
                                      <a:tailEnd type="none" w="med" len="med"/>
                                    </a:ln>
                                  </wps:spPr>
                                  <wps:txbx>
                                    <w:txbxContent>
                                      <w:p w14:paraId="4B2BCF44">
                                        <w:pPr>
                                          <w:jc w:val="center"/>
                                          <w:rPr>
                                            <w:sz w:val="24"/>
                                          </w:rPr>
                                        </w:pPr>
                                        <w:r>
                                          <w:rPr>
                                            <w:rFonts w:hint="eastAsia"/>
                                            <w:sz w:val="24"/>
                                          </w:rPr>
                                          <w:t>油磨</w:t>
                                        </w:r>
                                      </w:p>
                                    </w:txbxContent>
                                  </wps:txbx>
                                  <wps:bodyPr vert="horz" wrap="square" lIns="0" tIns="0" rIns="0" bIns="0" anchor="t" anchorCtr="0" upright="1">
                                    <a:spAutoFit/>
                                  </wps:bodyPr>
                                </wps:wsp>
                              </wpg:grpSp>
                              <wpg:grpSp>
                                <wpg:cNvPr id="43" name="组合 1199"/>
                                <wpg:cNvGrpSpPr/>
                                <wpg:grpSpPr>
                                  <a:xfrm>
                                    <a:off x="1662" y="6160"/>
                                    <a:ext cx="6448" cy="340"/>
                                    <a:chOff x="1770" y="6208"/>
                                    <a:chExt cx="6448" cy="340"/>
                                  </a:xfrm>
                                </wpg:grpSpPr>
                                <wps:wsp>
                                  <wps:cNvPr id="38" name="文本框 1193"/>
                                  <wps:cNvSpPr txBox="1"/>
                                  <wps:spPr>
                                    <a:xfrm>
                                      <a:off x="7420" y="6208"/>
                                      <a:ext cx="798" cy="341"/>
                                    </a:xfrm>
                                    <a:prstGeom prst="rect">
                                      <a:avLst/>
                                    </a:prstGeom>
                                    <a:solidFill>
                                      <a:srgbClr val="FFFFFF"/>
                                    </a:solidFill>
                                    <a:ln w="19050" cap="flat" cmpd="sng">
                                      <a:solidFill>
                                        <a:srgbClr val="000000"/>
                                      </a:solidFill>
                                      <a:prstDash val="solid"/>
                                      <a:miter/>
                                      <a:headEnd type="none" w="med" len="med"/>
                                      <a:tailEnd type="none" w="med" len="med"/>
                                    </a:ln>
                                  </wps:spPr>
                                  <wps:txbx>
                                    <w:txbxContent>
                                      <w:p w14:paraId="5B5CB81E">
                                        <w:pPr>
                                          <w:jc w:val="center"/>
                                          <w:rPr>
                                            <w:sz w:val="24"/>
                                          </w:rPr>
                                        </w:pPr>
                                        <w:r>
                                          <w:rPr>
                                            <w:rFonts w:hint="eastAsia"/>
                                            <w:sz w:val="24"/>
                                          </w:rPr>
                                          <w:t>晾干</w:t>
                                        </w:r>
                                      </w:p>
                                    </w:txbxContent>
                                  </wps:txbx>
                                  <wps:bodyPr vert="horz" wrap="square" lIns="0" tIns="0" rIns="0" bIns="0" anchor="t" anchorCtr="0" upright="1">
                                    <a:spAutoFit/>
                                  </wps:bodyPr>
                                </wps:wsp>
                                <wps:wsp>
                                  <wps:cNvPr id="39" name="文本框 1194"/>
                                  <wps:cNvSpPr txBox="1"/>
                                  <wps:spPr>
                                    <a:xfrm>
                                      <a:off x="3183" y="6208"/>
                                      <a:ext cx="798" cy="341"/>
                                    </a:xfrm>
                                    <a:prstGeom prst="rect">
                                      <a:avLst/>
                                    </a:prstGeom>
                                    <a:solidFill>
                                      <a:srgbClr val="FFFFFF"/>
                                    </a:solidFill>
                                    <a:ln w="19050" cap="flat" cmpd="sng">
                                      <a:solidFill>
                                        <a:srgbClr val="000000"/>
                                      </a:solidFill>
                                      <a:prstDash val="solid"/>
                                      <a:miter/>
                                      <a:headEnd type="none" w="med" len="med"/>
                                      <a:tailEnd type="none" w="med" len="med"/>
                                    </a:ln>
                                  </wps:spPr>
                                  <wps:txbx>
                                    <w:txbxContent>
                                      <w:p w14:paraId="27210452">
                                        <w:pPr>
                                          <w:jc w:val="center"/>
                                          <w:rPr>
                                            <w:sz w:val="24"/>
                                          </w:rPr>
                                        </w:pPr>
                                        <w:r>
                                          <w:rPr>
                                            <w:rFonts w:hint="eastAsia"/>
                                            <w:sz w:val="24"/>
                                          </w:rPr>
                                          <w:t>包装</w:t>
                                        </w:r>
                                      </w:p>
                                    </w:txbxContent>
                                  </wps:txbx>
                                  <wps:bodyPr vert="horz" wrap="square" lIns="0" tIns="0" rIns="0" bIns="0" anchor="t" anchorCtr="0" upright="1">
                                    <a:spAutoFit/>
                                  </wps:bodyPr>
                                </wps:wsp>
                                <wps:wsp>
                                  <wps:cNvPr id="40" name="文本框 1196"/>
                                  <wps:cNvSpPr txBox="1"/>
                                  <wps:spPr>
                                    <a:xfrm>
                                      <a:off x="4595" y="6208"/>
                                      <a:ext cx="798" cy="341"/>
                                    </a:xfrm>
                                    <a:prstGeom prst="rect">
                                      <a:avLst/>
                                    </a:prstGeom>
                                    <a:solidFill>
                                      <a:srgbClr val="FFFFFF"/>
                                    </a:solidFill>
                                    <a:ln w="19050" cap="flat" cmpd="sng">
                                      <a:solidFill>
                                        <a:srgbClr val="000000"/>
                                      </a:solidFill>
                                      <a:prstDash val="solid"/>
                                      <a:miter/>
                                      <a:headEnd type="none" w="med" len="med"/>
                                      <a:tailEnd type="none" w="med" len="med"/>
                                    </a:ln>
                                  </wps:spPr>
                                  <wps:txbx>
                                    <w:txbxContent>
                                      <w:p w14:paraId="67EF8961">
                                        <w:pPr>
                                          <w:jc w:val="center"/>
                                          <w:rPr>
                                            <w:sz w:val="24"/>
                                          </w:rPr>
                                        </w:pPr>
                                        <w:r>
                                          <w:rPr>
                                            <w:rFonts w:hint="eastAsia"/>
                                            <w:sz w:val="24"/>
                                          </w:rPr>
                                          <w:t>晾干</w:t>
                                        </w:r>
                                      </w:p>
                                    </w:txbxContent>
                                  </wps:txbx>
                                  <wps:bodyPr vert="horz" wrap="square" lIns="0" tIns="0" rIns="0" bIns="0" anchor="t" anchorCtr="0" upright="1">
                                    <a:spAutoFit/>
                                  </wps:bodyPr>
                                </wps:wsp>
                                <wps:wsp>
                                  <wps:cNvPr id="41" name="文本框 1197"/>
                                  <wps:cNvSpPr txBox="1"/>
                                  <wps:spPr>
                                    <a:xfrm>
                                      <a:off x="1770" y="6208"/>
                                      <a:ext cx="798" cy="341"/>
                                    </a:xfrm>
                                    <a:prstGeom prst="rect">
                                      <a:avLst/>
                                    </a:prstGeom>
                                    <a:solidFill>
                                      <a:srgbClr val="FFFFFF"/>
                                    </a:solidFill>
                                    <a:ln w="19050" cap="flat" cmpd="sng">
                                      <a:solidFill>
                                        <a:srgbClr val="000000"/>
                                      </a:solidFill>
                                      <a:prstDash val="solid"/>
                                      <a:miter/>
                                      <a:headEnd type="none" w="med" len="med"/>
                                      <a:tailEnd type="none" w="med" len="med"/>
                                    </a:ln>
                                  </wps:spPr>
                                  <wps:txbx>
                                    <w:txbxContent>
                                      <w:p w14:paraId="6D847503">
                                        <w:pPr>
                                          <w:jc w:val="center"/>
                                          <w:rPr>
                                            <w:sz w:val="24"/>
                                          </w:rPr>
                                        </w:pPr>
                                        <w:r>
                                          <w:rPr>
                                            <w:rFonts w:hint="eastAsia"/>
                                            <w:sz w:val="24"/>
                                          </w:rPr>
                                          <w:t>成品</w:t>
                                        </w:r>
                                      </w:p>
                                    </w:txbxContent>
                                  </wps:txbx>
                                  <wps:bodyPr vert="horz" wrap="square" lIns="0" tIns="0" rIns="0" bIns="0" anchor="t" anchorCtr="0" upright="1">
                                    <a:spAutoFit/>
                                  </wps:bodyPr>
                                </wps:wsp>
                                <wps:wsp>
                                  <wps:cNvPr id="42" name="文本框 1198"/>
                                  <wps:cNvSpPr txBox="1"/>
                                  <wps:spPr>
                                    <a:xfrm>
                                      <a:off x="6007" y="6208"/>
                                      <a:ext cx="798" cy="341"/>
                                    </a:xfrm>
                                    <a:prstGeom prst="rect">
                                      <a:avLst/>
                                    </a:prstGeom>
                                    <a:solidFill>
                                      <a:srgbClr val="FFFFFF"/>
                                    </a:solidFill>
                                    <a:ln w="19050" cap="flat" cmpd="sng">
                                      <a:solidFill>
                                        <a:srgbClr val="000000"/>
                                      </a:solidFill>
                                      <a:prstDash val="solid"/>
                                      <a:miter/>
                                      <a:headEnd type="none" w="med" len="med"/>
                                      <a:tailEnd type="none" w="med" len="med"/>
                                    </a:ln>
                                  </wps:spPr>
                                  <wps:txbx>
                                    <w:txbxContent>
                                      <w:p w14:paraId="5DBE5444">
                                        <w:pPr>
                                          <w:jc w:val="center"/>
                                          <w:rPr>
                                            <w:sz w:val="24"/>
                                          </w:rPr>
                                        </w:pPr>
                                        <w:r>
                                          <w:rPr>
                                            <w:rFonts w:hint="eastAsia"/>
                                            <w:sz w:val="24"/>
                                          </w:rPr>
                                          <w:t>修色</w:t>
                                        </w:r>
                                      </w:p>
                                    </w:txbxContent>
                                  </wps:txbx>
                                  <wps:bodyPr vert="horz" wrap="square" lIns="0" tIns="0" rIns="0" bIns="0" anchor="t" anchorCtr="0" upright="1">
                                    <a:spAutoFit/>
                                  </wps:bodyPr>
                                </wps:wsp>
                              </wpg:grpSp>
                            </wpg:wgp>
                            <wpg:wgp>
                              <wpg:cNvPr id="50" name="组合 1206"/>
                              <wpg:cNvGrpSpPr/>
                              <wpg:grpSpPr>
                                <a:xfrm>
                                  <a:off x="661670" y="911860"/>
                                  <a:ext cx="3975100" cy="5080"/>
                                  <a:chOff x="1042" y="1436"/>
                                  <a:chExt cx="6260" cy="8"/>
                                </a:xfrm>
                              </wpg:grpSpPr>
                              <wps:wsp>
                                <wps:cNvPr id="45" name="直线 1201"/>
                                <wps:cNvCnPr/>
                                <wps:spPr>
                                  <a:xfrm flipV="1">
                                    <a:off x="1042" y="1436"/>
                                    <a:ext cx="600" cy="8"/>
                                  </a:xfrm>
                                  <a:prstGeom prst="line">
                                    <a:avLst/>
                                  </a:prstGeom>
                                  <a:ln w="19050" cap="flat" cmpd="sng">
                                    <a:solidFill>
                                      <a:srgbClr val="000000"/>
                                    </a:solidFill>
                                    <a:prstDash val="solid"/>
                                    <a:headEnd type="none" w="med" len="med"/>
                                    <a:tailEnd type="triangle" w="med" len="med"/>
                                  </a:ln>
                                </wps:spPr>
                                <wps:bodyPr upright="1"/>
                              </wps:wsp>
                              <wps:wsp>
                                <wps:cNvPr id="46" name="直线 1202"/>
                                <wps:cNvCnPr/>
                                <wps:spPr>
                                  <a:xfrm flipV="1">
                                    <a:off x="2457" y="1440"/>
                                    <a:ext cx="600" cy="0"/>
                                  </a:xfrm>
                                  <a:prstGeom prst="line">
                                    <a:avLst/>
                                  </a:prstGeom>
                                  <a:ln w="19050" cap="flat" cmpd="sng">
                                    <a:solidFill>
                                      <a:srgbClr val="000000"/>
                                    </a:solidFill>
                                    <a:prstDash val="solid"/>
                                    <a:headEnd type="none" w="med" len="med"/>
                                    <a:tailEnd type="triangle" w="med" len="med"/>
                                  </a:ln>
                                </wps:spPr>
                                <wps:bodyPr upright="1"/>
                              </wps:wsp>
                              <wps:wsp>
                                <wps:cNvPr id="47" name="直线 1203"/>
                                <wps:cNvCnPr/>
                                <wps:spPr>
                                  <a:xfrm flipV="1">
                                    <a:off x="3872" y="1440"/>
                                    <a:ext cx="600" cy="0"/>
                                  </a:xfrm>
                                  <a:prstGeom prst="line">
                                    <a:avLst/>
                                  </a:prstGeom>
                                  <a:ln w="19050" cap="flat" cmpd="sng">
                                    <a:solidFill>
                                      <a:srgbClr val="000000"/>
                                    </a:solidFill>
                                    <a:prstDash val="solid"/>
                                    <a:headEnd type="none" w="med" len="med"/>
                                    <a:tailEnd type="triangle" w="med" len="med"/>
                                  </a:ln>
                                </wps:spPr>
                                <wps:bodyPr upright="1"/>
                              </wps:wsp>
                              <wps:wsp>
                                <wps:cNvPr id="48" name="直线 1204"/>
                                <wps:cNvCnPr/>
                                <wps:spPr>
                                  <a:xfrm flipV="1">
                                    <a:off x="5287" y="1440"/>
                                    <a:ext cx="600" cy="0"/>
                                  </a:xfrm>
                                  <a:prstGeom prst="line">
                                    <a:avLst/>
                                  </a:prstGeom>
                                  <a:ln w="19050" cap="flat" cmpd="sng">
                                    <a:solidFill>
                                      <a:srgbClr val="000000"/>
                                    </a:solidFill>
                                    <a:prstDash val="solid"/>
                                    <a:headEnd type="none" w="med" len="med"/>
                                    <a:tailEnd type="triangle" w="med" len="med"/>
                                  </a:ln>
                                </wps:spPr>
                                <wps:bodyPr upright="1"/>
                              </wps:wsp>
                              <wps:wsp>
                                <wps:cNvPr id="49" name="直线 1205"/>
                                <wps:cNvCnPr/>
                                <wps:spPr>
                                  <a:xfrm flipV="1">
                                    <a:off x="6702" y="1440"/>
                                    <a:ext cx="600" cy="0"/>
                                  </a:xfrm>
                                  <a:prstGeom prst="line">
                                    <a:avLst/>
                                  </a:prstGeom>
                                  <a:ln w="19050" cap="flat" cmpd="sng">
                                    <a:solidFill>
                                      <a:srgbClr val="000000"/>
                                    </a:solidFill>
                                    <a:prstDash val="solid"/>
                                    <a:headEnd type="none" w="med" len="med"/>
                                    <a:tailEnd type="triangle" w="med" len="med"/>
                                  </a:ln>
                                </wps:spPr>
                                <wps:bodyPr upright="1"/>
                              </wps:wsp>
                            </wpg:wgp>
                            <wpg:wgp>
                              <wpg:cNvPr id="56" name="组合 1207"/>
                              <wpg:cNvGrpSpPr/>
                              <wpg:grpSpPr>
                                <a:xfrm>
                                  <a:off x="666750" y="1947545"/>
                                  <a:ext cx="3975100" cy="0"/>
                                  <a:chOff x="1042" y="1436"/>
                                  <a:chExt cx="6260" cy="8"/>
                                </a:xfrm>
                              </wpg:grpSpPr>
                              <wps:wsp>
                                <wps:cNvPr id="51" name="直线 1208"/>
                                <wps:cNvCnPr/>
                                <wps:spPr>
                                  <a:xfrm flipV="1">
                                    <a:off x="1042" y="1436"/>
                                    <a:ext cx="600" cy="8"/>
                                  </a:xfrm>
                                  <a:prstGeom prst="line">
                                    <a:avLst/>
                                  </a:prstGeom>
                                  <a:ln w="19050" cap="flat" cmpd="sng">
                                    <a:solidFill>
                                      <a:srgbClr val="000000"/>
                                    </a:solidFill>
                                    <a:prstDash val="solid"/>
                                    <a:headEnd type="triangle" w="med" len="med"/>
                                    <a:tailEnd type="none" w="med" len="med"/>
                                  </a:ln>
                                </wps:spPr>
                                <wps:bodyPr upright="1"/>
                              </wps:wsp>
                              <wps:wsp>
                                <wps:cNvPr id="52" name="直线 1209"/>
                                <wps:cNvCnPr/>
                                <wps:spPr>
                                  <a:xfrm flipV="1">
                                    <a:off x="2457" y="1440"/>
                                    <a:ext cx="600" cy="0"/>
                                  </a:xfrm>
                                  <a:prstGeom prst="line">
                                    <a:avLst/>
                                  </a:prstGeom>
                                  <a:ln w="19050" cap="flat" cmpd="sng">
                                    <a:solidFill>
                                      <a:srgbClr val="000000"/>
                                    </a:solidFill>
                                    <a:prstDash val="solid"/>
                                    <a:headEnd type="triangle" w="med" len="med"/>
                                    <a:tailEnd type="none" w="med" len="med"/>
                                  </a:ln>
                                </wps:spPr>
                                <wps:bodyPr upright="1"/>
                              </wps:wsp>
                              <wps:wsp>
                                <wps:cNvPr id="53" name="直线 1210"/>
                                <wps:cNvCnPr/>
                                <wps:spPr>
                                  <a:xfrm flipV="1">
                                    <a:off x="3872" y="1440"/>
                                    <a:ext cx="600" cy="0"/>
                                  </a:xfrm>
                                  <a:prstGeom prst="line">
                                    <a:avLst/>
                                  </a:prstGeom>
                                  <a:ln w="19050" cap="flat" cmpd="sng">
                                    <a:solidFill>
                                      <a:srgbClr val="000000"/>
                                    </a:solidFill>
                                    <a:prstDash val="solid"/>
                                    <a:headEnd type="triangle" w="med" len="med"/>
                                    <a:tailEnd type="none" w="med" len="med"/>
                                  </a:ln>
                                </wps:spPr>
                                <wps:bodyPr upright="1"/>
                              </wps:wsp>
                              <wps:wsp>
                                <wps:cNvPr id="54" name="直线 1211"/>
                                <wps:cNvCnPr/>
                                <wps:spPr>
                                  <a:xfrm flipV="1">
                                    <a:off x="5287" y="1440"/>
                                    <a:ext cx="600" cy="0"/>
                                  </a:xfrm>
                                  <a:prstGeom prst="line">
                                    <a:avLst/>
                                  </a:prstGeom>
                                  <a:ln w="19050" cap="flat" cmpd="sng">
                                    <a:solidFill>
                                      <a:srgbClr val="000000"/>
                                    </a:solidFill>
                                    <a:prstDash val="solid"/>
                                    <a:headEnd type="triangle" w="med" len="med"/>
                                    <a:tailEnd type="none" w="med" len="med"/>
                                  </a:ln>
                                </wps:spPr>
                                <wps:bodyPr upright="1"/>
                              </wps:wsp>
                              <wps:wsp>
                                <wps:cNvPr id="55" name="直线 1212"/>
                                <wps:cNvCnPr/>
                                <wps:spPr>
                                  <a:xfrm flipV="1">
                                    <a:off x="6702" y="1440"/>
                                    <a:ext cx="600" cy="0"/>
                                  </a:xfrm>
                                  <a:prstGeom prst="line">
                                    <a:avLst/>
                                  </a:prstGeom>
                                  <a:ln w="19050" cap="flat" cmpd="sng">
                                    <a:solidFill>
                                      <a:srgbClr val="000000"/>
                                    </a:solidFill>
                                    <a:prstDash val="solid"/>
                                    <a:headEnd type="triangle" w="med" len="med"/>
                                    <a:tailEnd type="none" w="med" len="med"/>
                                  </a:ln>
                                </wps:spPr>
                                <wps:bodyPr upright="1"/>
                              </wps:wsp>
                            </wpg:wgp>
                            <wpg:wgp>
                              <wpg:cNvPr id="62" name="组合 1213"/>
                              <wpg:cNvGrpSpPr/>
                              <wpg:grpSpPr>
                                <a:xfrm>
                                  <a:off x="666750" y="2989581"/>
                                  <a:ext cx="3975100" cy="0"/>
                                  <a:chOff x="1042" y="1436"/>
                                  <a:chExt cx="6260" cy="8"/>
                                </a:xfrm>
                              </wpg:grpSpPr>
                              <wps:wsp>
                                <wps:cNvPr id="57" name="直线 1214"/>
                                <wps:cNvCnPr/>
                                <wps:spPr>
                                  <a:xfrm flipV="1">
                                    <a:off x="1042" y="1436"/>
                                    <a:ext cx="600" cy="8"/>
                                  </a:xfrm>
                                  <a:prstGeom prst="line">
                                    <a:avLst/>
                                  </a:prstGeom>
                                  <a:ln w="19050" cap="flat" cmpd="sng">
                                    <a:solidFill>
                                      <a:srgbClr val="000000"/>
                                    </a:solidFill>
                                    <a:prstDash val="solid"/>
                                    <a:headEnd type="none" w="med" len="med"/>
                                    <a:tailEnd type="triangle" w="med" len="med"/>
                                  </a:ln>
                                </wps:spPr>
                                <wps:bodyPr upright="1"/>
                              </wps:wsp>
                              <wps:wsp>
                                <wps:cNvPr id="58" name="直线 1215"/>
                                <wps:cNvCnPr/>
                                <wps:spPr>
                                  <a:xfrm flipV="1">
                                    <a:off x="2457" y="1440"/>
                                    <a:ext cx="600" cy="0"/>
                                  </a:xfrm>
                                  <a:prstGeom prst="line">
                                    <a:avLst/>
                                  </a:prstGeom>
                                  <a:ln w="19050" cap="flat" cmpd="sng">
                                    <a:solidFill>
                                      <a:srgbClr val="000000"/>
                                    </a:solidFill>
                                    <a:prstDash val="solid"/>
                                    <a:headEnd type="none" w="med" len="med"/>
                                    <a:tailEnd type="triangle" w="med" len="med"/>
                                  </a:ln>
                                </wps:spPr>
                                <wps:bodyPr upright="1"/>
                              </wps:wsp>
                              <wps:wsp>
                                <wps:cNvPr id="59" name="直线 1216"/>
                                <wps:cNvCnPr/>
                                <wps:spPr>
                                  <a:xfrm flipV="1">
                                    <a:off x="3872" y="1440"/>
                                    <a:ext cx="600" cy="0"/>
                                  </a:xfrm>
                                  <a:prstGeom prst="line">
                                    <a:avLst/>
                                  </a:prstGeom>
                                  <a:ln w="19050" cap="flat" cmpd="sng">
                                    <a:solidFill>
                                      <a:srgbClr val="000000"/>
                                    </a:solidFill>
                                    <a:prstDash val="solid"/>
                                    <a:headEnd type="none" w="med" len="med"/>
                                    <a:tailEnd type="triangle" w="med" len="med"/>
                                  </a:ln>
                                </wps:spPr>
                                <wps:bodyPr upright="1"/>
                              </wps:wsp>
                              <wps:wsp>
                                <wps:cNvPr id="60" name="直线 1217"/>
                                <wps:cNvCnPr/>
                                <wps:spPr>
                                  <a:xfrm flipV="1">
                                    <a:off x="5287" y="1440"/>
                                    <a:ext cx="600" cy="0"/>
                                  </a:xfrm>
                                  <a:prstGeom prst="line">
                                    <a:avLst/>
                                  </a:prstGeom>
                                  <a:ln w="19050" cap="flat" cmpd="sng">
                                    <a:solidFill>
                                      <a:srgbClr val="000000"/>
                                    </a:solidFill>
                                    <a:prstDash val="solid"/>
                                    <a:headEnd type="none" w="med" len="med"/>
                                    <a:tailEnd type="triangle" w="med" len="med"/>
                                  </a:ln>
                                </wps:spPr>
                                <wps:bodyPr upright="1"/>
                              </wps:wsp>
                              <wps:wsp>
                                <wps:cNvPr id="61" name="直线 1218"/>
                                <wps:cNvCnPr/>
                                <wps:spPr>
                                  <a:xfrm flipV="1">
                                    <a:off x="6702" y="1440"/>
                                    <a:ext cx="600" cy="0"/>
                                  </a:xfrm>
                                  <a:prstGeom prst="line">
                                    <a:avLst/>
                                  </a:prstGeom>
                                  <a:ln w="19050" cap="flat" cmpd="sng">
                                    <a:solidFill>
                                      <a:srgbClr val="000000"/>
                                    </a:solidFill>
                                    <a:prstDash val="solid"/>
                                    <a:headEnd type="none" w="med" len="med"/>
                                    <a:tailEnd type="triangle" w="med" len="med"/>
                                  </a:ln>
                                </wps:spPr>
                                <wps:bodyPr upright="1"/>
                              </wps:wsp>
                            </wpg:wgp>
                            <wpg:wgp>
                              <wpg:cNvPr id="67" name="组合 1225"/>
                              <wpg:cNvGrpSpPr/>
                              <wpg:grpSpPr>
                                <a:xfrm>
                                  <a:off x="1565275" y="4026536"/>
                                  <a:ext cx="3076575" cy="0"/>
                                  <a:chOff x="2465" y="6341"/>
                                  <a:chExt cx="4845" cy="0"/>
                                </a:xfrm>
                              </wpg:grpSpPr>
                              <wps:wsp>
                                <wps:cNvPr id="63" name="直线 1221"/>
                                <wps:cNvCnPr/>
                                <wps:spPr>
                                  <a:xfrm flipV="1">
                                    <a:off x="2465" y="6341"/>
                                    <a:ext cx="600" cy="0"/>
                                  </a:xfrm>
                                  <a:prstGeom prst="line">
                                    <a:avLst/>
                                  </a:prstGeom>
                                  <a:ln w="19050" cap="flat" cmpd="sng">
                                    <a:solidFill>
                                      <a:srgbClr val="000000"/>
                                    </a:solidFill>
                                    <a:prstDash val="solid"/>
                                    <a:headEnd type="triangle" w="med" len="med"/>
                                    <a:tailEnd type="none" w="med" len="med"/>
                                  </a:ln>
                                </wps:spPr>
                                <wps:bodyPr upright="1"/>
                              </wps:wsp>
                              <wps:wsp>
                                <wps:cNvPr id="64" name="直线 1222"/>
                                <wps:cNvCnPr/>
                                <wps:spPr>
                                  <a:xfrm flipV="1">
                                    <a:off x="3880" y="6341"/>
                                    <a:ext cx="600" cy="0"/>
                                  </a:xfrm>
                                  <a:prstGeom prst="line">
                                    <a:avLst/>
                                  </a:prstGeom>
                                  <a:ln w="19050" cap="flat" cmpd="sng">
                                    <a:solidFill>
                                      <a:srgbClr val="000000"/>
                                    </a:solidFill>
                                    <a:prstDash val="solid"/>
                                    <a:headEnd type="triangle" w="med" len="med"/>
                                    <a:tailEnd type="none" w="med" len="med"/>
                                  </a:ln>
                                </wps:spPr>
                                <wps:bodyPr upright="1"/>
                              </wps:wsp>
                              <wps:wsp>
                                <wps:cNvPr id="65" name="直线 1223"/>
                                <wps:cNvCnPr/>
                                <wps:spPr>
                                  <a:xfrm flipV="1">
                                    <a:off x="5295" y="6341"/>
                                    <a:ext cx="600" cy="0"/>
                                  </a:xfrm>
                                  <a:prstGeom prst="line">
                                    <a:avLst/>
                                  </a:prstGeom>
                                  <a:ln w="19050" cap="flat" cmpd="sng">
                                    <a:solidFill>
                                      <a:srgbClr val="000000"/>
                                    </a:solidFill>
                                    <a:prstDash val="solid"/>
                                    <a:headEnd type="triangle" w="med" len="med"/>
                                    <a:tailEnd type="none" w="med" len="med"/>
                                  </a:ln>
                                </wps:spPr>
                                <wps:bodyPr upright="1"/>
                              </wps:wsp>
                              <wps:wsp>
                                <wps:cNvPr id="66" name="直线 1224"/>
                                <wps:cNvCnPr/>
                                <wps:spPr>
                                  <a:xfrm flipV="1">
                                    <a:off x="6710" y="6341"/>
                                    <a:ext cx="600" cy="0"/>
                                  </a:xfrm>
                                  <a:prstGeom prst="line">
                                    <a:avLst/>
                                  </a:prstGeom>
                                  <a:ln w="19050" cap="flat" cmpd="sng">
                                    <a:solidFill>
                                      <a:srgbClr val="000000"/>
                                    </a:solidFill>
                                    <a:prstDash val="solid"/>
                                    <a:headEnd type="triangle" w="med" len="med"/>
                                    <a:tailEnd type="none" w="med" len="med"/>
                                  </a:ln>
                                </wps:spPr>
                                <wps:bodyPr upright="1"/>
                              </wps:wsp>
                            </wpg:wgp>
                            <wps:wsp>
                              <wps:cNvPr id="68" name="直线 1226"/>
                              <wps:cNvCnPr/>
                              <wps:spPr>
                                <a:xfrm flipH="1">
                                  <a:off x="5091430" y="1228725"/>
                                  <a:ext cx="6985" cy="611505"/>
                                </a:xfrm>
                                <a:prstGeom prst="line">
                                  <a:avLst/>
                                </a:prstGeom>
                                <a:ln w="19050" cap="flat" cmpd="sng">
                                  <a:solidFill>
                                    <a:srgbClr val="000000"/>
                                  </a:solidFill>
                                  <a:prstDash val="solid"/>
                                  <a:headEnd type="none" w="med" len="med"/>
                                  <a:tailEnd type="triangle" w="med" len="med"/>
                                </a:ln>
                              </wps:spPr>
                              <wps:bodyPr upright="1"/>
                            </wps:wsp>
                            <wps:wsp>
                              <wps:cNvPr id="69" name="直线 1227"/>
                              <wps:cNvCnPr/>
                              <wps:spPr>
                                <a:xfrm>
                                  <a:off x="233045" y="2052955"/>
                                  <a:ext cx="0" cy="825500"/>
                                </a:xfrm>
                                <a:prstGeom prst="line">
                                  <a:avLst/>
                                </a:prstGeom>
                                <a:ln w="19050" cap="flat" cmpd="sng">
                                  <a:solidFill>
                                    <a:srgbClr val="000000"/>
                                  </a:solidFill>
                                  <a:prstDash val="solid"/>
                                  <a:headEnd type="none" w="med" len="med"/>
                                  <a:tailEnd type="triangle" w="med" len="med"/>
                                </a:ln>
                              </wps:spPr>
                              <wps:bodyPr upright="1"/>
                            </wps:wsp>
                            <wps:wsp>
                              <wps:cNvPr id="70" name="直线 1228"/>
                              <wps:cNvCnPr/>
                              <wps:spPr>
                                <a:xfrm>
                                  <a:off x="5100955" y="3089911"/>
                                  <a:ext cx="0" cy="825500"/>
                                </a:xfrm>
                                <a:prstGeom prst="line">
                                  <a:avLst/>
                                </a:prstGeom>
                                <a:ln w="19050" cap="flat" cmpd="sng">
                                  <a:solidFill>
                                    <a:srgbClr val="000000"/>
                                  </a:solidFill>
                                  <a:prstDash val="solid"/>
                                  <a:headEnd type="none" w="med" len="med"/>
                                  <a:tailEnd type="triangle" w="med" len="med"/>
                                </a:ln>
                              </wps:spPr>
                              <wps:bodyPr upright="1"/>
                            </wps:wsp>
                            <wpg:wgp>
                              <wpg:cNvPr id="73" name="组合 1231"/>
                              <wpg:cNvGrpSpPr/>
                              <wpg:grpSpPr>
                                <a:xfrm>
                                  <a:off x="942340" y="333375"/>
                                  <a:ext cx="711200" cy="462280"/>
                                  <a:chOff x="1484" y="530"/>
                                  <a:chExt cx="1120" cy="728"/>
                                </a:xfrm>
                              </wpg:grpSpPr>
                              <wps:wsp>
                                <wps:cNvPr id="71" name="直线 1229"/>
                                <wps:cNvCnPr/>
                                <wps:spPr>
                                  <a:xfrm flipV="1">
                                    <a:off x="2054" y="880"/>
                                    <a:ext cx="1" cy="378"/>
                                  </a:xfrm>
                                  <a:prstGeom prst="line">
                                    <a:avLst/>
                                  </a:prstGeom>
                                  <a:ln w="19050" cap="sq" cmpd="sng">
                                    <a:solidFill>
                                      <a:srgbClr val="000000"/>
                                    </a:solidFill>
                                    <a:prstDash val="sysDot"/>
                                    <a:headEnd type="none" w="med" len="med"/>
                                    <a:tailEnd type="triangle" w="med" len="med"/>
                                  </a:ln>
                                </wps:spPr>
                                <wps:bodyPr upright="1"/>
                              </wps:wsp>
                              <wps:wsp>
                                <wps:cNvPr id="72" name="文本框 1230"/>
                                <wps:cNvSpPr txBox="1"/>
                                <wps:spPr>
                                  <a:xfrm>
                                    <a:off x="1484" y="530"/>
                                    <a:ext cx="1121" cy="341"/>
                                  </a:xfrm>
                                  <a:prstGeom prst="rect">
                                    <a:avLst/>
                                  </a:prstGeom>
                                  <a:solidFill>
                                    <a:srgbClr val="FFFFFF"/>
                                  </a:solidFill>
                                  <a:ln w="19050" cap="sq" cmpd="sng">
                                    <a:solidFill>
                                      <a:srgbClr val="000000"/>
                                    </a:solidFill>
                                    <a:prstDash val="sysDot"/>
                                    <a:miter/>
                                    <a:headEnd type="none" w="med" len="med"/>
                                    <a:tailEnd type="none" w="med" len="med"/>
                                  </a:ln>
                                </wps:spPr>
                                <wps:txbx>
                                  <w:txbxContent>
                                    <w:p w14:paraId="3AC5646A">
                                      <w:pPr>
                                        <w:jc w:val="center"/>
                                        <w:rPr>
                                          <w:sz w:val="24"/>
                                        </w:rPr>
                                      </w:pPr>
                                      <w:r>
                                        <w:rPr>
                                          <w:rFonts w:hint="eastAsia"/>
                                          <w:sz w:val="24"/>
                                        </w:rPr>
                                        <w:t>G、N、S</w:t>
                                      </w:r>
                                    </w:p>
                                  </w:txbxContent>
                                </wps:txbx>
                                <wps:bodyPr vert="horz" wrap="square" lIns="0" tIns="0" rIns="0" bIns="0" anchor="t" anchorCtr="0" upright="1">
                                  <a:spAutoFit/>
                                </wps:bodyPr>
                              </wps:wsp>
                            </wpg:wgp>
                            <wps:wsp>
                              <wps:cNvPr id="74" name="直线 1233"/>
                              <wps:cNvCnPr/>
                              <wps:spPr>
                                <a:xfrm flipV="1">
                                  <a:off x="3129280" y="553085"/>
                                  <a:ext cx="1270" cy="237490"/>
                                </a:xfrm>
                                <a:prstGeom prst="line">
                                  <a:avLst/>
                                </a:prstGeom>
                                <a:ln w="19050" cap="sq" cmpd="sng">
                                  <a:solidFill>
                                    <a:srgbClr val="000000"/>
                                  </a:solidFill>
                                  <a:prstDash val="sysDot"/>
                                  <a:headEnd type="none" w="med" len="med"/>
                                  <a:tailEnd type="triangle" w="med" len="med"/>
                                </a:ln>
                              </wps:spPr>
                              <wps:bodyPr upright="1"/>
                            </wps:wsp>
                            <wps:wsp>
                              <wps:cNvPr id="75" name="文本框 1234"/>
                              <wps:cNvSpPr txBox="1"/>
                              <wps:spPr>
                                <a:xfrm>
                                  <a:off x="1958340" y="333375"/>
                                  <a:ext cx="1394460" cy="216535"/>
                                </a:xfrm>
                                <a:prstGeom prst="rect">
                                  <a:avLst/>
                                </a:prstGeom>
                                <a:solidFill>
                                  <a:srgbClr val="FFFFFF"/>
                                </a:solidFill>
                                <a:ln w="19050" cap="sq" cmpd="sng">
                                  <a:solidFill>
                                    <a:srgbClr val="000000"/>
                                  </a:solidFill>
                                  <a:prstDash val="sysDot"/>
                                  <a:miter/>
                                  <a:headEnd type="none" w="med" len="med"/>
                                  <a:tailEnd type="none" w="med" len="med"/>
                                </a:ln>
                              </wps:spPr>
                              <wps:txbx>
                                <w:txbxContent>
                                  <w:p w14:paraId="15F4D85A">
                                    <w:pPr>
                                      <w:jc w:val="center"/>
                                      <w:rPr>
                                        <w:sz w:val="24"/>
                                      </w:rPr>
                                    </w:pPr>
                                    <w:r>
                                      <w:rPr>
                                        <w:rFonts w:hint="eastAsia"/>
                                        <w:sz w:val="24"/>
                                      </w:rPr>
                                      <w:t>G、N、S</w:t>
                                    </w:r>
                                  </w:p>
                                </w:txbxContent>
                              </wps:txbx>
                              <wps:bodyPr vert="horz" wrap="square" lIns="0" tIns="0" rIns="0" bIns="0" anchor="t" anchorCtr="0" upright="1">
                                <a:spAutoFit/>
                              </wps:bodyPr>
                            </wps:wsp>
                            <wpg:wgp>
                              <wpg:cNvPr id="78" name="组合 1235"/>
                              <wpg:cNvGrpSpPr/>
                              <wpg:grpSpPr>
                                <a:xfrm>
                                  <a:off x="3644265" y="333375"/>
                                  <a:ext cx="711835" cy="457200"/>
                                  <a:chOff x="1484" y="530"/>
                                  <a:chExt cx="1121" cy="728"/>
                                </a:xfrm>
                              </wpg:grpSpPr>
                              <wps:wsp>
                                <wps:cNvPr id="76" name="直线 1236"/>
                                <wps:cNvCnPr/>
                                <wps:spPr>
                                  <a:xfrm flipV="1">
                                    <a:off x="2054" y="880"/>
                                    <a:ext cx="1" cy="378"/>
                                  </a:xfrm>
                                  <a:prstGeom prst="line">
                                    <a:avLst/>
                                  </a:prstGeom>
                                  <a:ln w="19050" cap="sq" cmpd="sng">
                                    <a:solidFill>
                                      <a:srgbClr val="000000"/>
                                    </a:solidFill>
                                    <a:prstDash val="sysDot"/>
                                    <a:headEnd type="none" w="med" len="med"/>
                                    <a:tailEnd type="triangle" w="med" len="med"/>
                                  </a:ln>
                                </wps:spPr>
                                <wps:bodyPr upright="1"/>
                              </wps:wsp>
                              <wps:wsp>
                                <wps:cNvPr id="77" name="文本框 1237"/>
                                <wps:cNvSpPr txBox="1"/>
                                <wps:spPr>
                                  <a:xfrm>
                                    <a:off x="1484" y="530"/>
                                    <a:ext cx="1121" cy="345"/>
                                  </a:xfrm>
                                  <a:prstGeom prst="rect">
                                    <a:avLst/>
                                  </a:prstGeom>
                                  <a:solidFill>
                                    <a:srgbClr val="FFFFFF"/>
                                  </a:solidFill>
                                  <a:ln w="19050" cap="sq" cmpd="sng">
                                    <a:solidFill>
                                      <a:srgbClr val="000000"/>
                                    </a:solidFill>
                                    <a:prstDash val="sysDot"/>
                                    <a:miter/>
                                    <a:headEnd type="none" w="med" len="med"/>
                                    <a:tailEnd type="none" w="med" len="med"/>
                                  </a:ln>
                                </wps:spPr>
                                <wps:txbx>
                                  <w:txbxContent>
                                    <w:p w14:paraId="0CB5A5D1">
                                      <w:pPr>
                                        <w:jc w:val="center"/>
                                        <w:rPr>
                                          <w:sz w:val="24"/>
                                        </w:rPr>
                                      </w:pPr>
                                      <w:r>
                                        <w:rPr>
                                          <w:rFonts w:hint="eastAsia"/>
                                          <w:sz w:val="24"/>
                                        </w:rPr>
                                        <w:t>G、N、S</w:t>
                                      </w:r>
                                    </w:p>
                                  </w:txbxContent>
                                </wps:txbx>
                                <wps:bodyPr vert="horz" wrap="square" lIns="0" tIns="0" rIns="0" bIns="0" anchor="t" anchorCtr="0" upright="1">
                                  <a:spAutoFit/>
                                </wps:bodyPr>
                              </wps:wsp>
                            </wpg:wgp>
                            <wpg:wgp>
                              <wpg:cNvPr id="81" name="组合 1238"/>
                              <wpg:cNvGrpSpPr/>
                              <wpg:grpSpPr>
                                <a:xfrm>
                                  <a:off x="4531360" y="333375"/>
                                  <a:ext cx="711835" cy="457200"/>
                                  <a:chOff x="1484" y="530"/>
                                  <a:chExt cx="1121" cy="728"/>
                                </a:xfrm>
                              </wpg:grpSpPr>
                              <wps:wsp>
                                <wps:cNvPr id="79" name="直线 1239"/>
                                <wps:cNvCnPr/>
                                <wps:spPr>
                                  <a:xfrm flipV="1">
                                    <a:off x="2054" y="880"/>
                                    <a:ext cx="1" cy="378"/>
                                  </a:xfrm>
                                  <a:prstGeom prst="line">
                                    <a:avLst/>
                                  </a:prstGeom>
                                  <a:ln w="19050" cap="sq" cmpd="sng">
                                    <a:solidFill>
                                      <a:srgbClr val="000000"/>
                                    </a:solidFill>
                                    <a:prstDash val="sysDot"/>
                                    <a:headEnd type="none" w="med" len="med"/>
                                    <a:tailEnd type="triangle" w="med" len="med"/>
                                  </a:ln>
                                </wps:spPr>
                                <wps:bodyPr upright="1"/>
                              </wps:wsp>
                              <wps:wsp>
                                <wps:cNvPr id="80" name="文本框 1240"/>
                                <wps:cNvSpPr txBox="1"/>
                                <wps:spPr>
                                  <a:xfrm>
                                    <a:off x="1484" y="530"/>
                                    <a:ext cx="1121" cy="309"/>
                                  </a:xfrm>
                                  <a:prstGeom prst="rect">
                                    <a:avLst/>
                                  </a:prstGeom>
                                  <a:solidFill>
                                    <a:srgbClr val="FFFFFF"/>
                                  </a:solidFill>
                                  <a:ln w="19050" cap="sq" cmpd="sng">
                                    <a:solidFill>
                                      <a:srgbClr val="000000"/>
                                    </a:solidFill>
                                    <a:prstDash val="sysDot"/>
                                    <a:miter/>
                                    <a:headEnd type="none" w="med" len="med"/>
                                    <a:tailEnd type="none" w="med" len="med"/>
                                  </a:ln>
                                </wps:spPr>
                                <wps:txbx>
                                  <w:txbxContent>
                                    <w:p w14:paraId="6DF0AA77">
                                      <w:pPr>
                                        <w:jc w:val="center"/>
                                        <w:rPr>
                                          <w:sz w:val="24"/>
                                        </w:rPr>
                                      </w:pPr>
                                      <w:r>
                                        <w:rPr>
                                          <w:rFonts w:hint="eastAsia"/>
                                          <w:sz w:val="24"/>
                                        </w:rPr>
                                        <w:t>G</w:t>
                                      </w:r>
                                    </w:p>
                                  </w:txbxContent>
                                </wps:txbx>
                                <wps:bodyPr vert="horz" wrap="square" lIns="0" tIns="0" rIns="0" bIns="0" anchor="t" anchorCtr="0" upright="1">
                                  <a:spAutoFit/>
                                </wps:bodyPr>
                              </wps:wsp>
                            </wpg:wgp>
                            <wps:wsp>
                              <wps:cNvPr id="82" name="直线 1242"/>
                              <wps:cNvCnPr/>
                              <wps:spPr>
                                <a:xfrm flipV="1">
                                  <a:off x="2221230" y="1584325"/>
                                  <a:ext cx="1905" cy="237490"/>
                                </a:xfrm>
                                <a:prstGeom prst="line">
                                  <a:avLst/>
                                </a:prstGeom>
                                <a:ln w="19050" cap="sq" cmpd="sng">
                                  <a:solidFill>
                                    <a:srgbClr val="000000"/>
                                  </a:solidFill>
                                  <a:prstDash val="sysDot"/>
                                  <a:headEnd type="none" w="med" len="med"/>
                                  <a:tailEnd type="triangle" w="med" len="med"/>
                                </a:ln>
                              </wps:spPr>
                              <wps:bodyPr upright="1"/>
                            </wps:wsp>
                            <wps:wsp>
                              <wps:cNvPr id="83" name="文本框 1243"/>
                              <wps:cNvSpPr txBox="1"/>
                              <wps:spPr>
                                <a:xfrm>
                                  <a:off x="960120" y="1363980"/>
                                  <a:ext cx="2479675" cy="216535"/>
                                </a:xfrm>
                                <a:prstGeom prst="rect">
                                  <a:avLst/>
                                </a:prstGeom>
                                <a:solidFill>
                                  <a:srgbClr val="FFFFFF"/>
                                </a:solidFill>
                                <a:ln w="19050" cap="sq" cmpd="sng">
                                  <a:solidFill>
                                    <a:srgbClr val="000000"/>
                                  </a:solidFill>
                                  <a:prstDash val="sysDot"/>
                                  <a:miter/>
                                  <a:headEnd type="none" w="med" len="med"/>
                                  <a:tailEnd type="none" w="med" len="med"/>
                                </a:ln>
                              </wps:spPr>
                              <wps:txbx>
                                <w:txbxContent>
                                  <w:p w14:paraId="17DB24E8">
                                    <w:pPr>
                                      <w:jc w:val="center"/>
                                      <w:rPr>
                                        <w:sz w:val="24"/>
                                      </w:rPr>
                                    </w:pPr>
                                    <w:r>
                                      <w:rPr>
                                        <w:rFonts w:hint="eastAsia"/>
                                        <w:sz w:val="24"/>
                                      </w:rPr>
                                      <w:t>G、N、S</w:t>
                                    </w:r>
                                  </w:p>
                                </w:txbxContent>
                              </wps:txbx>
                              <wps:bodyPr vert="horz" wrap="square" lIns="0" tIns="0" rIns="0" bIns="0" anchor="t" anchorCtr="0" upright="1">
                                <a:spAutoFit/>
                              </wps:bodyPr>
                            </wps:wsp>
                            <wpg:wgp>
                              <wpg:cNvPr id="86" name="组合 1274"/>
                              <wpg:cNvGrpSpPr/>
                              <wpg:grpSpPr>
                                <a:xfrm>
                                  <a:off x="3649980" y="1363980"/>
                                  <a:ext cx="711200" cy="457200"/>
                                  <a:chOff x="1484" y="530"/>
                                  <a:chExt cx="1121" cy="728"/>
                                </a:xfrm>
                              </wpg:grpSpPr>
                              <wps:wsp>
                                <wps:cNvPr id="84" name="直线 1275"/>
                                <wps:cNvCnPr/>
                                <wps:spPr>
                                  <a:xfrm flipV="1">
                                    <a:off x="2054" y="880"/>
                                    <a:ext cx="1" cy="378"/>
                                  </a:xfrm>
                                  <a:prstGeom prst="line">
                                    <a:avLst/>
                                  </a:prstGeom>
                                  <a:ln w="19050" cap="sq" cmpd="sng">
                                    <a:solidFill>
                                      <a:srgbClr val="000000"/>
                                    </a:solidFill>
                                    <a:prstDash val="sysDot"/>
                                    <a:headEnd type="none" w="med" len="med"/>
                                    <a:tailEnd type="triangle" w="med" len="med"/>
                                  </a:ln>
                                </wps:spPr>
                                <wps:bodyPr upright="1"/>
                              </wps:wsp>
                              <wps:wsp>
                                <wps:cNvPr id="85" name="文本框 1276"/>
                                <wps:cNvSpPr txBox="1"/>
                                <wps:spPr>
                                  <a:xfrm>
                                    <a:off x="1484" y="530"/>
                                    <a:ext cx="1121" cy="309"/>
                                  </a:xfrm>
                                  <a:prstGeom prst="rect">
                                    <a:avLst/>
                                  </a:prstGeom>
                                  <a:solidFill>
                                    <a:srgbClr val="FFFFFF"/>
                                  </a:solidFill>
                                  <a:ln w="19050" cap="sq" cmpd="sng">
                                    <a:solidFill>
                                      <a:srgbClr val="000000"/>
                                    </a:solidFill>
                                    <a:prstDash val="sysDot"/>
                                    <a:miter/>
                                    <a:headEnd type="none" w="med" len="med"/>
                                    <a:tailEnd type="none" w="med" len="med"/>
                                  </a:ln>
                                </wps:spPr>
                                <wps:txbx>
                                  <w:txbxContent>
                                    <w:p w14:paraId="4685DA68">
                                      <w:pPr>
                                        <w:jc w:val="center"/>
                                        <w:rPr>
                                          <w:sz w:val="24"/>
                                        </w:rPr>
                                      </w:pPr>
                                      <w:r>
                                        <w:rPr>
                                          <w:rFonts w:hint="eastAsia"/>
                                          <w:sz w:val="24"/>
                                        </w:rPr>
                                        <w:t>G</w:t>
                                      </w:r>
                                    </w:p>
                                  </w:txbxContent>
                                </wps:txbx>
                                <wps:bodyPr vert="horz" wrap="square" lIns="0" tIns="0" rIns="0" bIns="0" anchor="t" anchorCtr="0" upright="1">
                                  <a:spAutoFit/>
                                </wps:bodyPr>
                              </wps:wsp>
                            </wpg:wgp>
                            <wps:wsp>
                              <wps:cNvPr id="87" name="直线 1277"/>
                              <wps:cNvCnPr/>
                              <wps:spPr>
                                <a:xfrm flipV="1">
                                  <a:off x="1298575" y="1590675"/>
                                  <a:ext cx="0" cy="228600"/>
                                </a:xfrm>
                                <a:prstGeom prst="line">
                                  <a:avLst/>
                                </a:prstGeom>
                                <a:ln w="19050" cap="sq" cmpd="sng">
                                  <a:solidFill>
                                    <a:srgbClr val="000000"/>
                                  </a:solidFill>
                                  <a:prstDash val="sysDot"/>
                                  <a:headEnd type="none" w="med" len="med"/>
                                  <a:tailEnd type="triangle" w="med" len="med"/>
                                </a:ln>
                              </wps:spPr>
                              <wps:bodyPr upright="1"/>
                            </wps:wsp>
                            <wps:wsp>
                              <wps:cNvPr id="88" name="直线 1278"/>
                              <wps:cNvCnPr/>
                              <wps:spPr>
                                <a:xfrm flipV="1">
                                  <a:off x="3108325" y="1597025"/>
                                  <a:ext cx="0" cy="228600"/>
                                </a:xfrm>
                                <a:prstGeom prst="line">
                                  <a:avLst/>
                                </a:prstGeom>
                                <a:ln w="19050" cap="sq" cmpd="sng">
                                  <a:solidFill>
                                    <a:srgbClr val="000000"/>
                                  </a:solidFill>
                                  <a:prstDash val="sysDot"/>
                                  <a:headEnd type="none" w="med" len="med"/>
                                  <a:tailEnd type="triangle" w="med" len="med"/>
                                </a:ln>
                              </wps:spPr>
                              <wps:bodyPr upright="1"/>
                            </wps:wsp>
                            <wpg:wgp>
                              <wpg:cNvPr id="91" name="组合 1279"/>
                              <wpg:cNvGrpSpPr/>
                              <wpg:grpSpPr>
                                <a:xfrm>
                                  <a:off x="941705" y="2422526"/>
                                  <a:ext cx="711200" cy="457200"/>
                                  <a:chOff x="1484" y="530"/>
                                  <a:chExt cx="1121" cy="728"/>
                                </a:xfrm>
                              </wpg:grpSpPr>
                              <wps:wsp>
                                <wps:cNvPr id="89" name="直线 1280"/>
                                <wps:cNvCnPr/>
                                <wps:spPr>
                                  <a:xfrm flipV="1">
                                    <a:off x="2054" y="880"/>
                                    <a:ext cx="1" cy="378"/>
                                  </a:xfrm>
                                  <a:prstGeom prst="line">
                                    <a:avLst/>
                                  </a:prstGeom>
                                  <a:ln w="19050" cap="sq" cmpd="sng">
                                    <a:solidFill>
                                      <a:srgbClr val="000000"/>
                                    </a:solidFill>
                                    <a:prstDash val="sysDot"/>
                                    <a:headEnd type="none" w="med" len="med"/>
                                    <a:tailEnd type="triangle" w="med" len="med"/>
                                  </a:ln>
                                </wps:spPr>
                                <wps:bodyPr upright="1"/>
                              </wps:wsp>
                              <wps:wsp>
                                <wps:cNvPr id="90" name="文本框 1281"/>
                                <wps:cNvSpPr txBox="1"/>
                                <wps:spPr>
                                  <a:xfrm>
                                    <a:off x="1484" y="530"/>
                                    <a:ext cx="1121" cy="345"/>
                                  </a:xfrm>
                                  <a:prstGeom prst="rect">
                                    <a:avLst/>
                                  </a:prstGeom>
                                  <a:solidFill>
                                    <a:srgbClr val="FFFFFF"/>
                                  </a:solidFill>
                                  <a:ln w="19050" cap="sq" cmpd="sng">
                                    <a:solidFill>
                                      <a:srgbClr val="000000"/>
                                    </a:solidFill>
                                    <a:prstDash val="sysDot"/>
                                    <a:miter/>
                                    <a:headEnd type="none" w="med" len="med"/>
                                    <a:tailEnd type="none" w="med" len="med"/>
                                  </a:ln>
                                </wps:spPr>
                                <wps:txbx>
                                  <w:txbxContent>
                                    <w:p w14:paraId="620A0543">
                                      <w:pPr>
                                        <w:jc w:val="center"/>
                                        <w:rPr>
                                          <w:sz w:val="24"/>
                                        </w:rPr>
                                      </w:pPr>
                                      <w:r>
                                        <w:rPr>
                                          <w:rFonts w:hint="eastAsia"/>
                                          <w:sz w:val="24"/>
                                        </w:rPr>
                                        <w:t>G、S</w:t>
                                      </w:r>
                                    </w:p>
                                  </w:txbxContent>
                                </wps:txbx>
                                <wps:bodyPr vert="horz" wrap="square" lIns="0" tIns="0" rIns="0" bIns="0" anchor="t" anchorCtr="0" upright="1">
                                  <a:spAutoFit/>
                                </wps:bodyPr>
                              </wps:wsp>
                            </wpg:wgp>
                            <wpg:wgp>
                              <wpg:cNvPr id="94" name="组合 1282"/>
                              <wpg:cNvGrpSpPr/>
                              <wpg:grpSpPr>
                                <a:xfrm>
                                  <a:off x="1852295" y="2422526"/>
                                  <a:ext cx="711200" cy="457200"/>
                                  <a:chOff x="1484" y="530"/>
                                  <a:chExt cx="1121" cy="728"/>
                                </a:xfrm>
                              </wpg:grpSpPr>
                              <wps:wsp>
                                <wps:cNvPr id="92" name="直线 1283"/>
                                <wps:cNvCnPr/>
                                <wps:spPr>
                                  <a:xfrm flipV="1">
                                    <a:off x="2054" y="880"/>
                                    <a:ext cx="1" cy="378"/>
                                  </a:xfrm>
                                  <a:prstGeom prst="line">
                                    <a:avLst/>
                                  </a:prstGeom>
                                  <a:ln w="19050" cap="sq" cmpd="sng">
                                    <a:solidFill>
                                      <a:srgbClr val="000000"/>
                                    </a:solidFill>
                                    <a:prstDash val="sysDot"/>
                                    <a:headEnd type="none" w="med" len="med"/>
                                    <a:tailEnd type="triangle" w="med" len="med"/>
                                  </a:ln>
                                </wps:spPr>
                                <wps:bodyPr upright="1"/>
                              </wps:wsp>
                              <wps:wsp>
                                <wps:cNvPr id="93" name="文本框 1284"/>
                                <wps:cNvSpPr txBox="1"/>
                                <wps:spPr>
                                  <a:xfrm>
                                    <a:off x="1484" y="530"/>
                                    <a:ext cx="1121" cy="345"/>
                                  </a:xfrm>
                                  <a:prstGeom prst="rect">
                                    <a:avLst/>
                                  </a:prstGeom>
                                  <a:solidFill>
                                    <a:srgbClr val="FFFFFF"/>
                                  </a:solidFill>
                                  <a:ln w="19050" cap="sq" cmpd="sng">
                                    <a:solidFill>
                                      <a:srgbClr val="000000"/>
                                    </a:solidFill>
                                    <a:prstDash val="sysDot"/>
                                    <a:miter/>
                                    <a:headEnd type="none" w="med" len="med"/>
                                    <a:tailEnd type="none" w="med" len="med"/>
                                  </a:ln>
                                </wps:spPr>
                                <wps:txbx>
                                  <w:txbxContent>
                                    <w:p w14:paraId="428AEB56">
                                      <w:pPr>
                                        <w:jc w:val="center"/>
                                        <w:rPr>
                                          <w:sz w:val="24"/>
                                        </w:rPr>
                                      </w:pPr>
                                      <w:r>
                                        <w:rPr>
                                          <w:rFonts w:hint="eastAsia"/>
                                          <w:sz w:val="24"/>
                                        </w:rPr>
                                        <w:t>G、S</w:t>
                                      </w:r>
                                    </w:p>
                                  </w:txbxContent>
                                </wps:txbx>
                                <wps:bodyPr vert="horz" wrap="square" lIns="0" tIns="0" rIns="0" bIns="0" anchor="t" anchorCtr="0" upright="1">
                                  <a:spAutoFit/>
                                </wps:bodyPr>
                              </wps:wsp>
                            </wpg:wgp>
                            <wpg:wgp>
                              <wpg:cNvPr id="97" name="组合 1286"/>
                              <wpg:cNvGrpSpPr/>
                              <wpg:grpSpPr>
                                <a:xfrm>
                                  <a:off x="2745105" y="2422526"/>
                                  <a:ext cx="711200" cy="457200"/>
                                  <a:chOff x="1484" y="530"/>
                                  <a:chExt cx="1121" cy="728"/>
                                </a:xfrm>
                              </wpg:grpSpPr>
                              <wps:wsp>
                                <wps:cNvPr id="95" name="直线 1287"/>
                                <wps:cNvCnPr/>
                                <wps:spPr>
                                  <a:xfrm flipV="1">
                                    <a:off x="2054" y="880"/>
                                    <a:ext cx="1" cy="378"/>
                                  </a:xfrm>
                                  <a:prstGeom prst="line">
                                    <a:avLst/>
                                  </a:prstGeom>
                                  <a:ln w="19050" cap="sq" cmpd="sng">
                                    <a:solidFill>
                                      <a:srgbClr val="000000"/>
                                    </a:solidFill>
                                    <a:prstDash val="sysDot"/>
                                    <a:headEnd type="none" w="med" len="med"/>
                                    <a:tailEnd type="triangle" w="med" len="med"/>
                                  </a:ln>
                                </wps:spPr>
                                <wps:bodyPr upright="1"/>
                              </wps:wsp>
                              <wps:wsp>
                                <wps:cNvPr id="96" name="文本框 1288"/>
                                <wps:cNvSpPr txBox="1"/>
                                <wps:spPr>
                                  <a:xfrm>
                                    <a:off x="1484" y="530"/>
                                    <a:ext cx="1121" cy="309"/>
                                  </a:xfrm>
                                  <a:prstGeom prst="rect">
                                    <a:avLst/>
                                  </a:prstGeom>
                                  <a:solidFill>
                                    <a:srgbClr val="FFFFFF"/>
                                  </a:solidFill>
                                  <a:ln w="19050" cap="sq" cmpd="sng">
                                    <a:solidFill>
                                      <a:srgbClr val="000000"/>
                                    </a:solidFill>
                                    <a:prstDash val="sysDot"/>
                                    <a:miter/>
                                    <a:headEnd type="none" w="med" len="med"/>
                                    <a:tailEnd type="none" w="med" len="med"/>
                                  </a:ln>
                                </wps:spPr>
                                <wps:txbx>
                                  <w:txbxContent>
                                    <w:p w14:paraId="7B7873F9">
                                      <w:pPr>
                                        <w:jc w:val="center"/>
                                        <w:rPr>
                                          <w:sz w:val="24"/>
                                        </w:rPr>
                                      </w:pPr>
                                      <w:r>
                                        <w:rPr>
                                          <w:rFonts w:hint="eastAsia"/>
                                          <w:sz w:val="24"/>
                                        </w:rPr>
                                        <w:t>G</w:t>
                                      </w:r>
                                    </w:p>
                                  </w:txbxContent>
                                </wps:txbx>
                                <wps:bodyPr vert="horz" wrap="square" lIns="0" tIns="0" rIns="0" bIns="0" anchor="t" anchorCtr="0" upright="1">
                                  <a:spAutoFit/>
                                </wps:bodyPr>
                              </wps:wsp>
                            </wpg:wgp>
                            <wpg:wgp>
                              <wpg:cNvPr id="100" name="组合 1289"/>
                              <wpg:cNvGrpSpPr/>
                              <wpg:grpSpPr>
                                <a:xfrm>
                                  <a:off x="3644265" y="2422526"/>
                                  <a:ext cx="711200" cy="457200"/>
                                  <a:chOff x="1484" y="530"/>
                                  <a:chExt cx="1121" cy="728"/>
                                </a:xfrm>
                              </wpg:grpSpPr>
                              <wps:wsp>
                                <wps:cNvPr id="98" name="直线 1290"/>
                                <wps:cNvCnPr/>
                                <wps:spPr>
                                  <a:xfrm flipV="1">
                                    <a:off x="2054" y="880"/>
                                    <a:ext cx="1" cy="378"/>
                                  </a:xfrm>
                                  <a:prstGeom prst="line">
                                    <a:avLst/>
                                  </a:prstGeom>
                                  <a:ln w="19050" cap="sq" cmpd="sng">
                                    <a:solidFill>
                                      <a:srgbClr val="000000"/>
                                    </a:solidFill>
                                    <a:prstDash val="sysDot"/>
                                    <a:headEnd type="none" w="med" len="med"/>
                                    <a:tailEnd type="triangle" w="med" len="med"/>
                                  </a:ln>
                                </wps:spPr>
                                <wps:bodyPr upright="1"/>
                              </wps:wsp>
                              <wps:wsp>
                                <wps:cNvPr id="99" name="文本框 1291"/>
                                <wps:cNvSpPr txBox="1"/>
                                <wps:spPr>
                                  <a:xfrm>
                                    <a:off x="1484" y="530"/>
                                    <a:ext cx="1121" cy="309"/>
                                  </a:xfrm>
                                  <a:prstGeom prst="rect">
                                    <a:avLst/>
                                  </a:prstGeom>
                                  <a:solidFill>
                                    <a:srgbClr val="FFFFFF"/>
                                  </a:solidFill>
                                  <a:ln w="19050" cap="sq" cmpd="sng">
                                    <a:solidFill>
                                      <a:srgbClr val="000000"/>
                                    </a:solidFill>
                                    <a:prstDash val="sysDot"/>
                                    <a:miter/>
                                    <a:headEnd type="none" w="med" len="med"/>
                                    <a:tailEnd type="none" w="med" len="med"/>
                                  </a:ln>
                                </wps:spPr>
                                <wps:txbx>
                                  <w:txbxContent>
                                    <w:p w14:paraId="3CA8B4D9">
                                      <w:pPr>
                                        <w:jc w:val="center"/>
                                        <w:rPr>
                                          <w:sz w:val="24"/>
                                        </w:rPr>
                                      </w:pPr>
                                      <w:r>
                                        <w:rPr>
                                          <w:rFonts w:hint="eastAsia"/>
                                          <w:sz w:val="24"/>
                                        </w:rPr>
                                        <w:t>G</w:t>
                                      </w:r>
                                    </w:p>
                                  </w:txbxContent>
                                </wps:txbx>
                                <wps:bodyPr vert="horz" wrap="square" lIns="0" tIns="0" rIns="0" bIns="0" anchor="t" anchorCtr="0" upright="1">
                                  <a:spAutoFit/>
                                </wps:bodyPr>
                              </wps:wsp>
                            </wpg:wgp>
                            <wpg:wgp>
                              <wpg:cNvPr id="103" name="组合 1292"/>
                              <wpg:cNvGrpSpPr/>
                              <wpg:grpSpPr>
                                <a:xfrm>
                                  <a:off x="4537075" y="2422526"/>
                                  <a:ext cx="711200" cy="457200"/>
                                  <a:chOff x="1484" y="530"/>
                                  <a:chExt cx="1121" cy="728"/>
                                </a:xfrm>
                              </wpg:grpSpPr>
                              <wps:wsp>
                                <wps:cNvPr id="101" name="直线 1293"/>
                                <wps:cNvCnPr/>
                                <wps:spPr>
                                  <a:xfrm flipV="1">
                                    <a:off x="2054" y="880"/>
                                    <a:ext cx="1" cy="378"/>
                                  </a:xfrm>
                                  <a:prstGeom prst="line">
                                    <a:avLst/>
                                  </a:prstGeom>
                                  <a:ln w="19050" cap="sq" cmpd="sng">
                                    <a:solidFill>
                                      <a:srgbClr val="000000"/>
                                    </a:solidFill>
                                    <a:prstDash val="sysDot"/>
                                    <a:headEnd type="none" w="med" len="med"/>
                                    <a:tailEnd type="triangle" w="med" len="med"/>
                                  </a:ln>
                                </wps:spPr>
                                <wps:bodyPr upright="1"/>
                              </wps:wsp>
                              <wps:wsp>
                                <wps:cNvPr id="102" name="文本框 1294"/>
                                <wps:cNvSpPr txBox="1"/>
                                <wps:spPr>
                                  <a:xfrm>
                                    <a:off x="1484" y="530"/>
                                    <a:ext cx="1121" cy="345"/>
                                  </a:xfrm>
                                  <a:prstGeom prst="rect">
                                    <a:avLst/>
                                  </a:prstGeom>
                                  <a:solidFill>
                                    <a:srgbClr val="FFFFFF"/>
                                  </a:solidFill>
                                  <a:ln w="19050" cap="sq" cmpd="sng">
                                    <a:solidFill>
                                      <a:srgbClr val="000000"/>
                                    </a:solidFill>
                                    <a:prstDash val="sysDot"/>
                                    <a:miter/>
                                    <a:headEnd type="none" w="med" len="med"/>
                                    <a:tailEnd type="none" w="med" len="med"/>
                                  </a:ln>
                                </wps:spPr>
                                <wps:txbx>
                                  <w:txbxContent>
                                    <w:p w14:paraId="67F4F086">
                                      <w:pPr>
                                        <w:jc w:val="center"/>
                                        <w:rPr>
                                          <w:sz w:val="24"/>
                                        </w:rPr>
                                      </w:pPr>
                                      <w:r>
                                        <w:rPr>
                                          <w:rFonts w:hint="eastAsia"/>
                                          <w:sz w:val="24"/>
                                        </w:rPr>
                                        <w:t>G、S</w:t>
                                      </w:r>
                                    </w:p>
                                  </w:txbxContent>
                                </wps:txbx>
                                <wps:bodyPr vert="horz" wrap="square" lIns="0" tIns="0" rIns="0" bIns="0" anchor="t" anchorCtr="0" upright="1">
                                  <a:spAutoFit/>
                                </wps:bodyPr>
                              </wps:wsp>
                            </wpg:wgp>
                            <wpg:wgp>
                              <wpg:cNvPr id="106" name="组合 1295"/>
                              <wpg:cNvGrpSpPr/>
                              <wpg:grpSpPr>
                                <a:xfrm>
                                  <a:off x="4483735" y="3448051"/>
                                  <a:ext cx="544830" cy="457200"/>
                                  <a:chOff x="1484" y="530"/>
                                  <a:chExt cx="1121" cy="728"/>
                                </a:xfrm>
                              </wpg:grpSpPr>
                              <wps:wsp>
                                <wps:cNvPr id="104" name="直线 1296"/>
                                <wps:cNvCnPr/>
                                <wps:spPr>
                                  <a:xfrm flipV="1">
                                    <a:off x="2054" y="880"/>
                                    <a:ext cx="1" cy="378"/>
                                  </a:xfrm>
                                  <a:prstGeom prst="line">
                                    <a:avLst/>
                                  </a:prstGeom>
                                  <a:ln w="19050" cap="sq" cmpd="sng">
                                    <a:solidFill>
                                      <a:srgbClr val="000000"/>
                                    </a:solidFill>
                                    <a:prstDash val="sysDot"/>
                                    <a:headEnd type="none" w="med" len="med"/>
                                    <a:tailEnd type="triangle" w="med" len="med"/>
                                  </a:ln>
                                </wps:spPr>
                                <wps:bodyPr upright="1"/>
                              </wps:wsp>
                              <wps:wsp>
                                <wps:cNvPr id="105" name="文本框 1297"/>
                                <wps:cNvSpPr txBox="1"/>
                                <wps:spPr>
                                  <a:xfrm>
                                    <a:off x="1484" y="530"/>
                                    <a:ext cx="1121" cy="309"/>
                                  </a:xfrm>
                                  <a:prstGeom prst="rect">
                                    <a:avLst/>
                                  </a:prstGeom>
                                  <a:solidFill>
                                    <a:srgbClr val="FFFFFF"/>
                                  </a:solidFill>
                                  <a:ln w="19050" cap="sq" cmpd="sng">
                                    <a:solidFill>
                                      <a:srgbClr val="000000"/>
                                    </a:solidFill>
                                    <a:prstDash val="sysDot"/>
                                    <a:miter/>
                                    <a:headEnd type="none" w="med" len="med"/>
                                    <a:tailEnd type="none" w="med" len="med"/>
                                  </a:ln>
                                </wps:spPr>
                                <wps:txbx>
                                  <w:txbxContent>
                                    <w:p w14:paraId="5B3D6E42">
                                      <w:pPr>
                                        <w:jc w:val="center"/>
                                        <w:rPr>
                                          <w:sz w:val="24"/>
                                        </w:rPr>
                                      </w:pPr>
                                      <w:r>
                                        <w:rPr>
                                          <w:rFonts w:hint="eastAsia"/>
                                          <w:sz w:val="24"/>
                                        </w:rPr>
                                        <w:t>G</w:t>
                                      </w:r>
                                    </w:p>
                                  </w:txbxContent>
                                </wps:txbx>
                                <wps:bodyPr vert="horz" wrap="square" lIns="0" tIns="0" rIns="0" bIns="0" anchor="t" anchorCtr="0" upright="1">
                                  <a:spAutoFit/>
                                </wps:bodyPr>
                              </wps:wsp>
                            </wpg:wgp>
                            <wpg:wgp>
                              <wpg:cNvPr id="109" name="组合 1298"/>
                              <wpg:cNvGrpSpPr/>
                              <wpg:grpSpPr>
                                <a:xfrm>
                                  <a:off x="3638550" y="3448051"/>
                                  <a:ext cx="711200" cy="457200"/>
                                  <a:chOff x="1484" y="530"/>
                                  <a:chExt cx="1121" cy="728"/>
                                </a:xfrm>
                              </wpg:grpSpPr>
                              <wps:wsp>
                                <wps:cNvPr id="107" name="直线 1299"/>
                                <wps:cNvCnPr/>
                                <wps:spPr>
                                  <a:xfrm flipV="1">
                                    <a:off x="2054" y="880"/>
                                    <a:ext cx="1" cy="378"/>
                                  </a:xfrm>
                                  <a:prstGeom prst="line">
                                    <a:avLst/>
                                  </a:prstGeom>
                                  <a:ln w="19050" cap="sq" cmpd="sng">
                                    <a:solidFill>
                                      <a:srgbClr val="000000"/>
                                    </a:solidFill>
                                    <a:prstDash val="sysDot"/>
                                    <a:headEnd type="none" w="med" len="med"/>
                                    <a:tailEnd type="triangle" w="med" len="med"/>
                                  </a:ln>
                                </wps:spPr>
                                <wps:bodyPr upright="1"/>
                              </wps:wsp>
                              <wps:wsp>
                                <wps:cNvPr id="108" name="文本框 1300"/>
                                <wps:cNvSpPr txBox="1"/>
                                <wps:spPr>
                                  <a:xfrm>
                                    <a:off x="1484" y="530"/>
                                    <a:ext cx="1121" cy="345"/>
                                  </a:xfrm>
                                  <a:prstGeom prst="rect">
                                    <a:avLst/>
                                  </a:prstGeom>
                                  <a:solidFill>
                                    <a:srgbClr val="FFFFFF"/>
                                  </a:solidFill>
                                  <a:ln w="19050" cap="sq" cmpd="sng">
                                    <a:solidFill>
                                      <a:srgbClr val="000000"/>
                                    </a:solidFill>
                                    <a:prstDash val="sysDot"/>
                                    <a:miter/>
                                    <a:headEnd type="none" w="med" len="med"/>
                                    <a:tailEnd type="none" w="med" len="med"/>
                                  </a:ln>
                                </wps:spPr>
                                <wps:txbx>
                                  <w:txbxContent>
                                    <w:p w14:paraId="56FC4283">
                                      <w:pPr>
                                        <w:jc w:val="center"/>
                                        <w:rPr>
                                          <w:sz w:val="24"/>
                                        </w:rPr>
                                      </w:pPr>
                                      <w:r>
                                        <w:rPr>
                                          <w:rFonts w:hint="eastAsia"/>
                                          <w:sz w:val="24"/>
                                        </w:rPr>
                                        <w:t>G、S</w:t>
                                      </w:r>
                                    </w:p>
                                  </w:txbxContent>
                                </wps:txbx>
                                <wps:bodyPr vert="horz" wrap="square" lIns="0" tIns="0" rIns="0" bIns="0" anchor="t" anchorCtr="0" upright="1">
                                  <a:spAutoFit/>
                                </wps:bodyPr>
                              </wps:wsp>
                            </wpg:wgp>
                            <wpg:wgp>
                              <wpg:cNvPr id="112" name="组合 1301"/>
                              <wpg:cNvGrpSpPr/>
                              <wpg:grpSpPr>
                                <a:xfrm>
                                  <a:off x="2745740" y="3448051"/>
                                  <a:ext cx="711200" cy="457200"/>
                                  <a:chOff x="1484" y="530"/>
                                  <a:chExt cx="1121" cy="728"/>
                                </a:xfrm>
                              </wpg:grpSpPr>
                              <wps:wsp>
                                <wps:cNvPr id="110" name="直线 1302"/>
                                <wps:cNvCnPr/>
                                <wps:spPr>
                                  <a:xfrm flipV="1">
                                    <a:off x="2054" y="880"/>
                                    <a:ext cx="1" cy="378"/>
                                  </a:xfrm>
                                  <a:prstGeom prst="line">
                                    <a:avLst/>
                                  </a:prstGeom>
                                  <a:ln w="19050" cap="sq" cmpd="sng">
                                    <a:solidFill>
                                      <a:srgbClr val="000000"/>
                                    </a:solidFill>
                                    <a:prstDash val="sysDot"/>
                                    <a:headEnd type="none" w="med" len="med"/>
                                    <a:tailEnd type="triangle" w="med" len="med"/>
                                  </a:ln>
                                </wps:spPr>
                                <wps:bodyPr upright="1"/>
                              </wps:wsp>
                              <wps:wsp>
                                <wps:cNvPr id="111" name="文本框 1303"/>
                                <wps:cNvSpPr txBox="1"/>
                                <wps:spPr>
                                  <a:xfrm>
                                    <a:off x="1484" y="530"/>
                                    <a:ext cx="1121" cy="309"/>
                                  </a:xfrm>
                                  <a:prstGeom prst="rect">
                                    <a:avLst/>
                                  </a:prstGeom>
                                  <a:solidFill>
                                    <a:srgbClr val="FFFFFF"/>
                                  </a:solidFill>
                                  <a:ln w="19050" cap="sq" cmpd="sng">
                                    <a:solidFill>
                                      <a:srgbClr val="000000"/>
                                    </a:solidFill>
                                    <a:prstDash val="sysDot"/>
                                    <a:miter/>
                                    <a:headEnd type="none" w="med" len="med"/>
                                    <a:tailEnd type="none" w="med" len="med"/>
                                  </a:ln>
                                </wps:spPr>
                                <wps:txbx>
                                  <w:txbxContent>
                                    <w:p w14:paraId="4594FB4B">
                                      <w:pPr>
                                        <w:jc w:val="center"/>
                                        <w:rPr>
                                          <w:sz w:val="24"/>
                                        </w:rPr>
                                      </w:pPr>
                                      <w:r>
                                        <w:rPr>
                                          <w:rFonts w:hint="eastAsia"/>
                                          <w:sz w:val="24"/>
                                        </w:rPr>
                                        <w:t>G</w:t>
                                      </w:r>
                                    </w:p>
                                  </w:txbxContent>
                                </wps:txbx>
                                <wps:bodyPr vert="horz" wrap="square" lIns="0" tIns="0" rIns="0" bIns="0" anchor="t" anchorCtr="0" upright="1">
                                  <a:spAutoFit/>
                                </wps:bodyPr>
                              </wps:wsp>
                            </wpg:wgp>
                            <wps:wsp>
                              <wps:cNvPr id="113" name="文本框 1304"/>
                              <wps:cNvSpPr txBox="1"/>
                              <wps:spPr>
                                <a:xfrm>
                                  <a:off x="40005" y="3601086"/>
                                  <a:ext cx="917575" cy="611505"/>
                                </a:xfrm>
                                <a:prstGeom prst="rect">
                                  <a:avLst/>
                                </a:prstGeom>
                                <a:solidFill>
                                  <a:srgbClr val="FFFFFF"/>
                                </a:solidFill>
                                <a:ln w="19050">
                                  <a:noFill/>
                                </a:ln>
                              </wps:spPr>
                              <wps:txbx>
                                <w:txbxContent>
                                  <w:p w14:paraId="6105E08F">
                                    <w:pPr>
                                      <w:jc w:val="left"/>
                                      <w:rPr>
                                        <w:b/>
                                        <w:bCs/>
                                        <w:sz w:val="18"/>
                                        <w:szCs w:val="18"/>
                                      </w:rPr>
                                    </w:pPr>
                                    <w:r>
                                      <w:rPr>
                                        <w:rFonts w:hint="eastAsia"/>
                                        <w:b/>
                                        <w:bCs/>
                                        <w:sz w:val="18"/>
                                        <w:szCs w:val="18"/>
                                      </w:rPr>
                                      <w:t>G  废气</w:t>
                                    </w:r>
                                  </w:p>
                                  <w:p w14:paraId="6C62E828">
                                    <w:pPr>
                                      <w:jc w:val="left"/>
                                      <w:rPr>
                                        <w:rFonts w:hint="eastAsia"/>
                                        <w:b/>
                                        <w:bCs/>
                                        <w:sz w:val="18"/>
                                        <w:szCs w:val="18"/>
                                      </w:rPr>
                                    </w:pPr>
                                    <w:r>
                                      <w:rPr>
                                        <w:rFonts w:hint="eastAsia"/>
                                        <w:b/>
                                        <w:bCs/>
                                        <w:sz w:val="18"/>
                                        <w:szCs w:val="18"/>
                                      </w:rPr>
                                      <w:t>N  噪声</w:t>
                                    </w:r>
                                  </w:p>
                                  <w:p w14:paraId="4FC34B59">
                                    <w:pPr>
                                      <w:jc w:val="left"/>
                                      <w:rPr>
                                        <w:b/>
                                        <w:bCs/>
                                        <w:sz w:val="18"/>
                                        <w:szCs w:val="18"/>
                                      </w:rPr>
                                    </w:pPr>
                                    <w:r>
                                      <w:rPr>
                                        <w:rFonts w:hint="eastAsia"/>
                                        <w:b/>
                                        <w:bCs/>
                                        <w:sz w:val="18"/>
                                        <w:szCs w:val="18"/>
                                      </w:rPr>
                                      <w:t>S  固体废物</w:t>
                                    </w:r>
                                  </w:p>
                                </w:txbxContent>
                              </wps:txbx>
                              <wps:bodyPr vert="horz" wrap="square" lIns="0" tIns="0" rIns="0" bIns="0" anchor="t" anchorCtr="0" upright="1"/>
                            </wps:wsp>
                            <wps:wsp>
                              <wps:cNvPr id="114" name="直线 1305"/>
                              <wps:cNvCnPr/>
                              <wps:spPr>
                                <a:xfrm flipV="1">
                                  <a:off x="2194560" y="553720"/>
                                  <a:ext cx="0" cy="228600"/>
                                </a:xfrm>
                                <a:prstGeom prst="line">
                                  <a:avLst/>
                                </a:prstGeom>
                                <a:ln w="19050" cap="sq" cmpd="sng">
                                  <a:solidFill>
                                    <a:srgbClr val="000000"/>
                                  </a:solidFill>
                                  <a:prstDash val="sysDot"/>
                                  <a:headEnd type="none" w="med" len="med"/>
                                  <a:tailEnd type="triangle" w="med" len="med"/>
                                </a:ln>
                              </wps:spPr>
                              <wps:bodyPr upright="1"/>
                            </wps:wsp>
                            <wpg:wgp>
                              <wpg:cNvPr id="117" name="组合 1306"/>
                              <wpg:cNvGrpSpPr/>
                              <wpg:grpSpPr>
                                <a:xfrm>
                                  <a:off x="4516755" y="1358900"/>
                                  <a:ext cx="533400" cy="457200"/>
                                  <a:chOff x="1484" y="530"/>
                                  <a:chExt cx="1121" cy="728"/>
                                </a:xfrm>
                              </wpg:grpSpPr>
                              <wps:wsp>
                                <wps:cNvPr id="115" name="直线 1307"/>
                                <wps:cNvCnPr/>
                                <wps:spPr>
                                  <a:xfrm flipV="1">
                                    <a:off x="2054" y="880"/>
                                    <a:ext cx="1" cy="378"/>
                                  </a:xfrm>
                                  <a:prstGeom prst="line">
                                    <a:avLst/>
                                  </a:prstGeom>
                                  <a:ln w="19050" cap="sq" cmpd="sng">
                                    <a:solidFill>
                                      <a:srgbClr val="000000"/>
                                    </a:solidFill>
                                    <a:prstDash val="sysDot"/>
                                    <a:headEnd type="none" w="med" len="med"/>
                                    <a:tailEnd type="triangle" w="med" len="med"/>
                                  </a:ln>
                                </wps:spPr>
                                <wps:bodyPr upright="1"/>
                              </wps:wsp>
                              <wps:wsp>
                                <wps:cNvPr id="116" name="文本框 1308"/>
                                <wps:cNvSpPr txBox="1"/>
                                <wps:spPr>
                                  <a:xfrm>
                                    <a:off x="1484" y="530"/>
                                    <a:ext cx="1121" cy="309"/>
                                  </a:xfrm>
                                  <a:prstGeom prst="rect">
                                    <a:avLst/>
                                  </a:prstGeom>
                                  <a:solidFill>
                                    <a:srgbClr val="FFFFFF"/>
                                  </a:solidFill>
                                  <a:ln w="19050" cap="sq" cmpd="sng">
                                    <a:solidFill>
                                      <a:srgbClr val="000000"/>
                                    </a:solidFill>
                                    <a:prstDash val="sysDot"/>
                                    <a:miter/>
                                    <a:headEnd type="none" w="med" len="med"/>
                                    <a:tailEnd type="none" w="med" len="med"/>
                                  </a:ln>
                                </wps:spPr>
                                <wps:txbx>
                                  <w:txbxContent>
                                    <w:p w14:paraId="642DDA69">
                                      <w:pPr>
                                        <w:jc w:val="center"/>
                                        <w:rPr>
                                          <w:sz w:val="24"/>
                                        </w:rPr>
                                      </w:pPr>
                                      <w:r>
                                        <w:rPr>
                                          <w:rFonts w:hint="eastAsia"/>
                                          <w:sz w:val="24"/>
                                        </w:rPr>
                                        <w:t>S</w:t>
                                      </w:r>
                                    </w:p>
                                  </w:txbxContent>
                                </wps:txbx>
                                <wps:bodyPr vert="horz" wrap="square" lIns="0" tIns="0" rIns="0" bIns="0" anchor="t" anchorCtr="0" upright="1">
                                  <a:spAutoFit/>
                                </wps:bodyPr>
                              </wps:wsp>
                            </wpg:wgp>
                          </wpc:wpc>
                        </a:graphicData>
                      </a:graphic>
                    </wp:inline>
                  </w:drawing>
                </mc:Choice>
                <mc:Fallback>
                  <w:pict>
                    <v:group id="画布 1154" o:spid="_x0000_s1026" o:spt="203" style="height:340.35pt;width:419.9pt;" coordsize="5332730,4322445" editas="canvas" o:gfxdata="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">
                      <o:lock v:ext="edit" aspectratio="f"/>
                      <v:shape id="画布 1154" o:spid="_x0000_s1026" style="position:absolute;left:0;top:0;height:4322445;width:5332730;" filled="f" stroked="t" coordsize="21600,21600" o:gfxdata="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">
                        <v:fill on="f" focussize="0,0"/>
                        <v:stroke weight="1.5pt" color="#000000" joinstyle="miter"/>
                        <v:imagedata o:title=""/>
                        <o:lock v:ext="edit" aspectratio="f"/>
                      </v:shape>
                      <v:group id="组合 1200" o:spid="_x0000_s1026" o:spt="203" style="position:absolute;left:149225;top:800735;height:3326766;width:5000625;" coordorigin="235,1261" coordsize="7875,5239" o:gfxdata="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">
                        <o:lock v:ext="edit" aspectratio="f"/>
                        <v:group id="组合 1177" o:spid="_x0000_s1026" o:spt="203" style="position:absolute;left:235;top:1261;height:653;width:7875;" coordorigin="288,1309" coordsize="7875,655" o:gfxdata="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LDF370AAADbAAAADwAAAAAAAAABACAAAAAiAAAAZHJzL2Rvd25yZXYueG1s&#10;UEsBAhQAFAAAAAgAh07iQDMvBZ47AAAAOQAAABUAAAAAAAAAAQAgAAAADAEAAGRycy9ncm91cHNo&#10;YXBleG1sLnhtbFBLBQYAAAAABgAGAGABAADJAwAAAAA=&#10;">
                          <o:lock v:ext="edit" aspectratio="f"/>
                          <v:shape id="文本框 1162" o:spid="_x0000_s1026" o:spt="202" type="#_x0000_t202" style="position:absolute;left:7363;top:1309;height:655;width:800;" fillcolor="#FFFFFF" filled="t" stroked="t" coordsize="21600,21600" o:gfxdata="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NFudugAAANsA&#10;AAAPAAAAAAAAAAEAIAAAACIAAABkcnMvZG93bnJldi54bWxQSwECFAAUAAAACACHTuJAMy8FnjsA&#10;AAA5AAAAEAAAAAAAAAABACAAAAAJAQAAZHJzL3NoYXBleG1sLnhtbFBLBQYAAAAABgAGAFsBAACz&#10;AwAAAAA=&#10;">
                            <v:fill on="t" focussize="0,0"/>
                            <v:stroke weight="1.5pt" color="#000000" joinstyle="miter"/>
                            <v:imagedata o:title=""/>
                            <o:lock v:ext="edit" aspectratio="f"/>
                            <v:textbox inset="0mm,0mm,0mm,0mm" style="mso-fit-shape-to-text:t;">
                              <w:txbxContent>
                                <w:p w14:paraId="5568F921">
                                  <w:pPr>
                                    <w:jc w:val="center"/>
                                    <w:rPr>
                                      <w:rFonts w:hint="eastAsia" w:eastAsia="宋体"/>
                                      <w:sz w:val="24"/>
                                      <w:lang w:val="en-US" w:eastAsia="zh-CN"/>
                                    </w:rPr>
                                  </w:pPr>
                                  <w:r>
                                    <w:rPr>
                                      <w:rFonts w:hint="eastAsia"/>
                                      <w:sz w:val="24"/>
                                    </w:rPr>
                                    <w:t>贴皮</w:t>
                                  </w:r>
                                  <w:r>
                                    <w:rPr>
                                      <w:rFonts w:hint="eastAsia"/>
                                      <w:b/>
                                      <w:bCs/>
                                      <w:sz w:val="24"/>
                                      <w:u w:val="single"/>
                                      <w:lang w:val="en-US" w:eastAsia="zh-CN"/>
                                    </w:rPr>
                                    <w:t>热压</w:t>
                                  </w:r>
                                </w:p>
                              </w:txbxContent>
                            </v:textbox>
                          </v:shape>
                          <v:shape id="文本框 1163" o:spid="_x0000_s1026" o:spt="202" type="#_x0000_t202" style="position:absolute;left:3118;top:1309;height:342;width:800;" fillcolor="#FFFFFF" filled="t" stroked="t" coordsize="21600,21600" o:gfxdata="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q8/vvQAA&#10;ANsAAAAPAAAAAAAAAAEAIAAAACIAAABkcnMvZG93bnJldi54bWxQSwECFAAUAAAACACHTuJAMy8F&#10;njsAAAA5AAAAEAAAAAAAAAABACAAAAAMAQAAZHJzL3NoYXBleG1sLnhtbFBLBQYAAAAABgAGAFsB&#10;AAC2AwAAAAA=&#10;">
                            <v:fill on="t" focussize="0,0"/>
                            <v:stroke weight="1.5pt" color="#000000" joinstyle="miter"/>
                            <v:imagedata o:title=""/>
                            <o:lock v:ext="edit" aspectratio="f"/>
                            <v:textbox inset="0mm,0mm,0mm,0mm" style="mso-fit-shape-to-text:t;">
                              <w:txbxContent>
                                <w:p w14:paraId="6D1ADE9E">
                                  <w:pPr>
                                    <w:jc w:val="center"/>
                                    <w:rPr>
                                      <w:sz w:val="24"/>
                                    </w:rPr>
                                  </w:pPr>
                                  <w:r>
                                    <w:rPr>
                                      <w:rFonts w:hint="eastAsia"/>
                                      <w:sz w:val="24"/>
                                    </w:rPr>
                                    <w:t>拼板</w:t>
                                  </w:r>
                                </w:p>
                              </w:txbxContent>
                            </v:textbox>
                          </v:shape>
                          <v:shape id="文本框 1167" o:spid="_x0000_s1026" o:spt="202" type="#_x0000_t202" style="position:absolute;left:288;top:1309;height:341;width:800;" fillcolor="#FFFFFF" filled="t" stroked="t" coordsize="21600,21600" o:gfxdata="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udqdLsAAADb&#10;AAAADwAAAAAAAAABACAAAAAiAAAAZHJzL2Rvd25yZXYueG1sUEsBAhQAFAAAAAgAh07iQDMvBZ47&#10;AAAAOQAAABAAAAAAAAAAAQAgAAAACgEAAGRycy9zaGFwZXhtbC54bWxQSwUGAAAAAAYABgBbAQAA&#10;tAMAAAAA&#10;">
                            <v:fill on="t" focussize="0,0"/>
                            <v:stroke weight="1.5pt" color="#000000" joinstyle="miter"/>
                            <v:imagedata o:title=""/>
                            <o:lock v:ext="edit" aspectratio="f"/>
                            <v:textbox inset="0mm,0mm,0mm,0mm" style="mso-fit-shape-to-text:t;">
                              <w:txbxContent>
                                <w:p w14:paraId="02E1E04E">
                                  <w:pPr>
                                    <w:jc w:val="center"/>
                                    <w:rPr>
                                      <w:sz w:val="24"/>
                                    </w:rPr>
                                  </w:pPr>
                                  <w:r>
                                    <w:rPr>
                                      <w:rFonts w:hint="eastAsia"/>
                                      <w:sz w:val="24"/>
                                    </w:rPr>
                                    <w:t>原料</w:t>
                                  </w:r>
                                </w:p>
                              </w:txbxContent>
                            </v:textbox>
                          </v:shape>
                          <v:shape id="文本框 1168" o:spid="_x0000_s1026" o:spt="202" type="#_x0000_t202" style="position:absolute;left:4533;top:1309;height:341;width:800;" fillcolor="#FFFFFF" filled="t" stroked="t" coordsize="21600,21600" o:gfxdata="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2xCVS5AAAA2wAA&#10;AA8AAAAAAAAAAQAgAAAAIgAAAGRycy9kb3ducmV2LnhtbFBLAQIUABQAAAAIAIdO4kAzLwWeOwAA&#10;ADkAAAAQAAAAAAAAAAEAIAAAAAgBAABkcnMvc2hhcGV4bWwueG1sUEsFBgAAAAAGAAYAWwEAALID&#10;AAAAAA==&#10;">
                            <v:fill on="t" focussize="0,0"/>
                            <v:stroke weight="1.5pt" color="#000000" joinstyle="miter"/>
                            <v:imagedata o:title=""/>
                            <o:lock v:ext="edit" aspectratio="f"/>
                            <v:textbox inset="0mm,0mm,0mm,0mm" style="mso-fit-shape-to-text:t;">
                              <w:txbxContent>
                                <w:p w14:paraId="6963C96F">
                                  <w:pPr>
                                    <w:jc w:val="center"/>
                                    <w:rPr>
                                      <w:sz w:val="24"/>
                                    </w:rPr>
                                  </w:pPr>
                                  <w:r>
                                    <w:rPr>
                                      <w:rFonts w:hint="eastAsia"/>
                                      <w:sz w:val="24"/>
                                    </w:rPr>
                                    <w:t>冷压</w:t>
                                  </w:r>
                                </w:p>
                              </w:txbxContent>
                            </v:textbox>
                          </v:shape>
                          <v:shape id="文本框 1169" o:spid="_x0000_s1026" o:spt="202" type="#_x0000_t202" style="position:absolute;left:1703;top:1309;height:341;width:800;" fillcolor="#FFFFFF" filled="t" stroked="t" coordsize="21600,21600" o:gfxdata="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azPvQAA&#10;ANsAAAAPAAAAAAAAAAEAIAAAACIAAABkcnMvZG93bnJldi54bWxQSwECFAAUAAAACACHTuJAMy8F&#10;njsAAAA5AAAAEAAAAAAAAAABACAAAAAMAQAAZHJzL3NoYXBleG1sLnhtbFBLBQYAAAAABgAGAFsB&#10;AAC2AwAAAAA=&#10;">
                            <v:fill on="t" focussize="0,0"/>
                            <v:stroke weight="1.5pt" color="#000000" joinstyle="miter"/>
                            <v:imagedata o:title=""/>
                            <o:lock v:ext="edit" aspectratio="f"/>
                            <v:textbox inset="0mm,0mm,0mm,0mm" style="mso-fit-shape-to-text:t;">
                              <w:txbxContent>
                                <w:p w14:paraId="58DC619D">
                                  <w:pPr>
                                    <w:jc w:val="center"/>
                                    <w:rPr>
                                      <w:sz w:val="24"/>
                                    </w:rPr>
                                  </w:pPr>
                                  <w:r>
                                    <w:rPr>
                                      <w:rFonts w:hint="eastAsia"/>
                                      <w:sz w:val="24"/>
                                    </w:rPr>
                                    <w:t>开料</w:t>
                                  </w:r>
                                </w:p>
                              </w:txbxContent>
                            </v:textbox>
                          </v:shape>
                          <v:shape id="文本框 1170" o:spid="_x0000_s1026" o:spt="202" type="#_x0000_t202" style="position:absolute;left:5948;top:1309;height:341;width:800;" fillcolor="#FFFFFF" filled="t" stroked="t" coordsize="21600,21600" o:gfxdata="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i8yuLsAAADb&#10;AAAADwAAAAAAAAABACAAAAAiAAAAZHJzL2Rvd25yZXYueG1sUEsBAhQAFAAAAAgAh07iQDMvBZ47&#10;AAAAOQAAABAAAAAAAAAAAQAgAAAACgEAAGRycy9zaGFwZXhtbC54bWxQSwUGAAAAAAYABgBbAQAA&#10;tAMAAAAA&#10;">
                            <v:fill on="t" focussize="0,0"/>
                            <v:stroke weight="1.5pt" color="#000000" joinstyle="miter"/>
                            <v:imagedata o:title=""/>
                            <o:lock v:ext="edit" aspectratio="f"/>
                            <v:textbox inset="0mm,0mm,0mm,0mm" style="mso-fit-shape-to-text:t;">
                              <w:txbxContent>
                                <w:p w14:paraId="25E142FC">
                                  <w:pPr>
                                    <w:jc w:val="center"/>
                                    <w:rPr>
                                      <w:sz w:val="24"/>
                                    </w:rPr>
                                  </w:pPr>
                                  <w:r>
                                    <w:rPr>
                                      <w:rFonts w:hint="eastAsia"/>
                                      <w:sz w:val="24"/>
                                    </w:rPr>
                                    <w:t>砂光</w:t>
                                  </w:r>
                                </w:p>
                              </w:txbxContent>
                            </v:textbox>
                          </v:shape>
                        </v:group>
                        <v:group id="组合 1178" o:spid="_x0000_s1026" o:spt="203" style="position:absolute;left:250;top:2894;height:341;width:7860;" coordorigin="288,1309" coordsize="7875,341" o:gfxdata="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bvNdboAAADbAAAADwAAAAAAAAABACAAAAAiAAAAZHJzL2Rvd25yZXYueG1sUEsB&#10;AhQAFAAAAAgAh07iQDMvBZ47AAAAOQAAABUAAAAAAAAAAQAgAAAACQEAAGRycy9ncm91cHNoYXBl&#10;eG1sLnhtbFBLBQYAAAAABgAGAGABAADGAwAAAAA=&#10;">
                          <o:lock v:ext="edit" aspectratio="f"/>
                          <v:shape id="文本框 1179" o:spid="_x0000_s1026" o:spt="202" type="#_x0000_t202" style="position:absolute;left:7363;top:1309;height:341;width:800;" fillcolor="#FFFFFF" filled="t" stroked="t" coordsize="21600,21600" o:gfxdata="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ooPV7sAAADb&#10;AAAADwAAAAAAAAABACAAAAAiAAAAZHJzL2Rvd25yZXYueG1sUEsBAhQAFAAAAAgAh07iQDMvBZ47&#10;AAAAOQAAABAAAAAAAAAAAQAgAAAACgEAAGRycy9zaGFwZXhtbC54bWxQSwUGAAAAAAYABgBbAQAA&#10;tAMAAAAA&#10;">
                            <v:fill on="t" focussize="0,0"/>
                            <v:stroke weight="1.5pt" color="#000000" joinstyle="miter"/>
                            <v:imagedata o:title=""/>
                            <o:lock v:ext="edit" aspectratio="f"/>
                            <v:textbox inset="0mm,0mm,0mm,0mm" style="mso-fit-shape-to-text:t;">
                              <w:txbxContent>
                                <w:p w14:paraId="6417DBFB">
                                  <w:pPr>
                                    <w:jc w:val="center"/>
                                    <w:rPr>
                                      <w:sz w:val="24"/>
                                    </w:rPr>
                                  </w:pPr>
                                  <w:r>
                                    <w:rPr>
                                      <w:rFonts w:hint="eastAsia"/>
                                      <w:sz w:val="24"/>
                                    </w:rPr>
                                    <w:t>精切</w:t>
                                  </w:r>
                                </w:p>
                              </w:txbxContent>
                            </v:textbox>
                          </v:shape>
                          <v:shape id="文本框 1180" o:spid="_x0000_s1026" o:spt="202" type="#_x0000_t202" style="position:absolute;left:3118;top:1309;height:341;width:800;" fillcolor="#FFFFFF" filled="t" stroked="t" coordsize="21600,21600" o:gfxdata="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3Gqsy8AAAA&#10;2wAAAA8AAAAAAAAAAQAgAAAAIgAAAGRycy9kb3ducmV2LnhtbFBLAQIUABQAAAAIAIdO4kAzLwWe&#10;OwAAADkAAAAQAAAAAAAAAAEAIAAAAAsBAABkcnMvc2hhcGV4bWwueG1sUEsFBgAAAAAGAAYAWwEA&#10;ALUDAAAAAA==&#10;">
                            <v:fill on="t" focussize="0,0"/>
                            <v:stroke weight="1.5pt" color="#000000" joinstyle="miter"/>
                            <v:imagedata o:title=""/>
                            <o:lock v:ext="edit" aspectratio="f"/>
                            <v:textbox inset="0mm,0mm,0mm,0mm" style="mso-fit-shape-to-text:t;">
                              <w:txbxContent>
                                <w:p w14:paraId="62654649">
                                  <w:pPr>
                                    <w:jc w:val="center"/>
                                    <w:rPr>
                                      <w:sz w:val="24"/>
                                    </w:rPr>
                                  </w:pPr>
                                  <w:r>
                                    <w:rPr>
                                      <w:rFonts w:hint="eastAsia"/>
                                      <w:sz w:val="24"/>
                                    </w:rPr>
                                    <w:t>排钻</w:t>
                                  </w:r>
                                </w:p>
                              </w:txbxContent>
                            </v:textbox>
                          </v:shape>
                          <v:shape id="文本框 1181" o:spid="_x0000_s1026" o:spt="202" type="#_x0000_t202" style="position:absolute;left:288;top:1309;height:341;width:800;" fillcolor="#FFFFFF" filled="t" stroked="t" coordsize="21600,21600" o:gfxdata="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FDS7vQAA&#10;ANsAAAAPAAAAAAAAAAEAIAAAACIAAABkcnMvZG93bnJldi54bWxQSwECFAAUAAAACACHTuJAMy8F&#10;njsAAAA5AAAAEAAAAAAAAAABACAAAAAMAQAAZHJzL3NoYXBleG1sLnhtbFBLBQYAAAAABgAGAFsB&#10;AAC2AwAAAAA=&#10;">
                            <v:fill on="t" focussize="0,0"/>
                            <v:stroke weight="1.5pt" color="#000000" joinstyle="miter"/>
                            <v:imagedata o:title=""/>
                            <o:lock v:ext="edit" aspectratio="f"/>
                            <v:textbox inset="0mm,0mm,0mm,0mm" style="mso-fit-shape-to-text:t;">
                              <w:txbxContent>
                                <w:p w14:paraId="4EA20DAE">
                                  <w:pPr>
                                    <w:jc w:val="center"/>
                                    <w:rPr>
                                      <w:sz w:val="24"/>
                                    </w:rPr>
                                  </w:pPr>
                                  <w:r>
                                    <w:rPr>
                                      <w:rFonts w:hint="eastAsia"/>
                                      <w:sz w:val="24"/>
                                    </w:rPr>
                                    <w:t>组装</w:t>
                                  </w:r>
                                </w:p>
                              </w:txbxContent>
                            </v:textbox>
                          </v:shape>
                          <v:shape id="文本框 1182" o:spid="_x0000_s1026" o:spt="202" type="#_x0000_t202" style="position:absolute;left:4533;top:1309;height:341;width:800;" fillcolor="#FFFFFF" filled="t" stroked="t" coordsize="21600,21600" o:gfxdata="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WJEgvQAA&#10;ANsAAAAPAAAAAAAAAAEAIAAAACIAAABkcnMvZG93bnJldi54bWxQSwECFAAUAAAACACHTuJAMy8F&#10;njsAAAA5AAAAEAAAAAAAAAABACAAAAAMAQAAZHJzL3NoYXBleG1sLnhtbFBLBQYAAAAABgAGAFsB&#10;AAC2AwAAAAA=&#10;">
                            <v:fill on="t" focussize="0,0"/>
                            <v:stroke weight="1.5pt" color="#000000" joinstyle="miter"/>
                            <v:imagedata o:title=""/>
                            <o:lock v:ext="edit" aspectratio="f"/>
                            <v:textbox inset="0mm,0mm,0mm,0mm" style="mso-fit-shape-to-text:t;">
                              <w:txbxContent>
                                <w:p w14:paraId="289F7455">
                                  <w:pPr>
                                    <w:jc w:val="center"/>
                                    <w:rPr>
                                      <w:sz w:val="24"/>
                                    </w:rPr>
                                  </w:pPr>
                                  <w:r>
                                    <w:rPr>
                                      <w:rFonts w:hint="eastAsia"/>
                                      <w:sz w:val="24"/>
                                    </w:rPr>
                                    <w:t>铣型</w:t>
                                  </w:r>
                                </w:p>
                              </w:txbxContent>
                            </v:textbox>
                          </v:shape>
                          <v:shape id="文本框 1183" o:spid="_x0000_s1026" o:spt="202" type="#_x0000_t202" style="position:absolute;left:1703;top:1309;height:341;width:800;" fillcolor="#FFFFFF" filled="t" stroked="t" coordsize="21600,21600" o:gfxdata="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PHBVK5AAAA2wAA&#10;AA8AAAAAAAAAAQAgAAAAIgAAAGRycy9kb3ducmV2LnhtbFBLAQIUABQAAAAIAIdO4kAzLwWeOwAA&#10;ADkAAAAQAAAAAAAAAAEAIAAAAAgBAABkcnMvc2hhcGV4bWwueG1sUEsFBgAAAAAGAAYAWwEAALID&#10;AAAAAA==&#10;">
                            <v:fill on="t" focussize="0,0"/>
                            <v:stroke weight="1.5pt" color="#000000" joinstyle="miter"/>
                            <v:imagedata o:title=""/>
                            <o:lock v:ext="edit" aspectratio="f"/>
                            <v:textbox inset="0mm,0mm,0mm,0mm" style="mso-fit-shape-to-text:t;">
                              <w:txbxContent>
                                <w:p w14:paraId="752DE7BB">
                                  <w:pPr>
                                    <w:jc w:val="center"/>
                                    <w:rPr>
                                      <w:sz w:val="24"/>
                                    </w:rPr>
                                  </w:pPr>
                                  <w:r>
                                    <w:rPr>
                                      <w:rFonts w:hint="eastAsia"/>
                                      <w:sz w:val="24"/>
                                    </w:rPr>
                                    <w:t>打孔</w:t>
                                  </w:r>
                                </w:p>
                              </w:txbxContent>
                            </v:textbox>
                          </v:shape>
                          <v:shape id="文本框 1184" o:spid="_x0000_s1026" o:spt="202" type="#_x0000_t202" style="position:absolute;left:5948;top:1309;height:341;width:800;" fillcolor="#FFFFFF" filled="t" stroked="t" coordsize="21600,21600" o:gfxdata="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i6DJvQAA&#10;ANsAAAAPAAAAAAAAAAEAIAAAACIAAABkcnMvZG93bnJldi54bWxQSwECFAAUAAAACACHTuJAMy8F&#10;njsAAAA5AAAAEAAAAAAAAAABACAAAAAMAQAAZHJzL3NoYXBleG1sLnhtbFBLBQYAAAAABgAGAFsB&#10;AAC2AwAAAAA=&#10;">
                            <v:fill on="t" focussize="0,0"/>
                            <v:stroke weight="1.5pt" color="#000000" joinstyle="miter"/>
                            <v:imagedata o:title=""/>
                            <o:lock v:ext="edit" aspectratio="f"/>
                            <v:textbox inset="0mm,0mm,0mm,0mm" style="mso-fit-shape-to-text:t;">
                              <w:txbxContent>
                                <w:p w14:paraId="4836296D">
                                  <w:pPr>
                                    <w:jc w:val="center"/>
                                    <w:rPr>
                                      <w:sz w:val="24"/>
                                    </w:rPr>
                                  </w:pPr>
                                  <w:r>
                                    <w:rPr>
                                      <w:rFonts w:hint="eastAsia"/>
                                      <w:sz w:val="24"/>
                                    </w:rPr>
                                    <w:t>封边</w:t>
                                  </w:r>
                                </w:p>
                              </w:txbxContent>
                            </v:textbox>
                          </v:shape>
                        </v:group>
                        <v:group id="组合 1185" o:spid="_x0000_s1026" o:spt="203" style="position:absolute;left:250;top:4527;height:341;width:7860;" coordorigin="288,1309" coordsize="7875,341" o:gfxdata="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lJVAb0AAADbAAAADwAAAAAAAAABACAAAAAiAAAAZHJzL2Rvd25yZXYueG1s&#10;UEsBAhQAFAAAAAgAh07iQDMvBZ47AAAAOQAAABUAAAAAAAAAAQAgAAAADAEAAGRycy9ncm91cHNo&#10;YXBleG1sLnhtbFBLBQYAAAAABgAGAGABAADJAwAAAAA=&#10;">
                          <o:lock v:ext="edit" aspectratio="f"/>
                          <v:shape id="文本框 1186" o:spid="_x0000_s1026" o:spt="202" type="#_x0000_t202" style="position:absolute;left:7363;top:1309;height:341;width:800;" fillcolor="#FFFFFF" filled="t" stroked="t" coordsize="21600,21600" o:gfxdata="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kOhK8AAAA&#10;2wAAAA8AAAAAAAAAAQAgAAAAIgAAAGRycy9kb3ducmV2LnhtbFBLAQIUABQAAAAIAIdO4kAzLwWe&#10;OwAAADkAAAAQAAAAAAAAAAEAIAAAAAsBAABkcnMvc2hhcGV4bWwueG1sUEsFBgAAAAAGAAYAWwEA&#10;ALUDAAAAAA==&#10;">
                            <v:fill on="t" focussize="0,0"/>
                            <v:stroke weight="1.5pt" color="#000000" joinstyle="miter"/>
                            <v:imagedata o:title=""/>
                            <o:lock v:ext="edit" aspectratio="f"/>
                            <v:textbox inset="0mm,0mm,0mm,0mm" style="mso-fit-shape-to-text:t;">
                              <w:txbxContent>
                                <w:p w14:paraId="3B9A5420">
                                  <w:pPr>
                                    <w:jc w:val="center"/>
                                    <w:rPr>
                                      <w:sz w:val="24"/>
                                    </w:rPr>
                                  </w:pPr>
                                  <w:r>
                                    <w:rPr>
                                      <w:rFonts w:hint="eastAsia"/>
                                      <w:sz w:val="24"/>
                                    </w:rPr>
                                    <w:t>喷面漆</w:t>
                                  </w:r>
                                </w:p>
                              </w:txbxContent>
                            </v:textbox>
                          </v:shape>
                          <v:shape id="文本框 1187" o:spid="_x0000_s1026" o:spt="202" type="#_x0000_t202" style="position:absolute;left:3118;top:1309;height:341;width:800;" fillcolor="#FFFFFF" filled="t" stroked="t" coordsize="21600,21600" o:gfxdata="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f2pGW8AAAA&#10;2wAAAA8AAAAAAAAAAQAgAAAAIgAAAGRycy9kb3ducmV2LnhtbFBLAQIUABQAAAAIAIdO4kAzLwWe&#10;OwAAADkAAAAQAAAAAAAAAAEAIAAAAAsBAABkcnMvc2hhcGV4bWwueG1sUEsFBgAAAAAGAAYAWwEA&#10;ALUDAAAAAA==&#10;">
                            <v:fill on="t" focussize="0,0"/>
                            <v:stroke weight="1.5pt" color="#000000" joinstyle="miter"/>
                            <v:imagedata o:title=""/>
                            <o:lock v:ext="edit" aspectratio="f"/>
                            <v:textbox inset="0mm,0mm,0mm,0mm" style="mso-fit-shape-to-text:t;">
                              <w:txbxContent>
                                <w:p w14:paraId="7E6C4021">
                                  <w:pPr>
                                    <w:jc w:val="center"/>
                                    <w:rPr>
                                      <w:sz w:val="24"/>
                                    </w:rPr>
                                  </w:pPr>
                                  <w:r>
                                    <w:rPr>
                                      <w:rFonts w:hint="eastAsia"/>
                                      <w:sz w:val="24"/>
                                    </w:rPr>
                                    <w:t>喷底漆</w:t>
                                  </w:r>
                                </w:p>
                              </w:txbxContent>
                            </v:textbox>
                          </v:shape>
                          <v:shape id="文本框 1188" o:spid="_x0000_s1026" o:spt="202" type="#_x0000_t202" style="position:absolute;left:288;top:1309;height:341;width:800;" fillcolor="#FFFFFF" filled="t" stroked="t" coordsize="21600,21600" o:gfxdata="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6Af68AAAA&#10;2wAAAA8AAAAAAAAAAQAgAAAAIgAAAGRycy9kb3ducmV2LnhtbFBLAQIUABQAAAAIAIdO4kAzLwWe&#10;OwAAADkAAAAQAAAAAAAAAAEAIAAAAAsBAABkcnMvc2hhcGV4bWwueG1sUEsFBgAAAAAGAAYAWwEA&#10;ALUDAAAAAA==&#10;">
                            <v:fill on="t" focussize="0,0"/>
                            <v:stroke weight="1.5pt" color="#000000" joinstyle="miter"/>
                            <v:imagedata o:title=""/>
                            <o:lock v:ext="edit" aspectratio="f"/>
                            <v:textbox inset="0mm,0mm,0mm,0mm" style="mso-fit-shape-to-text:t;">
                              <w:txbxContent>
                                <w:p w14:paraId="1E0A93C5">
                                  <w:pPr>
                                    <w:jc w:val="center"/>
                                    <w:rPr>
                                      <w:sz w:val="24"/>
                                    </w:rPr>
                                  </w:pPr>
                                  <w:r>
                                    <w:rPr>
                                      <w:rFonts w:hint="eastAsia"/>
                                      <w:sz w:val="24"/>
                                    </w:rPr>
                                    <w:t>批灰</w:t>
                                  </w:r>
                                </w:p>
                              </w:txbxContent>
                            </v:textbox>
                          </v:shape>
                          <v:shape id="文本框 1189" o:spid="_x0000_s1026" o:spt="202" type="#_x0000_t202" style="position:absolute;left:4533;top:1309;height:341;width:800;" fillcolor="#FFFFFF" filled="t" stroked="t" coordsize="21600,21600" o:gfxdata="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TmYq8AAAA&#10;2wAAAA8AAAAAAAAAAQAgAAAAIgAAAGRycy9kb3ducmV2LnhtbFBLAQIUABQAAAAIAIdO4kAzLwWe&#10;OwAAADkAAAAQAAAAAAAAAAEAIAAAAAsBAABkcnMvc2hhcGV4bWwueG1sUEsFBgAAAAAGAAYAWwEA&#10;ALUDAAAAAA==&#10;">
                            <v:fill on="t" focussize="0,0"/>
                            <v:stroke weight="1.5pt" color="#000000" joinstyle="miter"/>
                            <v:imagedata o:title=""/>
                            <o:lock v:ext="edit" aspectratio="f"/>
                            <v:textbox inset="0mm,0mm,0mm,0mm" style="mso-fit-shape-to-text:t;">
                              <w:txbxContent>
                                <w:p w14:paraId="63F75242">
                                  <w:pPr>
                                    <w:jc w:val="center"/>
                                    <w:rPr>
                                      <w:sz w:val="24"/>
                                    </w:rPr>
                                  </w:pPr>
                                  <w:r>
                                    <w:rPr>
                                      <w:rFonts w:hint="eastAsia"/>
                                      <w:sz w:val="24"/>
                                    </w:rPr>
                                    <w:t>晾干</w:t>
                                  </w:r>
                                </w:p>
                              </w:txbxContent>
                            </v:textbox>
                          </v:shape>
                          <v:shape id="文本框 1190" o:spid="_x0000_s1026" o:spt="202" type="#_x0000_t202" style="position:absolute;left:1703;top:1309;height:341;width:800;" fillcolor="#FFFFFF" filled="t" stroked="t" coordsize="21600,21600" o:gfxdata="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HzwRvQAA&#10;ANsAAAAPAAAAAAAAAAEAIAAAACIAAABkcnMvZG93bnJldi54bWxQSwECFAAUAAAACACHTuJAMy8F&#10;njsAAAA5AAAAEAAAAAAAAAABACAAAAAMAQAAZHJzL3NoYXBleG1sLnhtbFBLBQYAAAAABgAGAFsB&#10;AAC2AwAAAAA=&#10;">
                            <v:fill on="t" focussize="0,0"/>
                            <v:stroke weight="1.5pt" color="#000000" joinstyle="miter"/>
                            <v:imagedata o:title=""/>
                            <o:lock v:ext="edit" aspectratio="f"/>
                            <v:textbox inset="0mm,0mm,0mm,0mm" style="mso-fit-shape-to-text:t;">
                              <w:txbxContent>
                                <w:p w14:paraId="0D9A1FEC">
                                  <w:pPr>
                                    <w:jc w:val="center"/>
                                    <w:rPr>
                                      <w:sz w:val="24"/>
                                    </w:rPr>
                                  </w:pPr>
                                  <w:r>
                                    <w:rPr>
                                      <w:rFonts w:hint="eastAsia"/>
                                      <w:sz w:val="24"/>
                                    </w:rPr>
                                    <w:t>打磨</w:t>
                                  </w:r>
                                </w:p>
                              </w:txbxContent>
                            </v:textbox>
                          </v:shape>
                          <v:shape id="文本框 1191" o:spid="_x0000_s1026" o:spt="202" type="#_x0000_t202" style="position:absolute;left:5948;top:1309;height:341;width:800;" fillcolor="#FFFFFF" filled="t" stroked="t" coordsize="21600,21600" o:gfxdata="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zaJmvQAA&#10;ANsAAAAPAAAAAAAAAAEAIAAAACIAAABkcnMvZG93bnJldi54bWxQSwECFAAUAAAACACHTuJAMy8F&#10;njsAAAA5AAAAEAAAAAAAAAABACAAAAAMAQAAZHJzL3NoYXBleG1sLnhtbFBLBQYAAAAABgAGAFsB&#10;AAC2AwAAAAA=&#10;">
                            <v:fill on="t" focussize="0,0"/>
                            <v:stroke weight="1.5pt" color="#000000" joinstyle="miter"/>
                            <v:imagedata o:title=""/>
                            <o:lock v:ext="edit" aspectratio="f"/>
                            <v:textbox inset="0mm,0mm,0mm,0mm" style="mso-fit-shape-to-text:t;">
                              <w:txbxContent>
                                <w:p w14:paraId="4B2BCF44">
                                  <w:pPr>
                                    <w:jc w:val="center"/>
                                    <w:rPr>
                                      <w:sz w:val="24"/>
                                    </w:rPr>
                                  </w:pPr>
                                  <w:r>
                                    <w:rPr>
                                      <w:rFonts w:hint="eastAsia"/>
                                      <w:sz w:val="24"/>
                                    </w:rPr>
                                    <w:t>油磨</w:t>
                                  </w:r>
                                </w:p>
                              </w:txbxContent>
                            </v:textbox>
                          </v:shape>
                        </v:group>
                        <v:group id="组合 1199" o:spid="_x0000_s1026" o:spt="203" style="position:absolute;left:1662;top:6160;height:340;width:6448;" coordorigin="1770,6208" coordsize="6448,340" o:gfxdata="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W8gf70AAADbAAAADwAAAAAAAAABACAAAAAiAAAAZHJzL2Rvd25yZXYueG1s&#10;UEsBAhQAFAAAAAgAh07iQDMvBZ47AAAAOQAAABUAAAAAAAAAAQAgAAAADAEAAGRycy9ncm91cHNo&#10;YXBleG1sLnhtbFBLBQYAAAAABgAGAGABAADJAwAAAAA=&#10;">
                          <o:lock v:ext="edit" aspectratio="f"/>
                          <v:shape id="文本框 1193" o:spid="_x0000_s1026" o:spt="202" type="#_x0000_t202" style="position:absolute;left:7420;top:6208;height:341;width:798;" fillcolor="#FFFFFF" filled="t" stroked="t" coordsize="21600,21600" o:gfxdata="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h6Tj7gAAADbAAAA&#10;DwAAAAAAAAABACAAAAAiAAAAZHJzL2Rvd25yZXYueG1sUEsBAhQAFAAAAAgAh07iQDMvBZ47AAAA&#10;OQAAABAAAAAAAAAAAQAgAAAABwEAAGRycy9zaGFwZXhtbC54bWxQSwUGAAAAAAYABgBbAQAAsQMA&#10;AAAA&#10;">
                            <v:fill on="t" focussize="0,0"/>
                            <v:stroke weight="1.5pt" color="#000000" joinstyle="miter"/>
                            <v:imagedata o:title=""/>
                            <o:lock v:ext="edit" aspectratio="f"/>
                            <v:textbox inset="0mm,0mm,0mm,0mm" style="mso-fit-shape-to-text:t;">
                              <w:txbxContent>
                                <w:p w14:paraId="5B5CB81E">
                                  <w:pPr>
                                    <w:jc w:val="center"/>
                                    <w:rPr>
                                      <w:sz w:val="24"/>
                                    </w:rPr>
                                  </w:pPr>
                                  <w:r>
                                    <w:rPr>
                                      <w:rFonts w:hint="eastAsia"/>
                                      <w:sz w:val="24"/>
                                    </w:rPr>
                                    <w:t>晾干</w:t>
                                  </w:r>
                                </w:p>
                              </w:txbxContent>
                            </v:textbox>
                          </v:shape>
                          <v:shape id="文本框 1194" o:spid="_x0000_s1026" o:spt="202" type="#_x0000_t202" style="position:absolute;left:3183;top:6208;height:341;width:798;" fillcolor="#FFFFFF" filled="t" stroked="t" coordsize="21600,21600" o:gfxdata="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UjYUvQAA&#10;ANsAAAAPAAAAAAAAAAEAIAAAACIAAABkcnMvZG93bnJldi54bWxQSwECFAAUAAAACACHTuJAMy8F&#10;njsAAAA5AAAAEAAAAAAAAAABACAAAAAMAQAAZHJzL3NoYXBleG1sLnhtbFBLBQYAAAAABgAGAFsB&#10;AAC2AwAAAAA=&#10;">
                            <v:fill on="t" focussize="0,0"/>
                            <v:stroke weight="1.5pt" color="#000000" joinstyle="miter"/>
                            <v:imagedata o:title=""/>
                            <o:lock v:ext="edit" aspectratio="f"/>
                            <v:textbox inset="0mm,0mm,0mm,0mm" style="mso-fit-shape-to-text:t;">
                              <w:txbxContent>
                                <w:p w14:paraId="27210452">
                                  <w:pPr>
                                    <w:jc w:val="center"/>
                                    <w:rPr>
                                      <w:sz w:val="24"/>
                                    </w:rPr>
                                  </w:pPr>
                                  <w:r>
                                    <w:rPr>
                                      <w:rFonts w:hint="eastAsia"/>
                                      <w:sz w:val="24"/>
                                    </w:rPr>
                                    <w:t>包装</w:t>
                                  </w:r>
                                </w:p>
                              </w:txbxContent>
                            </v:textbox>
                          </v:shape>
                          <v:shape id="文本框 1196" o:spid="_x0000_s1026" o:spt="202" type="#_x0000_t202" style="position:absolute;left:4595;top:6208;height:341;width:798;" fillcolor="#FFFFFF" filled="t" stroked="t" coordsize="21600,21600" o:gfxdata="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Bu7PS5AAAA2wAA&#10;AA8AAAAAAAAAAQAgAAAAIgAAAGRycy9kb3ducmV2LnhtbFBLAQIUABQAAAAIAIdO4kAzLwWeOwAA&#10;ADkAAAAQAAAAAAAAAAEAIAAAAAgBAABkcnMvc2hhcGV4bWwueG1sUEsFBgAAAAAGAAYAWwEAALID&#10;AAAAAA==&#10;">
                            <v:fill on="t" focussize="0,0"/>
                            <v:stroke weight="1.5pt" color="#000000" joinstyle="miter"/>
                            <v:imagedata o:title=""/>
                            <o:lock v:ext="edit" aspectratio="f"/>
                            <v:textbox inset="0mm,0mm,0mm,0mm" style="mso-fit-shape-to-text:t;">
                              <w:txbxContent>
                                <w:p w14:paraId="67EF8961">
                                  <w:pPr>
                                    <w:jc w:val="center"/>
                                    <w:rPr>
                                      <w:sz w:val="24"/>
                                    </w:rPr>
                                  </w:pPr>
                                  <w:r>
                                    <w:rPr>
                                      <w:rFonts w:hint="eastAsia"/>
                                      <w:sz w:val="24"/>
                                    </w:rPr>
                                    <w:t>晾干</w:t>
                                  </w:r>
                                </w:p>
                              </w:txbxContent>
                            </v:textbox>
                          </v:shape>
                          <v:shape id="文本框 1197" o:spid="_x0000_s1026" o:spt="202" type="#_x0000_t202" style="position:absolute;left:1770;top:6208;height:341;width:798;" fillcolor="#FFFFFF" filled="t" stroked="t" coordsize="21600,21600" o:gfxdata="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yJJb7sAAADb&#10;AAAADwAAAAAAAAABACAAAAAiAAAAZHJzL2Rvd25yZXYueG1sUEsBAhQAFAAAAAgAh07iQDMvBZ47&#10;AAAAOQAAABAAAAAAAAAAAQAgAAAACgEAAGRycy9zaGFwZXhtbC54bWxQSwUGAAAAAAYABgBbAQAA&#10;tAMAAAAA&#10;">
                            <v:fill on="t" focussize="0,0"/>
                            <v:stroke weight="1.5pt" color="#000000" joinstyle="miter"/>
                            <v:imagedata o:title=""/>
                            <o:lock v:ext="edit" aspectratio="f"/>
                            <v:textbox inset="0mm,0mm,0mm,0mm" style="mso-fit-shape-to-text:t;">
                              <w:txbxContent>
                                <w:p w14:paraId="6D847503">
                                  <w:pPr>
                                    <w:jc w:val="center"/>
                                    <w:rPr>
                                      <w:sz w:val="24"/>
                                    </w:rPr>
                                  </w:pPr>
                                  <w:r>
                                    <w:rPr>
                                      <w:rFonts w:hint="eastAsia"/>
                                      <w:sz w:val="24"/>
                                    </w:rPr>
                                    <w:t>成品</w:t>
                                  </w:r>
                                </w:p>
                              </w:txbxContent>
                            </v:textbox>
                          </v:shape>
                          <v:shape id="文本框 1198" o:spid="_x0000_s1026" o:spt="202" type="#_x0000_t202" style="position:absolute;left:6007;top:6208;height:341;width:798;" fillcolor="#FFFFFF" filled="t" stroked="t" coordsize="21600,21600" o:gfxdata="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DXGLsAAADb&#10;AAAADwAAAAAAAAABACAAAAAiAAAAZHJzL2Rvd25yZXYueG1sUEsBAhQAFAAAAAgAh07iQDMvBZ47&#10;AAAAOQAAABAAAAAAAAAAAQAgAAAACgEAAGRycy9zaGFwZXhtbC54bWxQSwUGAAAAAAYABgBbAQAA&#10;tAMAAAAA&#10;">
                            <v:fill on="t" focussize="0,0"/>
                            <v:stroke weight="1.5pt" color="#000000" joinstyle="miter"/>
                            <v:imagedata o:title=""/>
                            <o:lock v:ext="edit" aspectratio="f"/>
                            <v:textbox inset="0mm,0mm,0mm,0mm" style="mso-fit-shape-to-text:t;">
                              <w:txbxContent>
                                <w:p w14:paraId="5DBE5444">
                                  <w:pPr>
                                    <w:jc w:val="center"/>
                                    <w:rPr>
                                      <w:sz w:val="24"/>
                                    </w:rPr>
                                  </w:pPr>
                                  <w:r>
                                    <w:rPr>
                                      <w:rFonts w:hint="eastAsia"/>
                                      <w:sz w:val="24"/>
                                    </w:rPr>
                                    <w:t>修色</w:t>
                                  </w:r>
                                </w:p>
                              </w:txbxContent>
                            </v:textbox>
                          </v:shape>
                        </v:group>
                      </v:group>
                      <v:group id="组合 1206" o:spid="_x0000_s1026" o:spt="203" style="position:absolute;left:661670;top:911860;height:5080;width:3975100;" coordorigin="1042,1436" coordsize="6260,8" o:gfxdata="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Y5FjNYAAAAFAQAADwAAAAAAAAABACAAAAAiAAAAZHJzL2Rvd25yZXYueG1sUEsBAhQA&#10;FAAAAAgAh07iQIYKNXnYAgAAcQ0AAA4AAAAAAAAAAQAgAAAAJQEAAGRycy9lMm9Eb2MueG1sUEsF&#10;BgAAAAAGAAYAWQEAAG8GAAAAAA==&#10;">
                        <o:lock v:ext="edit" aspectratio="f"/>
                        <v:line id="直线 1201" o:spid="_x0000_s1026" o:spt="20" style="position:absolute;left:1042;top:1436;flip:y;height:8;width:600;" filled="f" stroked="t" coordsize="21600,21600" o:gfxdata="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ColvQAA&#10;ANsAAAAPAAAAAAAAAAEAIAAAACIAAABkcnMvZG93bnJldi54bWxQSwECFAAUAAAACACHTuJAMy8F&#10;njsAAAA5AAAAEAAAAAAAAAABACAAAAAMAQAAZHJzL3NoYXBleG1sLnhtbFBLBQYAAAAABgAGAFsB&#10;AAC2AwAAAAA=&#10;">
                          <v:fill on="f" focussize="0,0"/>
                          <v:stroke weight="1.5pt" color="#000000" joinstyle="round" endarrow="block"/>
                          <v:imagedata o:title=""/>
                          <o:lock v:ext="edit" aspectratio="f"/>
                        </v:line>
                        <v:line id="直线 1202" o:spid="_x0000_s1026" o:spt="20" style="position:absolute;left:2457;top:1440;flip:y;height:0;width:600;" filled="f" stroked="t" coordsize="21600,21600" o:gfxdata="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460UrsAAADb&#10;AAAADwAAAAAAAAABACAAAAAiAAAAZHJzL2Rvd25yZXYueG1sUEsBAhQAFAAAAAgAh07iQDMvBZ47&#10;AAAAOQAAABAAAAAAAAAAAQAgAAAACgEAAGRycy9zaGFwZXhtbC54bWxQSwUGAAAAAAYABgBbAQAA&#10;tAMAAAAA&#10;">
                          <v:fill on="f" focussize="0,0"/>
                          <v:stroke weight="1.5pt" color="#000000" joinstyle="round" endarrow="block"/>
                          <v:imagedata o:title=""/>
                          <o:lock v:ext="edit" aspectratio="f"/>
                        </v:line>
                        <v:line id="直线 1203" o:spid="_x0000_s1026" o:spt="20" style="position:absolute;left:3872;top:1440;flip:y;height:0;width:600;" filled="f" stroked="t" coordsize="21600,21600" o:gfxdata="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whHJvQAA&#10;ANsAAAAPAAAAAAAAAAEAIAAAACIAAABkcnMvZG93bnJldi54bWxQSwECFAAUAAAACACHTuJAMy8F&#10;njsAAAA5AAAAEAAAAAAAAAABACAAAAAMAQAAZHJzL3NoYXBleG1sLnhtbFBLBQYAAAAABgAGAFsB&#10;AAC2AwAAAAA=&#10;">
                          <v:fill on="f" focussize="0,0"/>
                          <v:stroke weight="1.5pt" color="#000000" joinstyle="round" endarrow="block"/>
                          <v:imagedata o:title=""/>
                          <o:lock v:ext="edit" aspectratio="f"/>
                        </v:line>
                        <v:line id="直线 1204" o:spid="_x0000_s1026" o:spt="20" style="position:absolute;left:5287;top:1440;flip:y;height:0;width:600;" filled="f" stroked="t" coordsize="21600,21600" o:gfxdata="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V2Fu7gAAADbAAAA&#10;DwAAAAAAAAABACAAAAAiAAAAZHJzL2Rvd25yZXYueG1sUEsBAhQAFAAAAAgAh07iQDMvBZ47AAAA&#10;OQAAABAAAAAAAAAAAQAgAAAABwEAAGRycy9zaGFwZXhtbC54bWxQSwUGAAAAAAYABgBbAQAAsQMA&#10;AAAA&#10;">
                          <v:fill on="f" focussize="0,0"/>
                          <v:stroke weight="1.5pt" color="#000000" joinstyle="round" endarrow="block"/>
                          <v:imagedata o:title=""/>
                          <o:lock v:ext="edit" aspectratio="f"/>
                        </v:line>
                        <v:line id="直线 1205" o:spid="_x0000_s1026" o:spt="20" style="position:absolute;left:6702;top:1440;flip:y;height:0;width:600;" filled="f" stroked="t" coordsize="21600,21600" o:gfxdata="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SAgvQAA&#10;ANsAAAAPAAAAAAAAAAEAIAAAACIAAABkcnMvZG93bnJldi54bWxQSwECFAAUAAAACACHTuJAMy8F&#10;njsAAAA5AAAAEAAAAAAAAAABACAAAAAMAQAAZHJzL3NoYXBleG1sLnhtbFBLBQYAAAAABgAGAFsB&#10;AAC2AwAAAAA=&#10;">
                          <v:fill on="f" focussize="0,0"/>
                          <v:stroke weight="1.5pt" color="#000000" joinstyle="round" endarrow="block"/>
                          <v:imagedata o:title=""/>
                          <o:lock v:ext="edit" aspectratio="f"/>
                        </v:line>
                      </v:group>
                      <v:group id="组合 1207" o:spid="_x0000_s1026" o:spt="203" style="position:absolute;left:666750;top:1947545;height:0;width:3975100;" coordorigin="1042,1436" coordsize="6260,8" o:gfxdata="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BJjkWM1gAAAAUBAAAPAAAAAAAAAAEAIAAAACIAAABkcnMvZG93bnJldi54bWxQ&#10;SwECFAAUAAAACACHTuJAQehOwN0CAABvDQAADgAAAAAAAAABACAAAAAlAQAAZHJzL2Uyb0RvYy54&#10;bWxQSwUGAAAAAAYABgBZAQAAdAYAAAAA&#10;">
                        <o:lock v:ext="edit" aspectratio="f"/>
                        <v:line id="直线 1208" o:spid="_x0000_s1026" o:spt="20" style="position:absolute;left:1042;top:1436;flip:y;height:8;width:600;" filled="f" stroked="t" coordsize="21600,21600" o:gfxdata="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TDtvQAA&#10;ANsAAAAPAAAAAAAAAAEAIAAAACIAAABkcnMvZG93bnJldi54bWxQSwECFAAUAAAACACHTuJAMy8F&#10;njsAAAA5AAAAEAAAAAAAAAABACAAAAAMAQAAZHJzL3NoYXBleG1sLnhtbFBLBQYAAAAABgAGAFsB&#10;AAC2AwAAAAA=&#10;">
                          <v:fill on="f" focussize="0,0"/>
                          <v:stroke weight="1.5pt" color="#000000" joinstyle="round" startarrow="block"/>
                          <v:imagedata o:title=""/>
                          <o:lock v:ext="edit" aspectratio="f"/>
                        </v:line>
                        <v:line id="直线 1209" o:spid="_x0000_s1026" o:spt="20" style="position:absolute;left:2457;top:1440;flip:y;height:0;width:600;" filled="f" stroked="t" coordsize="21600,21600" o:gfxdata="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L66avQAA&#10;ANsAAAAPAAAAAAAAAAEAIAAAACIAAABkcnMvZG93bnJldi54bWxQSwECFAAUAAAACACHTuJAMy8F&#10;njsAAAA5AAAAEAAAAAAAAAABACAAAAAMAQAAZHJzL3NoYXBleG1sLnhtbFBLBQYAAAAABgAGAFsB&#10;AAC2AwAAAAA=&#10;">
                          <v:fill on="f" focussize="0,0"/>
                          <v:stroke weight="1.5pt" color="#000000" joinstyle="round" startarrow="block"/>
                          <v:imagedata o:title=""/>
                          <o:lock v:ext="edit" aspectratio="f"/>
                        </v:line>
                        <v:line id="直线 1210" o:spid="_x0000_s1026" o:spt="20" style="position:absolute;left:3872;top:1440;flip:y;height:0;width:600;" filled="f" stroked="t" coordsize="21600,21600" o:gfxdata="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2MLAb4A&#10;AADbAAAADwAAAAAAAAABACAAAAAiAAAAZHJzL2Rvd25yZXYueG1sUEsBAhQAFAAAAAgAh07iQDMv&#10;BZ47AAAAOQAAABAAAAAAAAAAAQAgAAAADQEAAGRycy9zaGFwZXhtbC54bWxQSwUGAAAAAAYABgBb&#10;AQAAtwMAAAAA&#10;">
                          <v:fill on="f" focussize="0,0"/>
                          <v:stroke weight="1.5pt" color="#000000" joinstyle="round" startarrow="block"/>
                          <v:imagedata o:title=""/>
                          <o:lock v:ext="edit" aspectratio="f"/>
                        </v:line>
                        <v:line id="直线 1211" o:spid="_x0000_s1026" o:spt="20" style="position:absolute;left:5287;top:1440;flip:y;height:0;width:600;" filled="f" stroked="t" coordsize="21600,21600" o:gfxdata="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qTdb4A&#10;AADbAAAADwAAAAAAAAABACAAAAAiAAAAZHJzL2Rvd25yZXYueG1sUEsBAhQAFAAAAAgAh07iQDMv&#10;BZ47AAAAOQAAABAAAAAAAAAAAQAgAAAADQEAAGRycy9zaGFwZXhtbC54bWxQSwUGAAAAAAYABgBb&#10;AQAAtwMAAAAA&#10;">
                          <v:fill on="f" focussize="0,0"/>
                          <v:stroke weight="1.5pt" color="#000000" joinstyle="round" startarrow="block"/>
                          <v:imagedata o:title=""/>
                          <o:lock v:ext="edit" aspectratio="f"/>
                        </v:line>
                        <v:line id="直线 1212" o:spid="_x0000_s1026" o:spt="20" style="position:absolute;left:6702;top:1440;flip:y;height:0;width:600;" filled="f" stroked="t" coordsize="21600,21600" o:gfxdata="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jbuvQAA&#10;ANsAAAAPAAAAAAAAAAEAIAAAACIAAABkcnMvZG93bnJldi54bWxQSwECFAAUAAAACACHTuJAMy8F&#10;njsAAAA5AAAAEAAAAAAAAAABACAAAAAMAQAAZHJzL3NoYXBleG1sLnhtbFBLBQYAAAAABgAGAFsB&#10;AAC2AwAAAAA=&#10;">
                          <v:fill on="f" focussize="0,0"/>
                          <v:stroke weight="1.5pt" color="#000000" joinstyle="round" startarrow="block"/>
                          <v:imagedata o:title=""/>
                          <o:lock v:ext="edit" aspectratio="f"/>
                        </v:line>
                      </v:group>
                      <v:group id="组合 1213" o:spid="_x0000_s1026" o:spt="203" style="position:absolute;left:666750;top:2989581;height:0;width:3975100;" coordorigin="1042,1436" coordsize="6260,8" o:gfxdata="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">
                        <o:lock v:ext="edit" aspectratio="f"/>
                        <v:line id="直线 1214" o:spid="_x0000_s1026" o:spt="20" style="position:absolute;left:1042;top:1436;flip:y;height:8;width:600;" filled="f" stroked="t" coordsize="21600,21600" o:gfxdata="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G4cUvQAA&#10;ANsAAAAPAAAAAAAAAAEAIAAAACIAAABkcnMvZG93bnJldi54bWxQSwECFAAUAAAACACHTuJAMy8F&#10;njsAAAA5AAAAEAAAAAAAAAABACAAAAAMAQAAZHJzL3NoYXBleG1sLnhtbFBLBQYAAAAABgAGAFsB&#10;AAC2AwAAAAA=&#10;">
                          <v:fill on="f" focussize="0,0"/>
                          <v:stroke weight="1.5pt" color="#000000" joinstyle="round" endarrow="block"/>
                          <v:imagedata o:title=""/>
                          <o:lock v:ext="edit" aspectratio="f"/>
                        </v:line>
                        <v:line id="直线 1215" o:spid="_x0000_s1026" o:spt="20" style="position:absolute;left:2457;top:1440;flip:y;height:0;width:600;" filled="f" stroked="t" coordsize="21600,21600" o:gfxdata="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SEE2a5AAAA2wAA&#10;AA8AAAAAAAAAAQAgAAAAIgAAAGRycy9kb3ducmV2LnhtbFBLAQIUABQAAAAIAIdO4kAzLwWeOwAA&#10;ADkAAAAQAAAAAAAAAAEAIAAAAAgBAABkcnMvc2hhcGV4bWwueG1sUEsFBgAAAAAGAAYAWwEAALID&#10;AAAAAA==&#10;">
                          <v:fill on="f" focussize="0,0"/>
                          <v:stroke weight="1.5pt" color="#000000" joinstyle="round" endarrow="block"/>
                          <v:imagedata o:title=""/>
                          <o:lock v:ext="edit" aspectratio="f"/>
                        </v:line>
                        <v:line id="直线 1216" o:spid="_x0000_s1026" o:spt="20" style="position:absolute;left:3872;top:1440;flip:y;height:0;width:600;" filled="f" stroked="t" coordsize="21600,21600" o:gfxdata="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yLb9vQAA&#10;ANsAAAAPAAAAAAAAAAEAIAAAACIAAABkcnMvZG93bnJldi54bWxQSwECFAAUAAAACACHTuJAMy8F&#10;njsAAAA5AAAAEAAAAAAAAAABACAAAAAMAQAAZHJzL3NoYXBleG1sLnhtbFBLBQYAAAAABgAGAFsB&#10;AAC2AwAAAAA=&#10;">
                          <v:fill on="f" focussize="0,0"/>
                          <v:stroke weight="1.5pt" color="#000000" joinstyle="round" endarrow="block"/>
                          <v:imagedata o:title=""/>
                          <o:lock v:ext="edit" aspectratio="f"/>
                        </v:line>
                        <v:line id="直线 1217" o:spid="_x0000_s1026" o:spt="20" style="position:absolute;left:5287;top:1440;flip:y;height:0;width:600;" filled="f" stroked="t" coordsize="21600,21600" o:gfxdata="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J7V3bgAAADbAAAA&#10;DwAAAAAAAAABACAAAAAiAAAAZHJzL2Rvd25yZXYueG1sUEsBAhQAFAAAAAgAh07iQDMvBZ47AAAA&#10;OQAAABAAAAAAAAAAAQAgAAAABwEAAGRycy9zaGFwZXhtbC54bWxQSwUGAAAAAAYABgBbAQAAsQMA&#10;AAAA&#10;">
                          <v:fill on="f" focussize="0,0"/>
                          <v:stroke weight="1.5pt" color="#000000" joinstyle="round" endarrow="block"/>
                          <v:imagedata o:title=""/>
                          <o:lock v:ext="edit" aspectratio="f"/>
                        </v:line>
                        <v:line id="直线 1218" o:spid="_x0000_s1026" o:spt="20" style="position:absolute;left:6702;top:1440;flip:y;height:0;width:600;" filled="f" stroked="t" coordsize="21600,21600" o:gfxdata="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vScEa8AAAA&#10;2wAAAA8AAAAAAAAAAQAgAAAAIgAAAGRycy9kb3ducmV2LnhtbFBLAQIUABQAAAAIAIdO4kAzLwWe&#10;OwAAADkAAAAQAAAAAAAAAAEAIAAAAAsBAABkcnMvc2hhcGV4bWwueG1sUEsFBgAAAAAGAAYAWwEA&#10;ALUDAAAAAA==&#10;">
                          <v:fill on="f" focussize="0,0"/>
                          <v:stroke weight="1.5pt" color="#000000" joinstyle="round" endarrow="block"/>
                          <v:imagedata o:title=""/>
                          <o:lock v:ext="edit" aspectratio="f"/>
                        </v:line>
                      </v:group>
                      <v:group id="组合 1225" o:spid="_x0000_s1026" o:spt="203" style="position:absolute;left:1565275;top:4026536;height:0;width:3076575;" coordorigin="2465,6341" coordsize="4845,0" o:gfxdata="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EmORYzWAAAABQEAAA8AAAAAAAAA&#10;AQAgAAAAIgAAAGRycy9kb3ducmV2LnhtbFBLAQIUABQAAAAIAIdO4kA07t04vgIAAF4LAAAOAAAA&#10;AAAAAAEAIAAAACUBAABkcnMvZTJvRG9jLnhtbFBLBQYAAAAABgAGAFkBAABVBgAAAAA=&#10;">
                        <o:lock v:ext="edit" aspectratio="f"/>
                        <v:line id="直线 1221" o:spid="_x0000_s1026" o:spt="20" style="position:absolute;left:2465;top:6341;flip:y;height:0;width:600;" filled="f" stroked="t" coordsize="21600,21600" o:gfxdata="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D8G8vQAA&#10;ANsAAAAPAAAAAAAAAAEAIAAAACIAAABkcnMvZG93bnJldi54bWxQSwECFAAUAAAACACHTuJAMy8F&#10;njsAAAA5AAAAEAAAAAAAAAABACAAAAAMAQAAZHJzL3NoYXBleG1sLnhtbFBLBQYAAAAABgAGAFsB&#10;AAC2AwAAAAA=&#10;">
                          <v:fill on="f" focussize="0,0"/>
                          <v:stroke weight="1.5pt" color="#000000" joinstyle="round" startarrow="block"/>
                          <v:imagedata o:title=""/>
                          <o:lock v:ext="edit" aspectratio="f"/>
                        </v:line>
                        <v:line id="直线 1222" o:spid="_x0000_s1026" o:spt="20" style="position:absolute;left:3880;top:6341;flip:y;height:0;width:600;" filled="f" stroked="t" coordsize="21600,21600" o:gfxdata="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5lnIvQAA&#10;ANsAAAAPAAAAAAAAAAEAIAAAACIAAABkcnMvZG93bnJldi54bWxQSwECFAAUAAAACACHTuJAMy8F&#10;njsAAAA5AAAAEAAAAAAAAAABACAAAAAMAQAAZHJzL3NoYXBleG1sLnhtbFBLBQYAAAAABgAGAFsB&#10;AAC2AwAAAAA=&#10;">
                          <v:fill on="f" focussize="0,0"/>
                          <v:stroke weight="1.5pt" color="#000000" joinstyle="round" startarrow="block"/>
                          <v:imagedata o:title=""/>
                          <o:lock v:ext="edit" aspectratio="f"/>
                        </v:line>
                        <v:line id="直线 1223" o:spid="_x0000_s1026" o:spt="20" style="position:absolute;left:5295;top:6341;flip:y;height:0;width:600;" filled="f" stroked="t" coordsize="21600,21600" o:gfxdata="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Gq/FO8AAAA&#10;2wAAAA8AAAAAAAAAAQAgAAAAIgAAAGRycy9kb3ducmV2LnhtbFBLAQIUABQAAAAIAIdO4kAzLwWe&#10;OwAAADkAAAAQAAAAAAAAAAEAIAAAAAsBAABkcnMvc2hhcGV4bWwueG1sUEsFBgAAAAAGAAYAWwEA&#10;ALUDAAAAAA==&#10;">
                          <v:fill on="f" focussize="0,0"/>
                          <v:stroke weight="1.5pt" color="#000000" joinstyle="round" startarrow="block"/>
                          <v:imagedata o:title=""/>
                          <o:lock v:ext="edit" aspectratio="f"/>
                        </v:line>
                        <v:line id="直线 1224" o:spid="_x0000_s1026" o:spt="20" style="position:absolute;left:6710;top:6341;flip:y;height:0;width:600;" filled="f" stroked="t" coordsize="21600,21600" o:gfxdata="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eGIkvQAA&#10;ANsAAAAPAAAAAAAAAAEAIAAAACIAAABkcnMvZG93bnJldi54bWxQSwECFAAUAAAACACHTuJAMy8F&#10;njsAAAA5AAAAEAAAAAAAAAABACAAAAAMAQAAZHJzL3NoYXBleG1sLnhtbFBLBQYAAAAABgAGAFsB&#10;AAC2AwAAAAA=&#10;">
                          <v:fill on="f" focussize="0,0"/>
                          <v:stroke weight="1.5pt" color="#000000" joinstyle="round" startarrow="block"/>
                          <v:imagedata o:title=""/>
                          <o:lock v:ext="edit" aspectratio="f"/>
                        </v:line>
                      </v:group>
                      <v:line id="直线 1226" o:spid="_x0000_s1026" o:spt="20" style="position:absolute;left:5091430;top:1228725;flip:x;height:611505;width:6985;" filled="f" stroked="t" coordsize="21600,21600" o:gfxdata="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c/fxdQAAAAFAQAADwAAAAAAAAABACAAAAAiAAAA&#10;ZHJzL2Rvd25yZXYueG1sUEsBAhQAFAAAAAgAh07iQHZMSsQLAgAA/AMAAA4AAAAAAAAAAQAgAAAA&#10;IwEAAGRycy9lMm9Eb2MueG1sUEsFBgAAAAAGAAYAWQEAAKAFAAAAAA==&#10;">
                        <v:fill on="f" focussize="0,0"/>
                        <v:stroke weight="1.5pt" color="#000000" joinstyle="round" endarrow="block"/>
                        <v:imagedata o:title=""/>
                        <o:lock v:ext="edit" aspectratio="f"/>
                      </v:line>
                      <v:line id="直线 1227" o:spid="_x0000_s1026" o:spt="20" style="position:absolute;left:233045;top:2052955;height:825500;width:0;" filled="f" stroked="t" coordsize="21600,21600" o:gfxdata="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uxaqt0wAAAAUBAAAPAAAAAAAAAAEAIAAAACIAAABkcnMvZG93bnJldi54&#10;bWxQSwECFAAUAAAACACHTuJAbfzVDv8BAADuAwAADgAAAAAAAAABACAAAAAiAQAAZHJzL2Uyb0Rv&#10;Yy54bWxQSwUGAAAAAAYABgBZAQAAkwUAAAAA&#10;">
                        <v:fill on="f" focussize="0,0"/>
                        <v:stroke weight="1.5pt" color="#000000" joinstyle="round" endarrow="block"/>
                        <v:imagedata o:title=""/>
                        <o:lock v:ext="edit" aspectratio="f"/>
                      </v:line>
                      <v:line id="直线 1228" o:spid="_x0000_s1026" o:spt="20" style="position:absolute;left:5100955;top:3089911;height:825500;width:0;" filled="f" stroked="t" coordsize="21600,21600" o:gfxdata="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uxaqt0wAAAAUBAAAPAAAAAAAAAAEAIAAAACIAAABkcnMvZG93bnJldi54&#10;bWxQSwECFAAUAAAACACHTuJAiwHa9f8BAADvAwAADgAAAAAAAAABACAAAAAiAQAAZHJzL2Uyb0Rv&#10;Yy54bWxQSwUGAAAAAAYABgBZAQAAkwUAAAAA&#10;">
                        <v:fill on="f" focussize="0,0"/>
                        <v:stroke weight="1.5pt" color="#000000" joinstyle="round" endarrow="block"/>
                        <v:imagedata o:title=""/>
                        <o:lock v:ext="edit" aspectratio="f"/>
                      </v:line>
                      <v:group id="组合 1231" o:spid="_x0000_s1026" o:spt="203" style="position:absolute;left:942340;top:333375;height:462280;width:711200;" coordorigin="1484,530" coordsize="1120,728" o:gfxdata="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">
                        <o:lock v:ext="edit" aspectratio="f"/>
                        <v:line id="直线 1229" o:spid="_x0000_s1026" o:spt="20" style="position:absolute;left:2054;top:880;flip:y;height:378;width:1;" filled="f" stroked="t" coordsize="21600,21600" o:gfxdata="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1OLvb4A&#10;AADbAAAADwAAAAAAAAABACAAAAAiAAAAZHJzL2Rvd25yZXYueG1sUEsBAhQAFAAAAAgAh07iQDMv&#10;BZ47AAAAOQAAABAAAAAAAAAAAQAgAAAADQEAAGRycy9zaGFwZXhtbC54bWxQSwUGAAAAAAYABgBb&#10;AQAAtwMAAAAA&#10;">
                          <v:fill on="f" focussize="0,0"/>
                          <v:stroke weight="1.5pt" color="#000000" joinstyle="round" dashstyle="1 1" endcap="square" endarrow="block"/>
                          <v:imagedata o:title=""/>
                          <o:lock v:ext="edit" aspectratio="f"/>
                        </v:line>
                        <v:shape id="文本框 1230" o:spid="_x0000_s1026" o:spt="202" type="#_x0000_t202" style="position:absolute;left:1484;top:530;height:341;width:1121;" fillcolor="#FFFFFF" filled="t" stroked="t" coordsize="21600,21600" o:gfxdata="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IVXli8AAAA&#10;2wAAAA8AAAAAAAAAAQAgAAAAIgAAAGRycy9kb3ducmV2LnhtbFBLAQIUABQAAAAIAIdO4kAzLwWe&#10;OwAAADkAAAAQAAAAAAAAAAEAIAAAAAsBAABkcnMvc2hhcGV4bWwueG1sUEsFBgAAAAAGAAYAWwEA&#10;ALUDAAAAAA==&#10;">
                          <v:fill on="t" focussize="0,0"/>
                          <v:stroke weight="1.5pt" color="#000000" joinstyle="miter" dashstyle="1 1" endcap="square"/>
                          <v:imagedata o:title=""/>
                          <o:lock v:ext="edit" aspectratio="f"/>
                          <v:textbox inset="0mm,0mm,0mm,0mm" style="mso-fit-shape-to-text:t;">
                            <w:txbxContent>
                              <w:p w14:paraId="3AC5646A">
                                <w:pPr>
                                  <w:jc w:val="center"/>
                                  <w:rPr>
                                    <w:sz w:val="24"/>
                                  </w:rPr>
                                </w:pPr>
                                <w:r>
                                  <w:rPr>
                                    <w:rFonts w:hint="eastAsia"/>
                                    <w:sz w:val="24"/>
                                  </w:rPr>
                                  <w:t>G、N、S</w:t>
                                </w:r>
                              </w:p>
                            </w:txbxContent>
                          </v:textbox>
                        </v:shape>
                      </v:group>
                      <v:line id="直线 1233" o:spid="_x0000_s1026" o:spt="20" style="position:absolute;left:3129280;top:553085;flip:y;height:237490;width:1270;" filled="f" stroked="t" coordsize="21600,21600" o:gfxdata="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UZyrw1gAAAAUBAAAPAAAAAAAAAAEAIAAAACIA&#10;AABkcnMvZG93bnJldi54bWxQSwECFAAUAAAACACHTuJAm92wnQsCAAD6AwAADgAAAAAAAAABACAA&#10;AAAlAQAAZHJzL2Uyb0RvYy54bWxQSwUGAAAAAAYABgBZAQAAogUAAAAA&#10;">
                        <v:fill on="f" focussize="0,0"/>
                        <v:stroke weight="1.5pt" color="#000000" joinstyle="round" dashstyle="1 1" endcap="square" endarrow="block"/>
                        <v:imagedata o:title=""/>
                        <o:lock v:ext="edit" aspectratio="f"/>
                      </v:line>
                      <v:shape id="文本框 1234" o:spid="_x0000_s1026" o:spt="202" type="#_x0000_t202" style="position:absolute;left:1958340;top:333375;height:216535;width:1394460;" fillcolor="#FFFFFF" filled="t" stroked="t" coordsize="21600,21600" o:gfxdata="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hgjLXTAAAABQEAAA8AAAAAAAAA&#10;AQAgAAAAIgAAAGRycy9kb3ducmV2LnhtbFBLAQIUABQAAAAIAIdO4kDwg5/yTwIAALYEAAAOAAAA&#10;AAAAAAEAIAAAACIBAABkcnMvZTJvRG9jLnhtbFBLBQYAAAAABgAGAFkBAADjBQAAAAA=&#10;">
                        <v:fill on="t" focussize="0,0"/>
                        <v:stroke weight="1.5pt" color="#000000" joinstyle="miter" dashstyle="1 1" endcap="square"/>
                        <v:imagedata o:title=""/>
                        <o:lock v:ext="edit" aspectratio="f"/>
                        <v:textbox inset="0mm,0mm,0mm,0mm" style="mso-fit-shape-to-text:t;">
                          <w:txbxContent>
                            <w:p w14:paraId="15F4D85A">
                              <w:pPr>
                                <w:jc w:val="center"/>
                                <w:rPr>
                                  <w:sz w:val="24"/>
                                </w:rPr>
                              </w:pPr>
                              <w:r>
                                <w:rPr>
                                  <w:rFonts w:hint="eastAsia"/>
                                  <w:sz w:val="24"/>
                                </w:rPr>
                                <w:t>G、N、S</w:t>
                              </w:r>
                            </w:p>
                          </w:txbxContent>
                        </v:textbox>
                      </v:shape>
                      <v:group id="组合 1235" o:spid="_x0000_s1026" o:spt="203" style="position:absolute;left:3644265;top:333375;height:457200;width:711835;" coordorigin="1484,530" coordsize="1121,728" o:gfxdata="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">
                        <o:lock v:ext="edit" aspectratio="f"/>
                        <v:line id="直线 1236" o:spid="_x0000_s1026" o:spt="20" style="position:absolute;left:2054;top:880;flip:y;height:378;width:1;" filled="f" stroked="t" coordsize="21600,21600" o:gfxdata="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i6E8m/&#10;AAAA2wAAAA8AAAAAAAAAAQAgAAAAIgAAAGRycy9kb3ducmV2LnhtbFBLAQIUABQAAAAIAIdO4kAz&#10;LwWeOwAAADkAAAAQAAAAAAAAAAEAIAAAAA4BAABkcnMvc2hhcGV4bWwueG1sUEsFBgAAAAAGAAYA&#10;WwEAALgDAAAAAA==&#10;">
                          <v:fill on="f" focussize="0,0"/>
                          <v:stroke weight="1.5pt" color="#000000" joinstyle="round" dashstyle="1 1" endcap="square" endarrow="block"/>
                          <v:imagedata o:title=""/>
                          <o:lock v:ext="edit" aspectratio="f"/>
                        </v:line>
                        <v:shape id="文本框 1237" o:spid="_x0000_s1026" o:spt="202" type="#_x0000_t202" style="position:absolute;left:1484;top:530;height:345;width:1121;" fillcolor="#FFFFFF" filled="t" stroked="t" coordsize="21600,21600" o:gfxdata="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mL9wLsAAADb&#10;AAAADwAAAAAAAAABACAAAAAiAAAAZHJzL2Rvd25yZXYueG1sUEsBAhQAFAAAAAgAh07iQDMvBZ47&#10;AAAAOQAAABAAAAAAAAAAAQAgAAAACgEAAGRycy9zaGFwZXhtbC54bWxQSwUGAAAAAAYABgBbAQAA&#10;tAMAAAAA&#10;">
                          <v:fill on="t" focussize="0,0"/>
                          <v:stroke weight="1.5pt" color="#000000" joinstyle="miter" dashstyle="1 1" endcap="square"/>
                          <v:imagedata o:title=""/>
                          <o:lock v:ext="edit" aspectratio="f"/>
                          <v:textbox inset="0mm,0mm,0mm,0mm" style="mso-fit-shape-to-text:t;">
                            <w:txbxContent>
                              <w:p w14:paraId="0CB5A5D1">
                                <w:pPr>
                                  <w:jc w:val="center"/>
                                  <w:rPr>
                                    <w:sz w:val="24"/>
                                  </w:rPr>
                                </w:pPr>
                                <w:r>
                                  <w:rPr>
                                    <w:rFonts w:hint="eastAsia"/>
                                    <w:sz w:val="24"/>
                                  </w:rPr>
                                  <w:t>G、N、S</w:t>
                                </w:r>
                              </w:p>
                            </w:txbxContent>
                          </v:textbox>
                        </v:shape>
                      </v:group>
                      <v:group id="组合 1238" o:spid="_x0000_s1026" o:spt="203" style="position:absolute;left:4531360;top:333375;height:457200;width:711835;" coordorigin="1484,530" coordsize="1121,728" o:gfxdata="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SY5FjNYAAAAFAQAADwAAAAAA&#10;AAABACAAAAAiAAAAZHJzL2Rvd25yZXYueG1sUEsBAhQAFAAAAAgAh07iQIgidukyAwAA9gcAAA4A&#10;AAAAAAAAAQAgAAAAJQEAAGRycy9lMm9Eb2MueG1sUEsFBgAAAAAGAAYAWQEAAMkGAAAAAA==&#10;">
                        <o:lock v:ext="edit" aspectratio="f"/>
                        <v:line id="直线 1239" o:spid="_x0000_s1026" o:spt="20" style="position:absolute;left:2054;top:880;flip:y;height:378;width:1;" filled="f" stroked="t" coordsize="21600,21600" o:gfxdata="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lh7u/&#10;AAAA2wAAAA8AAAAAAAAAAQAgAAAAIgAAAGRycy9kb3ducmV2LnhtbFBLAQIUABQAAAAIAIdO4kAz&#10;LwWeOwAAADkAAAAQAAAAAAAAAAEAIAAAAA4BAABkcnMvc2hhcGV4bWwueG1sUEsFBgAAAAAGAAYA&#10;WwEAALgDAAAAAA==&#10;">
                          <v:fill on="f" focussize="0,0"/>
                          <v:stroke weight="1.5pt" color="#000000" joinstyle="round" dashstyle="1 1" endcap="square" endarrow="block"/>
                          <v:imagedata o:title=""/>
                          <o:lock v:ext="edit" aspectratio="f"/>
                        </v:line>
                        <v:shape id="文本框 1240" o:spid="_x0000_s1026" o:spt="202" type="#_x0000_t202" style="position:absolute;left:1484;top:530;height:309;width:1121;" fillcolor="#FFFFFF" filled="t" stroked="t" coordsize="21600,21600" o:gfxdata="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heFZO5AAAA2wAA&#10;AA8AAAAAAAAAAQAgAAAAIgAAAGRycy9kb3ducmV2LnhtbFBLAQIUABQAAAAIAIdO4kAzLwWeOwAA&#10;ADkAAAAQAAAAAAAAAAEAIAAAAAgBAABkcnMvc2hhcGV4bWwueG1sUEsFBgAAAAAGAAYAWwEAALID&#10;AAAAAA==&#10;">
                          <v:fill on="t" focussize="0,0"/>
                          <v:stroke weight="1.5pt" color="#000000" joinstyle="miter" dashstyle="1 1" endcap="square"/>
                          <v:imagedata o:title=""/>
                          <o:lock v:ext="edit" aspectratio="f"/>
                          <v:textbox inset="0mm,0mm,0mm,0mm" style="mso-fit-shape-to-text:t;">
                            <w:txbxContent>
                              <w:p w14:paraId="6DF0AA77">
                                <w:pPr>
                                  <w:jc w:val="center"/>
                                  <w:rPr>
                                    <w:sz w:val="24"/>
                                  </w:rPr>
                                </w:pPr>
                                <w:r>
                                  <w:rPr>
                                    <w:rFonts w:hint="eastAsia"/>
                                    <w:sz w:val="24"/>
                                  </w:rPr>
                                  <w:t>G</w:t>
                                </w:r>
                              </w:p>
                            </w:txbxContent>
                          </v:textbox>
                        </v:shape>
                      </v:group>
                      <v:line id="直线 1242" o:spid="_x0000_s1026" o:spt="20" style="position:absolute;left:2221230;top:1584325;flip:y;height:237490;width:1905;" filled="f" stroked="t" coordsize="21600,21600" o:gfxdata="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RnKvDWAAAABQEAAA8AAAAAAAAAAQAgAAAAIgAA&#10;AGRycy9kb3ducmV2LnhtbFBLAQIUABQAAAAIAIdO4kACYkszCgIAAPsDAAAOAAAAAAAAAAEAIAAA&#10;ACUBAABkcnMvZTJvRG9jLnhtbFBLBQYAAAAABgAGAFkBAAChBQAAAAA=&#10;">
                        <v:fill on="f" focussize="0,0"/>
                        <v:stroke weight="1.5pt" color="#000000" joinstyle="round" dashstyle="1 1" endcap="square" endarrow="block"/>
                        <v:imagedata o:title=""/>
                        <o:lock v:ext="edit" aspectratio="f"/>
                      </v:line>
                      <v:shape id="文本框 1243" o:spid="_x0000_s1026" o:spt="202" type="#_x0000_t202" style="position:absolute;left:960120;top:1363980;height:216535;width:2479675;" fillcolor="#FFFFFF" filled="t" stroked="t" coordsize="21600,21600" o:gfxdata="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PhgjLXTAAAABQEAAA8AAAAA&#10;AAAAAQAgAAAAIgAAAGRycy9kb3ducmV2LnhtbFBLAQIUABQAAAAIAIdO4kBA86TmUgIAALYEAAAO&#10;AAAAAAAAAAEAIAAAACIBAABkcnMvZTJvRG9jLnhtbFBLBQYAAAAABgAGAFkBAADmBQAAAAA=&#10;">
                        <v:fill on="t" focussize="0,0"/>
                        <v:stroke weight="1.5pt" color="#000000" joinstyle="miter" dashstyle="1 1" endcap="square"/>
                        <v:imagedata o:title=""/>
                        <o:lock v:ext="edit" aspectratio="f"/>
                        <v:textbox inset="0mm,0mm,0mm,0mm" style="mso-fit-shape-to-text:t;">
                          <w:txbxContent>
                            <w:p w14:paraId="17DB24E8">
                              <w:pPr>
                                <w:jc w:val="center"/>
                                <w:rPr>
                                  <w:sz w:val="24"/>
                                </w:rPr>
                              </w:pPr>
                              <w:r>
                                <w:rPr>
                                  <w:rFonts w:hint="eastAsia"/>
                                  <w:sz w:val="24"/>
                                </w:rPr>
                                <w:t>G、N、S</w:t>
                              </w:r>
                            </w:p>
                          </w:txbxContent>
                        </v:textbox>
                      </v:shape>
                      <v:group id="组合 1274" o:spid="_x0000_s1026" o:spt="203" style="position:absolute;left:3649980;top:1363980;height:457200;width:711200;" coordorigin="1484,530" coordsize="1121,728" o:gfxdata="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SY5FjNYAAAAFAQAADwAAAAAAAAABACAAAAAiAAAAZHJz&#10;L2Rvd25yZXYueG1sUEsBAhQAFAAAAAgAh07iQKW+ezkjAwAA9wcAAA4AAAAAAAAAAQAgAAAAJQEA&#10;AGRycy9lMm9Eb2MueG1sUEsFBgAAAAAGAAYAWQEAALoGAAAAAA==&#10;">
                        <o:lock v:ext="edit" aspectratio="f"/>
                        <v:line id="直线 1275" o:spid="_x0000_s1026" o:spt="20" style="position:absolute;left:2054;top:880;flip:y;height:378;width:1;" filled="f" stroked="t" coordsize="21600,21600" o:gfxdata="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8VgCvQAA&#10;ANsAAAAPAAAAAAAAAAEAIAAAACIAAABkcnMvZG93bnJldi54bWxQSwECFAAUAAAACACHTuJAMy8F&#10;njsAAAA5AAAAEAAAAAAAAAABACAAAAAMAQAAZHJzL3NoYXBleG1sLnhtbFBLBQYAAAAABgAGAFsB&#10;AAC2AwAAAAA=&#10;">
                          <v:fill on="f" focussize="0,0"/>
                          <v:stroke weight="1.5pt" color="#000000" joinstyle="round" dashstyle="1 1" endcap="square" endarrow="block"/>
                          <v:imagedata o:title=""/>
                          <o:lock v:ext="edit" aspectratio="f"/>
                        </v:line>
                        <v:shape id="文本框 1276" o:spid="_x0000_s1026" o:spt="202" type="#_x0000_t202" style="position:absolute;left:1484;top:530;height:309;width:1121;" fillcolor="#FFFFFF" filled="t" stroked="t" coordsize="21600,21600" o:gfxdata="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gptgu8AAAA&#10;2wAAAA8AAAAAAAAAAQAgAAAAIgAAAGRycy9kb3ducmV2LnhtbFBLAQIUABQAAAAIAIdO4kAzLwWe&#10;OwAAADkAAAAQAAAAAAAAAAEAIAAAAAsBAABkcnMvc2hhcGV4bWwueG1sUEsFBgAAAAAGAAYAWwEA&#10;ALUDAAAAAA==&#10;">
                          <v:fill on="t" focussize="0,0"/>
                          <v:stroke weight="1.5pt" color="#000000" joinstyle="miter" dashstyle="1 1" endcap="square"/>
                          <v:imagedata o:title=""/>
                          <o:lock v:ext="edit" aspectratio="f"/>
                          <v:textbox inset="0mm,0mm,0mm,0mm" style="mso-fit-shape-to-text:t;">
                            <w:txbxContent>
                              <w:p w14:paraId="4685DA68">
                                <w:pPr>
                                  <w:jc w:val="center"/>
                                  <w:rPr>
                                    <w:sz w:val="24"/>
                                  </w:rPr>
                                </w:pPr>
                                <w:r>
                                  <w:rPr>
                                    <w:rFonts w:hint="eastAsia"/>
                                    <w:sz w:val="24"/>
                                  </w:rPr>
                                  <w:t>G</w:t>
                                </w:r>
                              </w:p>
                            </w:txbxContent>
                          </v:textbox>
                        </v:shape>
                      </v:group>
                      <v:line id="直线 1277" o:spid="_x0000_s1026" o:spt="20" style="position:absolute;left:1298575;top:1590675;flip:y;height:228600;width:0;" filled="f" stroked="t" coordsize="21600,21600" o:gfxdata="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Gcq8NYAAAAFAQAADwAAAAAAAAABACAAAAAiAAAAZHJz&#10;L2Rvd25yZXYueG1sUEsBAhQAFAAAAAgAh07iQPaU/lgGAgAA+AMAAA4AAAAAAAAAAQAgAAAAJQEA&#10;AGRycy9lMm9Eb2MueG1sUEsFBgAAAAAGAAYAWQEAAJ0FAAAAAA==&#10;">
                        <v:fill on="f" focussize="0,0"/>
                        <v:stroke weight="1.5pt" color="#000000" joinstyle="round" dashstyle="1 1" endcap="square" endarrow="block"/>
                        <v:imagedata o:title=""/>
                        <o:lock v:ext="edit" aspectratio="f"/>
                      </v:line>
                      <v:line id="直线 1278" o:spid="_x0000_s1026" o:spt="20" style="position:absolute;left:3108325;top:1597025;flip:y;height:228600;width:0;" filled="f" stroked="t" coordsize="21600,21600" o:gfxdata="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UZyrw1gAAAAUBAAAPAAAAAAAAAAEAIAAAACIAAABk&#10;cnMvZG93bnJldi54bWxQSwECFAAUAAAACACHTuJAJ3v0mAgCAAD4AwAADgAAAAAAAAABACAAAAAl&#10;AQAAZHJzL2Uyb0RvYy54bWxQSwUGAAAAAAYABgBZAQAAnwUAAAAA&#10;">
                        <v:fill on="f" focussize="0,0"/>
                        <v:stroke weight="1.5pt" color="#000000" joinstyle="round" dashstyle="1 1" endcap="square" endarrow="block"/>
                        <v:imagedata o:title=""/>
                        <o:lock v:ext="edit" aspectratio="f"/>
                      </v:line>
                      <v:group id="组合 1279" o:spid="_x0000_s1026" o:spt="203" style="position:absolute;left:941705;top:2422526;height:457200;width:711200;" coordorigin="1484,530" coordsize="1121,728" o:gfxdata="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SY5FjNYAAAAFAQAADwAAAAAAAAAB&#10;ACAAAAAiAAAAZHJzL2Rvd25yZXYueG1sUEsBAhQAFAAAAAgAh07iQNum12QvAwAA9gcAAA4AAAAA&#10;AAAAAQAgAAAAJQEAAGRycy9lMm9Eb2MueG1sUEsFBgAAAAAGAAYAWQEAAMYGAAAAAA==&#10;">
                        <o:lock v:ext="edit" aspectratio="f"/>
                        <v:line id="直线 1280" o:spid="_x0000_s1026" o:spt="20" style="position:absolute;left:2054;top:880;flip:y;height:378;width:1;" filled="f" stroked="t" coordsize="21600,21600" o:gfxdata="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PD3nL4A&#10;AADbAAAADwAAAAAAAAABACAAAAAiAAAAZHJzL2Rvd25yZXYueG1sUEsBAhQAFAAAAAgAh07iQDMv&#10;BZ47AAAAOQAAABAAAAAAAAAAAQAgAAAADQEAAGRycy9zaGFwZXhtbC54bWxQSwUGAAAAAAYABgBb&#10;AQAAtwMAAAAA&#10;">
                          <v:fill on="f" focussize="0,0"/>
                          <v:stroke weight="1.5pt" color="#000000" joinstyle="round" dashstyle="1 1" endcap="square" endarrow="block"/>
                          <v:imagedata o:title=""/>
                          <o:lock v:ext="edit" aspectratio="f"/>
                        </v:line>
                        <v:shape id="文本框 1281" o:spid="_x0000_s1026" o:spt="202" type="#_x0000_t202" style="position:absolute;left:1484;top:530;height:345;width:1121;" fillcolor="#FFFFFF" filled="t" stroked="t" coordsize="21600,21600" o:gfxdata="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YeDTrgAAADbAAAA&#10;DwAAAAAAAAABACAAAAAiAAAAZHJzL2Rvd25yZXYueG1sUEsBAhQAFAAAAAgAh07iQDMvBZ47AAAA&#10;OQAAABAAAAAAAAAAAQAgAAAABwEAAGRycy9zaGFwZXhtbC54bWxQSwUGAAAAAAYABgBbAQAAsQMA&#10;AAAA&#10;">
                          <v:fill on="t" focussize="0,0"/>
                          <v:stroke weight="1.5pt" color="#000000" joinstyle="miter" dashstyle="1 1" endcap="square"/>
                          <v:imagedata o:title=""/>
                          <o:lock v:ext="edit" aspectratio="f"/>
                          <v:textbox inset="0mm,0mm,0mm,0mm" style="mso-fit-shape-to-text:t;">
                            <w:txbxContent>
                              <w:p w14:paraId="620A0543">
                                <w:pPr>
                                  <w:jc w:val="center"/>
                                  <w:rPr>
                                    <w:sz w:val="24"/>
                                  </w:rPr>
                                </w:pPr>
                                <w:r>
                                  <w:rPr>
                                    <w:rFonts w:hint="eastAsia"/>
                                    <w:sz w:val="24"/>
                                  </w:rPr>
                                  <w:t>G、S</w:t>
                                </w:r>
                              </w:p>
                            </w:txbxContent>
                          </v:textbox>
                        </v:shape>
                      </v:group>
                      <v:group id="组合 1282" o:spid="_x0000_s1026" o:spt="203" style="position:absolute;left:1852295;top:2422526;height:457200;width:711200;" coordorigin="1484,530" coordsize="1121,728" o:gfxdata="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EmORYzWAAAABQEAAA8AAAAAAAAAAQAgAAAAIgAA&#10;AGRycy9kb3ducmV2LnhtbFBLAQIUABQAAAAIAIdO4kD1wmC0JwMAAPcHAAAOAAAAAAAAAAEAIAAA&#10;ACUBAABkcnMvZTJvRG9jLnhtbFBLBQYAAAAABgAGAFkBAAC+BgAAAAA=&#10;">
                        <o:lock v:ext="edit" aspectratio="f"/>
                        <v:line id="直线 1283" o:spid="_x0000_s1026" o:spt="20" style="position:absolute;left:2054;top:880;flip:y;height:378;width:1;" filled="f" stroked="t" coordsize="21600,21600" o:gfxdata="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43zML4A&#10;AADbAAAADwAAAAAAAAABACAAAAAiAAAAZHJzL2Rvd25yZXYueG1sUEsBAhQAFAAAAAgAh07iQDMv&#10;BZ47AAAAOQAAABAAAAAAAAAAAQAgAAAADQEAAGRycy9zaGFwZXhtbC54bWxQSwUGAAAAAAYABgBb&#10;AQAAtwMAAAAA&#10;">
                          <v:fill on="f" focussize="0,0"/>
                          <v:stroke weight="1.5pt" color="#000000" joinstyle="round" dashstyle="1 1" endcap="square" endarrow="block"/>
                          <v:imagedata o:title=""/>
                          <o:lock v:ext="edit" aspectratio="f"/>
                        </v:line>
                        <v:shape id="文本框 1284" o:spid="_x0000_s1026" o:spt="202" type="#_x0000_t202" style="position:absolute;left:1484;top:530;height:345;width:1121;" fillcolor="#FFFFFF" filled="t" stroked="t" coordsize="21600,21600" o:gfxdata="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VR05vQAA&#10;ANsAAAAPAAAAAAAAAAEAIAAAACIAAABkcnMvZG93bnJldi54bWxQSwECFAAUAAAACACHTuJAMy8F&#10;njsAAAA5AAAAEAAAAAAAAAABACAAAAAMAQAAZHJzL3NoYXBleG1sLnhtbFBLBQYAAAAABgAGAFsB&#10;AAC2AwAAAAA=&#10;">
                          <v:fill on="t" focussize="0,0"/>
                          <v:stroke weight="1.5pt" color="#000000" joinstyle="miter" dashstyle="1 1" endcap="square"/>
                          <v:imagedata o:title=""/>
                          <o:lock v:ext="edit" aspectratio="f"/>
                          <v:textbox inset="0mm,0mm,0mm,0mm" style="mso-fit-shape-to-text:t;">
                            <w:txbxContent>
                              <w:p w14:paraId="428AEB56">
                                <w:pPr>
                                  <w:jc w:val="center"/>
                                  <w:rPr>
                                    <w:sz w:val="24"/>
                                  </w:rPr>
                                </w:pPr>
                                <w:r>
                                  <w:rPr>
                                    <w:rFonts w:hint="eastAsia"/>
                                    <w:sz w:val="24"/>
                                  </w:rPr>
                                  <w:t>G、S</w:t>
                                </w:r>
                              </w:p>
                            </w:txbxContent>
                          </v:textbox>
                        </v:shape>
                      </v:group>
                      <v:group id="组合 1286" o:spid="_x0000_s1026" o:spt="203" style="position:absolute;left:2745105;top:2422526;height:457200;width:711200;" coordorigin="1484,530" coordsize="1121,728" o:gfxdata="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EmORYzWAAAABQEAAA8AAAAAAAAAAQAgAAAA&#10;IgAAAGRycy9kb3ducmV2LnhtbFBLAQIUABQAAAAIAIdO4kAVnug5KgMAAPcHAAAOAAAAAAAAAAEA&#10;IAAAACUBAABkcnMvZTJvRG9jLnhtbFBLBQYAAAAABgAGAFkBAADBBgAAAAA=&#10;">
                        <o:lock v:ext="edit" aspectratio="f"/>
                        <v:line id="直线 1287" o:spid="_x0000_s1026" o:spt="20" style="position:absolute;left:2054;top:880;flip:y;height:378;width:1;" filled="f" stroked="t" coordsize="21600,21600" o:gfxdata="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RrRL4A&#10;AADbAAAADwAAAAAAAAABACAAAAAiAAAAZHJzL2Rvd25yZXYueG1sUEsBAhQAFAAAAAgAh07iQDMv&#10;BZ47AAAAOQAAABAAAAAAAAAAAQAgAAAADQEAAGRycy9zaGFwZXhtbC54bWxQSwUGAAAAAAYABgBb&#10;AQAAtwMAAAAA&#10;">
                          <v:fill on="f" focussize="0,0"/>
                          <v:stroke weight="1.5pt" color="#000000" joinstyle="round" dashstyle="1 1" endcap="square" endarrow="block"/>
                          <v:imagedata o:title=""/>
                          <o:lock v:ext="edit" aspectratio="f"/>
                        </v:line>
                        <v:shape id="文本框 1288" o:spid="_x0000_s1026" o:spt="202" type="#_x0000_t202" style="position:absolute;left:1484;top:530;height:309;width:1121;" fillcolor="#FFFFFF" filled="t" stroked="t" coordsize="21600,21600" o:gfxdata="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SK+obsAAADb&#10;AAAADwAAAAAAAAABACAAAAAiAAAAZHJzL2Rvd25yZXYueG1sUEsBAhQAFAAAAAgAh07iQDMvBZ47&#10;AAAAOQAAABAAAAAAAAAAAQAgAAAACgEAAGRycy9zaGFwZXhtbC54bWxQSwUGAAAAAAYABgBbAQAA&#10;tAMAAAAA&#10;">
                          <v:fill on="t" focussize="0,0"/>
                          <v:stroke weight="1.5pt" color="#000000" joinstyle="miter" dashstyle="1 1" endcap="square"/>
                          <v:imagedata o:title=""/>
                          <o:lock v:ext="edit" aspectratio="f"/>
                          <v:textbox inset="0mm,0mm,0mm,0mm" style="mso-fit-shape-to-text:t;">
                            <w:txbxContent>
                              <w:p w14:paraId="7B7873F9">
                                <w:pPr>
                                  <w:jc w:val="center"/>
                                  <w:rPr>
                                    <w:sz w:val="24"/>
                                  </w:rPr>
                                </w:pPr>
                                <w:r>
                                  <w:rPr>
                                    <w:rFonts w:hint="eastAsia"/>
                                    <w:sz w:val="24"/>
                                  </w:rPr>
                                  <w:t>G</w:t>
                                </w:r>
                              </w:p>
                            </w:txbxContent>
                          </v:textbox>
                        </v:shape>
                      </v:group>
                      <v:group id="组合 1289" o:spid="_x0000_s1026" o:spt="203" style="position:absolute;left:3644265;top:2422526;height:457200;width:711200;" coordorigin="1484,530" coordsize="1121,728" o:gfxdata="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EmORYzWAAAABQEAAA8AAAAAAAAA&#10;AQAgAAAAIgAAAGRycy9kb3ducmV2LnhtbFBLAQIUABQAAAAIAIdO4kDNhBwjMAMAAPgHAAAOAAAA&#10;AAAAAAEAIAAAACUBAABkcnMvZTJvRG9jLnhtbFBLBQYAAAAABgAGAFkBAADHBgAAAAA=&#10;">
                        <o:lock v:ext="edit" aspectratio="f"/>
                        <v:line id="直线 1290" o:spid="_x0000_s1026" o:spt="20" style="position:absolute;left:2054;top:880;flip:y;height:378;width:1;" filled="f" stroked="t" coordsize="21600,21600" o:gfxdata="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mXE2rsAAADb&#10;AAAADwAAAAAAAAABACAAAAAiAAAAZHJzL2Rvd25yZXYueG1sUEsBAhQAFAAAAAgAh07iQDMvBZ47&#10;AAAAOQAAABAAAAAAAAAAAQAgAAAACgEAAGRycy9zaGFwZXhtbC54bWxQSwUGAAAAAAYABgBbAQAA&#10;tAMAAAAA&#10;">
                          <v:fill on="f" focussize="0,0"/>
                          <v:stroke weight="1.5pt" color="#000000" joinstyle="round" dashstyle="1 1" endcap="square" endarrow="block"/>
                          <v:imagedata o:title=""/>
                          <o:lock v:ext="edit" aspectratio="f"/>
                        </v:line>
                        <v:shape id="文本框 1291" o:spid="_x0000_s1026" o:spt="202" type="#_x0000_t202" style="position:absolute;left:1484;top:530;height:309;width:1121;" fillcolor="#FFFFFF" filled="t" stroked="t" coordsize="21600,21600" o:gfxdata="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y9KtO8AAAA&#10;2wAAAA8AAAAAAAAAAQAgAAAAIgAAAGRycy9kb3ducmV2LnhtbFBLAQIUABQAAAAIAIdO4kAzLwWe&#10;OwAAADkAAAAQAAAAAAAAAAEAIAAAAAsBAABkcnMvc2hhcGV4bWwueG1sUEsFBgAAAAAGAAYAWwEA&#10;ALUDAAAAAA==&#10;">
                          <v:fill on="t" focussize="0,0"/>
                          <v:stroke weight="1.5pt" color="#000000" joinstyle="miter" dashstyle="1 1" endcap="square"/>
                          <v:imagedata o:title=""/>
                          <o:lock v:ext="edit" aspectratio="f"/>
                          <v:textbox inset="0mm,0mm,0mm,0mm" style="mso-fit-shape-to-text:t;">
                            <w:txbxContent>
                              <w:p w14:paraId="3CA8B4D9">
                                <w:pPr>
                                  <w:jc w:val="center"/>
                                  <w:rPr>
                                    <w:sz w:val="24"/>
                                  </w:rPr>
                                </w:pPr>
                                <w:r>
                                  <w:rPr>
                                    <w:rFonts w:hint="eastAsia"/>
                                    <w:sz w:val="24"/>
                                  </w:rPr>
                                  <w:t>G</w:t>
                                </w:r>
                              </w:p>
                            </w:txbxContent>
                          </v:textbox>
                        </v:shape>
                      </v:group>
                      <v:group id="组合 1292" o:spid="_x0000_s1026" o:spt="203" style="position:absolute;left:4537075;top:2422526;height:457200;width:711200;" coordorigin="1484,530" coordsize="1121,728" o:gfxdata="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">
                        <o:lock v:ext="edit" aspectratio="f"/>
                        <v:line id="直线 1293" o:spid="_x0000_s1026" o:spt="20" style="position:absolute;left:2054;top:880;flip:y;height:378;width:1;" filled="f" stroked="t" coordsize="21600,21600" o:gfxdata="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IpL+8AAAA&#10;3AAAAA8AAAAAAAAAAQAgAAAAIgAAAGRycy9kb3ducmV2LnhtbFBLAQIUABQAAAAIAIdO4kAzLwWe&#10;OwAAADkAAAAQAAAAAAAAAAEAIAAAAAsBAABkcnMvc2hhcGV4bWwueG1sUEsFBgAAAAAGAAYAWwEA&#10;ALUDAAAAAA==&#10;">
                          <v:fill on="f" focussize="0,0"/>
                          <v:stroke weight="1.5pt" color="#000000" joinstyle="round" dashstyle="1 1" endcap="square" endarrow="block"/>
                          <v:imagedata o:title=""/>
                          <o:lock v:ext="edit" aspectratio="f"/>
                        </v:line>
                        <v:shape id="文本框 1294" o:spid="_x0000_s1026" o:spt="202" type="#_x0000_t202" style="position:absolute;left:1484;top:530;height:345;width:1121;" fillcolor="#FFFFFF" filled="t" stroked="t" coordsize="21600,21600" o:gfxdata="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gFrIO5AAAA3AAA&#10;AA8AAAAAAAAAAQAgAAAAIgAAAGRycy9kb3ducmV2LnhtbFBLAQIUABQAAAAIAIdO4kAzLwWeOwAA&#10;ADkAAAAQAAAAAAAAAAEAIAAAAAgBAABkcnMvc2hhcGV4bWwueG1sUEsFBgAAAAAGAAYAWwEAALID&#10;AAAAAA==&#10;">
                          <v:fill on="t" focussize="0,0"/>
                          <v:stroke weight="1.5pt" color="#000000" joinstyle="miter" dashstyle="1 1" endcap="square"/>
                          <v:imagedata o:title=""/>
                          <o:lock v:ext="edit" aspectratio="f"/>
                          <v:textbox inset="0mm,0mm,0mm,0mm" style="mso-fit-shape-to-text:t;">
                            <w:txbxContent>
                              <w:p w14:paraId="67F4F086">
                                <w:pPr>
                                  <w:jc w:val="center"/>
                                  <w:rPr>
                                    <w:sz w:val="24"/>
                                  </w:rPr>
                                </w:pPr>
                                <w:r>
                                  <w:rPr>
                                    <w:rFonts w:hint="eastAsia"/>
                                    <w:sz w:val="24"/>
                                  </w:rPr>
                                  <w:t>G、S</w:t>
                                </w:r>
                              </w:p>
                            </w:txbxContent>
                          </v:textbox>
                        </v:shape>
                      </v:group>
                      <v:group id="组合 1295" o:spid="_x0000_s1026" o:spt="203" style="position:absolute;left:4483735;top:3448051;height:457200;width:544830;" coordorigin="1484,530" coordsize="1121,728" o:gfxdata="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EmORYzWAAAABQEAAA8AAAAAAAAAAQAgAAAA&#10;IgAAAGRycy9kb3ducmV2LnhtbFBLAQIUABQAAAAIAIdO4kCKoD6qKgMAAPoHAAAOAAAAAAAAAAEA&#10;IAAAACUBAABkcnMvZTJvRG9jLnhtbFBLBQYAAAAABgAGAFkBAADBBgAAAAA=&#10;">
                        <o:lock v:ext="edit" aspectratio="f"/>
                        <v:line id="直线 1296" o:spid="_x0000_s1026" o:spt="20" style="position:absolute;left:2054;top:880;flip:y;height:378;width:1;" filled="f" stroked="t" coordsize="21600,21600" o:gfxdata="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Bye8AAAA&#10;3AAAAA8AAAAAAAAAAQAgAAAAIgAAAGRycy9kb3ducmV2LnhtbFBLAQIUABQAAAAIAIdO4kAzLwWe&#10;OwAAADkAAAAQAAAAAAAAAAEAIAAAAAsBAABkcnMvc2hhcGV4bWwueG1sUEsFBgAAAAAGAAYAWwEA&#10;ALUDAAAAAA==&#10;">
                          <v:fill on="f" focussize="0,0"/>
                          <v:stroke weight="1.5pt" color="#000000" joinstyle="round" dashstyle="1 1" endcap="square" endarrow="block"/>
                          <v:imagedata o:title=""/>
                          <o:lock v:ext="edit" aspectratio="f"/>
                        </v:line>
                        <v:shape id="文本框 1297" o:spid="_x0000_s1026" o:spt="202" type="#_x0000_t202" style="position:absolute;left:1484;top:530;height:309;width:1121;" fillcolor="#FFFFFF" filled="t" stroked="t" coordsize="21600,21600" o:gfxdata="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7DT3ugAAANwA&#10;AAAPAAAAAAAAAAEAIAAAACIAAABkcnMvZG93bnJldi54bWxQSwECFAAUAAAACACHTuJAMy8FnjsA&#10;AAA5AAAAEAAAAAAAAAABACAAAAAJAQAAZHJzL3NoYXBleG1sLnhtbFBLBQYAAAAABgAGAFsBAACz&#10;AwAAAAA=&#10;">
                          <v:fill on="t" focussize="0,0"/>
                          <v:stroke weight="1.5pt" color="#000000" joinstyle="miter" dashstyle="1 1" endcap="square"/>
                          <v:imagedata o:title=""/>
                          <o:lock v:ext="edit" aspectratio="f"/>
                          <v:textbox inset="0mm,0mm,0mm,0mm" style="mso-fit-shape-to-text:t;">
                            <w:txbxContent>
                              <w:p w14:paraId="5B3D6E42">
                                <w:pPr>
                                  <w:jc w:val="center"/>
                                  <w:rPr>
                                    <w:sz w:val="24"/>
                                  </w:rPr>
                                </w:pPr>
                                <w:r>
                                  <w:rPr>
                                    <w:rFonts w:hint="eastAsia"/>
                                    <w:sz w:val="24"/>
                                  </w:rPr>
                                  <w:t>G</w:t>
                                </w:r>
                              </w:p>
                            </w:txbxContent>
                          </v:textbox>
                        </v:shape>
                      </v:group>
                      <v:group id="组合 1298" o:spid="_x0000_s1026" o:spt="203" style="position:absolute;left:3638550;top:3448051;height:457200;width:711200;" coordorigin="1484,530" coordsize="1121,728" o:gfxdata="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SY5FjNYAAAAFAQAADwAAAAAAAAAB&#10;ACAAAAAiAAAAZHJzL2Rvd25yZXYueG1sUEsBAhQAFAAAAAgAh07iQBFyJ4UvAwAA+gcAAA4AAAAA&#10;AAAAAQAgAAAAJQEAAGRycy9lMm9Eb2MueG1sUEsFBgAAAAAGAAYAWQEAAMYGAAAAAA==&#10;">
                        <o:lock v:ext="edit" aspectratio="f"/>
                        <v:line id="直线 1299" o:spid="_x0000_s1026" o:spt="20" style="position:absolute;left:2054;top:880;flip:y;height:378;width:1;" filled="f" stroked="t" coordsize="21600,21600" o:gfxdata="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tmVC8AAAA&#10;3AAAAA8AAAAAAAAAAQAgAAAAIgAAAGRycy9kb3ducmV2LnhtbFBLAQIUABQAAAAIAIdO4kAzLwWe&#10;OwAAADkAAAAQAAAAAAAAAAEAIAAAAAsBAABkcnMvc2hhcGV4bWwueG1sUEsFBgAAAAAGAAYAWwEA&#10;ALUDAAAAAA==&#10;">
                          <v:fill on="f" focussize="0,0"/>
                          <v:stroke weight="1.5pt" color="#000000" joinstyle="round" dashstyle="1 1" endcap="square" endarrow="block"/>
                          <v:imagedata o:title=""/>
                          <o:lock v:ext="edit" aspectratio="f"/>
                        </v:line>
                        <v:shape id="文本框 1300" o:spid="_x0000_s1026" o:spt="202" type="#_x0000_t202" style="position:absolute;left:1484;top:530;height:345;width:1121;" fillcolor="#FFFFFF" filled="t" stroked="t" coordsize="21600,21600" o:gfxdata="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7ZtpvQAA&#10;ANwAAAAPAAAAAAAAAAEAIAAAACIAAABkcnMvZG93bnJldi54bWxQSwECFAAUAAAACACHTuJAMy8F&#10;njsAAAA5AAAAEAAAAAAAAAABACAAAAAMAQAAZHJzL3NoYXBleG1sLnhtbFBLBQYAAAAABgAGAFsB&#10;AAC2AwAAAAA=&#10;">
                          <v:fill on="t" focussize="0,0"/>
                          <v:stroke weight="1.5pt" color="#000000" joinstyle="miter" dashstyle="1 1" endcap="square"/>
                          <v:imagedata o:title=""/>
                          <o:lock v:ext="edit" aspectratio="f"/>
                          <v:textbox inset="0mm,0mm,0mm,0mm" style="mso-fit-shape-to-text:t;">
                            <w:txbxContent>
                              <w:p w14:paraId="56FC4283">
                                <w:pPr>
                                  <w:jc w:val="center"/>
                                  <w:rPr>
                                    <w:sz w:val="24"/>
                                  </w:rPr>
                                </w:pPr>
                                <w:r>
                                  <w:rPr>
                                    <w:rFonts w:hint="eastAsia"/>
                                    <w:sz w:val="24"/>
                                  </w:rPr>
                                  <w:t>G、S</w:t>
                                </w:r>
                              </w:p>
                            </w:txbxContent>
                          </v:textbox>
                        </v:shape>
                      </v:group>
                      <v:group id="组合 1301" o:spid="_x0000_s1026" o:spt="203" style="position:absolute;left:2745740;top:3448051;height:457200;width:711200;" coordorigin="1484,530" coordsize="1121,728" o:gfxdata="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&#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">
                        <o:lock v:ext="edit" aspectratio="f"/>
                        <v:line id="直线 1302" o:spid="_x0000_s1026" o:spt="20" style="position:absolute;left:2054;top:880;flip:y;height:378;width:1;" filled="f" stroked="t" coordsize="21600,21600" o:gfxdata="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3Zf5&#10;wAAAANwAAAAPAAAAAAAAAAEAIAAAACIAAABkcnMvZG93bnJldi54bWxQSwECFAAUAAAACACHTuJA&#10;My8FnjsAAAA5AAAAEAAAAAAAAAABACAAAAAPAQAAZHJzL3NoYXBleG1sLnhtbFBLBQYAAAAABgAG&#10;AFsBAAC5AwAAAAA=&#10;">
                          <v:fill on="f" focussize="0,0"/>
                          <v:stroke weight="1.5pt" color="#000000" joinstyle="round" dashstyle="1 1" endcap="square" endarrow="block"/>
                          <v:imagedata o:title=""/>
                          <o:lock v:ext="edit" aspectratio="f"/>
                        </v:line>
                        <v:shape id="文本框 1303" o:spid="_x0000_s1026" o:spt="202" type="#_x0000_t202" style="position:absolute;left:1484;top:530;height:309;width:1121;" fillcolor="#FFFFFF" filled="t" stroked="t" coordsize="21600,21600" o:gfxdata="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DqQpugAAANwA&#10;AAAPAAAAAAAAAAEAIAAAACIAAABkcnMvZG93bnJldi54bWxQSwECFAAUAAAACACHTuJAMy8FnjsA&#10;AAA5AAAAEAAAAAAAAAABACAAAAAJAQAAZHJzL3NoYXBleG1sLnhtbFBLBQYAAAAABgAGAFsBAACz&#10;AwAAAAA=&#10;">
                          <v:fill on="t" focussize="0,0"/>
                          <v:stroke weight="1.5pt" color="#000000" joinstyle="miter" dashstyle="1 1" endcap="square"/>
                          <v:imagedata o:title=""/>
                          <o:lock v:ext="edit" aspectratio="f"/>
                          <v:textbox inset="0mm,0mm,0mm,0mm" style="mso-fit-shape-to-text:t;">
                            <w:txbxContent>
                              <w:p w14:paraId="4594FB4B">
                                <w:pPr>
                                  <w:jc w:val="center"/>
                                  <w:rPr>
                                    <w:sz w:val="24"/>
                                  </w:rPr>
                                </w:pPr>
                                <w:r>
                                  <w:rPr>
                                    <w:rFonts w:hint="eastAsia"/>
                                    <w:sz w:val="24"/>
                                  </w:rPr>
                                  <w:t>G</w:t>
                                </w:r>
                              </w:p>
                            </w:txbxContent>
                          </v:textbox>
                        </v:shape>
                      </v:group>
                      <v:shape id="文本框 1304" o:spid="_x0000_s1026" o:spt="202" type="#_x0000_t202" style="position:absolute;left:40005;top:3601086;height:611505;width:917575;" fillcolor="#FFFFFF" filled="t" stroked="f" coordsize="21600,21600" o:gfxdata="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XcB7PVAAAABQEAAA8AAAAAAAAAAQAgAAAAIgAAAGRycy9kb3du&#10;cmV2LnhtbFBLAQIUABQAAAAIAIdO4kCnibH0AgIAAOYDAAAOAAAAAAAAAAEAIAAAACQBAABkcnMv&#10;ZTJvRG9jLnhtbFBLBQYAAAAABgAGAFkBAACYBQAAAAA=&#10;">
                        <v:fill on="t" focussize="0,0"/>
                        <v:stroke on="f" weight="1.5pt"/>
                        <v:imagedata o:title=""/>
                        <o:lock v:ext="edit" aspectratio="f"/>
                        <v:textbox inset="0mm,0mm,0mm,0mm">
                          <w:txbxContent>
                            <w:p w14:paraId="6105E08F">
                              <w:pPr>
                                <w:jc w:val="left"/>
                                <w:rPr>
                                  <w:b/>
                                  <w:bCs/>
                                  <w:sz w:val="18"/>
                                  <w:szCs w:val="18"/>
                                </w:rPr>
                              </w:pPr>
                              <w:r>
                                <w:rPr>
                                  <w:rFonts w:hint="eastAsia"/>
                                  <w:b/>
                                  <w:bCs/>
                                  <w:sz w:val="18"/>
                                  <w:szCs w:val="18"/>
                                </w:rPr>
                                <w:t>G  废气</w:t>
                              </w:r>
                            </w:p>
                            <w:p w14:paraId="6C62E828">
                              <w:pPr>
                                <w:jc w:val="left"/>
                                <w:rPr>
                                  <w:rFonts w:hint="eastAsia"/>
                                  <w:b/>
                                  <w:bCs/>
                                  <w:sz w:val="18"/>
                                  <w:szCs w:val="18"/>
                                </w:rPr>
                              </w:pPr>
                              <w:r>
                                <w:rPr>
                                  <w:rFonts w:hint="eastAsia"/>
                                  <w:b/>
                                  <w:bCs/>
                                  <w:sz w:val="18"/>
                                  <w:szCs w:val="18"/>
                                </w:rPr>
                                <w:t>N  噪声</w:t>
                              </w:r>
                            </w:p>
                            <w:p w14:paraId="4FC34B59">
                              <w:pPr>
                                <w:jc w:val="left"/>
                                <w:rPr>
                                  <w:b/>
                                  <w:bCs/>
                                  <w:sz w:val="18"/>
                                  <w:szCs w:val="18"/>
                                </w:rPr>
                              </w:pPr>
                              <w:r>
                                <w:rPr>
                                  <w:rFonts w:hint="eastAsia"/>
                                  <w:b/>
                                  <w:bCs/>
                                  <w:sz w:val="18"/>
                                  <w:szCs w:val="18"/>
                                </w:rPr>
                                <w:t>S  固体废物</w:t>
                              </w:r>
                            </w:p>
                          </w:txbxContent>
                        </v:textbox>
                      </v:shape>
                      <v:line id="直线 1305" o:spid="_x0000_s1026" o:spt="20" style="position:absolute;left:2194560;top:553720;flip:y;height:228600;width:0;" filled="f" stroked="t" coordsize="21600,21600" o:gfxdata="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Gcq8NYAAAAFAQAADwAAAAAAAAABACAAAAAiAAAA&#10;ZHJzL2Rvd25yZXYueG1sUEsBAhQAFAAAAAgAh07iQBC+cS4JAgAA+AMAAA4AAAAAAAAAAQAgAAAA&#10;JQEAAGRycy9lMm9Eb2MueG1sUEsFBgAAAAAGAAYAWQEAAKAFAAAAAA==&#10;">
                        <v:fill on="f" focussize="0,0"/>
                        <v:stroke weight="1.5pt" color="#000000" joinstyle="round" dashstyle="1 1" endcap="square" endarrow="block"/>
                        <v:imagedata o:title=""/>
                        <o:lock v:ext="edit" aspectratio="f"/>
                      </v:line>
                      <v:group id="组合 1306" o:spid="_x0000_s1026" o:spt="203" style="position:absolute;left:4516755;top:1358900;height:457200;width:533400;" coordorigin="1484,530" coordsize="1121,728" o:gfxdata="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SY5FjNYAAAAFAQAADwAAAAAAAAABACAA&#10;AAAiAAAAZHJzL2Rvd25yZXYueG1sUEsBAhQAFAAAAAgAh07iQKeTxH8sAwAA+gcAAA4AAAAAAAAA&#10;AQAgAAAAJQEAAGRycy9lMm9Eb2MueG1sUEsFBgAAAAAGAAYAWQEAAMMGAAAAAA==&#10;">
                        <o:lock v:ext="edit" aspectratio="f"/>
                        <v:line id="直线 1307" o:spid="_x0000_s1026" o:spt="20" style="position:absolute;left:2054;top:880;flip:y;height:378;width:1;" filled="f" stroked="t" coordsize="21600,21600" o:gfxdata="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qjRhvQAA&#10;ANwAAAAPAAAAAAAAAAEAIAAAACIAAABkcnMvZG93bnJldi54bWxQSwECFAAUAAAACACHTuJAMy8F&#10;njsAAAA5AAAAEAAAAAAAAAABACAAAAAMAQAAZHJzL3NoYXBleG1sLnhtbFBLBQYAAAAABgAGAFsB&#10;AAC2AwAAAAA=&#10;">
                          <v:fill on="f" focussize="0,0"/>
                          <v:stroke weight="1.5pt" color="#000000" joinstyle="round" dashstyle="1 1" endcap="square" endarrow="block"/>
                          <v:imagedata o:title=""/>
                          <o:lock v:ext="edit" aspectratio="f"/>
                        </v:line>
                        <v:shape id="文本框 1308" o:spid="_x0000_s1026" o:spt="202" type="#_x0000_t202" style="position:absolute;left:1484;top:530;height:309;width:1121;" fillcolor="#FFFFFF" filled="t" stroked="t" coordsize="21600,21600" o:gfxdata="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LnPF25AAAA3AAA&#10;AA8AAAAAAAAAAQAgAAAAIgAAAGRycy9kb3ducmV2LnhtbFBLAQIUABQAAAAIAIdO4kAzLwWeOwAA&#10;ADkAAAAQAAAAAAAAAAEAIAAAAAgBAABkcnMvc2hhcGV4bWwueG1sUEsFBgAAAAAGAAYAWwEAALID&#10;AAAAAA==&#10;">
                          <v:fill on="t" focussize="0,0"/>
                          <v:stroke weight="1.5pt" color="#000000" joinstyle="miter" dashstyle="1 1" endcap="square"/>
                          <v:imagedata o:title=""/>
                          <o:lock v:ext="edit" aspectratio="f"/>
                          <v:textbox inset="0mm,0mm,0mm,0mm" style="mso-fit-shape-to-text:t;">
                            <w:txbxContent>
                              <w:p w14:paraId="642DDA69">
                                <w:pPr>
                                  <w:jc w:val="center"/>
                                  <w:rPr>
                                    <w:sz w:val="24"/>
                                  </w:rPr>
                                </w:pPr>
                                <w:r>
                                  <w:rPr>
                                    <w:rFonts w:hint="eastAsia"/>
                                    <w:sz w:val="24"/>
                                  </w:rPr>
                                  <w:t>S</w:t>
                                </w:r>
                              </w:p>
                            </w:txbxContent>
                          </v:textbox>
                        </v:shape>
                      </v:group>
                      <w10:wrap type="none"/>
                      <w10:anchorlock/>
                    </v:group>
                  </w:pict>
                </mc:Fallback>
              </mc:AlternateContent>
            </w:r>
          </w:p>
          <w:p w14:paraId="43CCEE7F">
            <w:pPr>
              <w:pStyle w:val="32"/>
              <w:keepNext w:val="0"/>
              <w:keepLines w:val="0"/>
              <w:pageBreakBefore w:val="0"/>
              <w:widowControl w:val="0"/>
              <w:kinsoku/>
              <w:wordWrap/>
              <w:overflowPunct/>
              <w:topLinePunct w:val="0"/>
              <w:autoSpaceDE w:val="0"/>
              <w:autoSpaceDN w:val="0"/>
              <w:bidi w:val="0"/>
              <w:adjustRightInd w:val="0"/>
              <w:snapToGrid w:val="0"/>
              <w:spacing w:beforeLines="0" w:line="240" w:lineRule="auto"/>
              <w:jc w:val="center"/>
              <w:textAlignment w:val="auto"/>
              <w:outlineLvl w:val="9"/>
              <w:rPr>
                <w:color w:val="auto"/>
                <w:sz w:val="24"/>
                <w:szCs w:val="24"/>
              </w:rPr>
            </w:pPr>
            <w:r>
              <w:rPr>
                <w:rFonts w:hint="default" w:ascii="Times New Roman" w:hAnsi="Times New Roman" w:cs="Times New Roman" w:eastAsiaTheme="minorEastAsia"/>
                <w:color w:val="auto"/>
                <w:sz w:val="24"/>
                <w:szCs w:val="24"/>
              </w:rPr>
              <w:t>图</w:t>
            </w:r>
            <w:r>
              <w:rPr>
                <w:rFonts w:hint="default" w:ascii="Times New Roman" w:hAnsi="Times New Roman"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rPr>
              <w:t xml:space="preserve">  一车间生产工艺流程图及产污环节</w:t>
            </w:r>
          </w:p>
          <w:p w14:paraId="18400B26">
            <w:pPr>
              <w:spacing w:line="360" w:lineRule="auto"/>
              <w:ind w:firstLine="480" w:firstLineChars="200"/>
              <w:rPr>
                <w:rFonts w:hint="eastAsia"/>
                <w:color w:val="auto"/>
                <w:sz w:val="24"/>
              </w:rPr>
            </w:pPr>
            <w:r>
              <w:rPr>
                <w:rFonts w:hint="eastAsia"/>
                <w:color w:val="auto"/>
                <w:sz w:val="24"/>
              </w:rPr>
              <w:t>生产工艺流程简述：</w:t>
            </w:r>
          </w:p>
          <w:p w14:paraId="012BA0EF">
            <w:pPr>
              <w:spacing w:line="360" w:lineRule="auto"/>
              <w:ind w:firstLine="480" w:firstLineChars="200"/>
              <w:rPr>
                <w:color w:val="auto"/>
                <w:sz w:val="24"/>
              </w:rPr>
            </w:pPr>
            <w:r>
              <w:rPr>
                <w:rFonts w:hint="eastAsia"/>
                <w:color w:val="auto"/>
                <w:sz w:val="24"/>
              </w:rPr>
              <w:t>本项目一车间产品种类较多，其中大部分产品生产较为简单，仅涉及工艺流程图中的部分工序，涉及全部工序的产品较少，本次仍按照全流程分析。项目生产工序主要包括：</w:t>
            </w:r>
            <w:r>
              <w:rPr>
                <w:color w:val="auto"/>
                <w:sz w:val="24"/>
              </w:rPr>
              <w:t>开料</w:t>
            </w:r>
            <w:r>
              <w:rPr>
                <w:rFonts w:hint="eastAsia"/>
                <w:color w:val="auto"/>
                <w:sz w:val="24"/>
              </w:rPr>
              <w:t>、</w:t>
            </w:r>
            <w:r>
              <w:rPr>
                <w:color w:val="auto"/>
                <w:sz w:val="24"/>
              </w:rPr>
              <w:t>拼板</w:t>
            </w:r>
            <w:r>
              <w:rPr>
                <w:rFonts w:hint="eastAsia"/>
                <w:color w:val="auto"/>
                <w:sz w:val="24"/>
              </w:rPr>
              <w:t>、</w:t>
            </w:r>
            <w:r>
              <w:rPr>
                <w:color w:val="auto"/>
                <w:sz w:val="24"/>
              </w:rPr>
              <w:t>冷压</w:t>
            </w:r>
            <w:r>
              <w:rPr>
                <w:rFonts w:hint="eastAsia"/>
                <w:color w:val="auto"/>
                <w:sz w:val="24"/>
              </w:rPr>
              <w:t>、</w:t>
            </w:r>
            <w:r>
              <w:rPr>
                <w:color w:val="auto"/>
                <w:sz w:val="24"/>
              </w:rPr>
              <w:t>砂光</w:t>
            </w:r>
            <w:r>
              <w:rPr>
                <w:rFonts w:hint="eastAsia"/>
                <w:color w:val="auto"/>
                <w:sz w:val="24"/>
              </w:rPr>
              <w:t>、</w:t>
            </w:r>
            <w:r>
              <w:rPr>
                <w:b/>
                <w:bCs/>
                <w:color w:val="auto"/>
                <w:sz w:val="24"/>
                <w:u w:val="single"/>
              </w:rPr>
              <w:t>贴皮</w:t>
            </w:r>
            <w:r>
              <w:rPr>
                <w:rFonts w:hint="eastAsia"/>
                <w:b/>
                <w:bCs/>
                <w:color w:val="auto"/>
                <w:sz w:val="24"/>
                <w:u w:val="single"/>
                <w:lang w:val="en-US" w:eastAsia="zh-CN"/>
              </w:rPr>
              <w:t>热压</w:t>
            </w:r>
            <w:r>
              <w:rPr>
                <w:rFonts w:hint="eastAsia"/>
                <w:color w:val="auto"/>
                <w:sz w:val="24"/>
              </w:rPr>
              <w:t>、</w:t>
            </w:r>
            <w:r>
              <w:rPr>
                <w:color w:val="auto"/>
                <w:sz w:val="24"/>
              </w:rPr>
              <w:t>精切</w:t>
            </w:r>
            <w:r>
              <w:rPr>
                <w:rFonts w:hint="eastAsia"/>
                <w:color w:val="auto"/>
                <w:sz w:val="24"/>
              </w:rPr>
              <w:t>、</w:t>
            </w:r>
            <w:r>
              <w:rPr>
                <w:color w:val="auto"/>
                <w:sz w:val="24"/>
              </w:rPr>
              <w:t>封边</w:t>
            </w:r>
            <w:r>
              <w:rPr>
                <w:rFonts w:hint="eastAsia"/>
                <w:color w:val="auto"/>
                <w:sz w:val="24"/>
              </w:rPr>
              <w:t>、</w:t>
            </w:r>
            <w:r>
              <w:rPr>
                <w:color w:val="auto"/>
                <w:sz w:val="24"/>
              </w:rPr>
              <w:t>铣型</w:t>
            </w:r>
            <w:r>
              <w:rPr>
                <w:rFonts w:hint="eastAsia"/>
                <w:color w:val="auto"/>
                <w:sz w:val="24"/>
              </w:rPr>
              <w:t>、</w:t>
            </w:r>
            <w:r>
              <w:rPr>
                <w:color w:val="auto"/>
                <w:sz w:val="24"/>
              </w:rPr>
              <w:t>排钻</w:t>
            </w:r>
            <w:r>
              <w:rPr>
                <w:rFonts w:hint="eastAsia"/>
                <w:color w:val="auto"/>
                <w:sz w:val="24"/>
              </w:rPr>
              <w:t>、</w:t>
            </w:r>
            <w:r>
              <w:rPr>
                <w:color w:val="auto"/>
                <w:sz w:val="24"/>
              </w:rPr>
              <w:t>打孔</w:t>
            </w:r>
            <w:r>
              <w:rPr>
                <w:rFonts w:hint="eastAsia"/>
                <w:color w:val="auto"/>
                <w:sz w:val="24"/>
              </w:rPr>
              <w:t>、</w:t>
            </w:r>
            <w:r>
              <w:rPr>
                <w:color w:val="auto"/>
                <w:sz w:val="24"/>
              </w:rPr>
              <w:t>组装</w:t>
            </w:r>
            <w:r>
              <w:rPr>
                <w:rFonts w:hint="eastAsia"/>
                <w:color w:val="auto"/>
                <w:sz w:val="24"/>
              </w:rPr>
              <w:t>、</w:t>
            </w:r>
            <w:r>
              <w:rPr>
                <w:color w:val="auto"/>
                <w:sz w:val="24"/>
              </w:rPr>
              <w:t>批灰</w:t>
            </w:r>
            <w:r>
              <w:rPr>
                <w:rFonts w:hint="eastAsia"/>
                <w:color w:val="auto"/>
                <w:sz w:val="24"/>
              </w:rPr>
              <w:t>、</w:t>
            </w:r>
            <w:r>
              <w:rPr>
                <w:color w:val="auto"/>
                <w:sz w:val="24"/>
              </w:rPr>
              <w:t>打磨</w:t>
            </w:r>
            <w:r>
              <w:rPr>
                <w:rFonts w:hint="eastAsia"/>
                <w:color w:val="auto"/>
                <w:sz w:val="24"/>
              </w:rPr>
              <w:t>、</w:t>
            </w:r>
            <w:r>
              <w:rPr>
                <w:color w:val="auto"/>
                <w:sz w:val="24"/>
              </w:rPr>
              <w:t>底漆</w:t>
            </w:r>
            <w:r>
              <w:rPr>
                <w:rFonts w:hint="eastAsia"/>
                <w:color w:val="auto"/>
                <w:sz w:val="24"/>
              </w:rPr>
              <w:t>、</w:t>
            </w:r>
            <w:r>
              <w:rPr>
                <w:color w:val="auto"/>
                <w:sz w:val="24"/>
              </w:rPr>
              <w:t>晾干</w:t>
            </w:r>
            <w:r>
              <w:rPr>
                <w:rFonts w:hint="eastAsia"/>
                <w:color w:val="auto"/>
                <w:sz w:val="24"/>
              </w:rPr>
              <w:t>、</w:t>
            </w:r>
            <w:r>
              <w:rPr>
                <w:color w:val="auto"/>
                <w:sz w:val="24"/>
              </w:rPr>
              <w:t>油磨</w:t>
            </w:r>
            <w:r>
              <w:rPr>
                <w:rFonts w:hint="eastAsia"/>
                <w:color w:val="auto"/>
                <w:sz w:val="24"/>
              </w:rPr>
              <w:t>、</w:t>
            </w:r>
            <w:r>
              <w:rPr>
                <w:color w:val="auto"/>
                <w:sz w:val="24"/>
              </w:rPr>
              <w:t>面漆</w:t>
            </w:r>
            <w:r>
              <w:rPr>
                <w:rFonts w:hint="eastAsia"/>
                <w:color w:val="auto"/>
                <w:sz w:val="24"/>
              </w:rPr>
              <w:t>、</w:t>
            </w:r>
            <w:r>
              <w:rPr>
                <w:color w:val="auto"/>
                <w:sz w:val="24"/>
              </w:rPr>
              <w:t>晾干</w:t>
            </w:r>
            <w:r>
              <w:rPr>
                <w:rFonts w:hint="eastAsia"/>
                <w:color w:val="auto"/>
                <w:sz w:val="24"/>
              </w:rPr>
              <w:t>、</w:t>
            </w:r>
            <w:r>
              <w:rPr>
                <w:color w:val="auto"/>
                <w:sz w:val="24"/>
              </w:rPr>
              <w:t>修色</w:t>
            </w:r>
            <w:r>
              <w:rPr>
                <w:rFonts w:hint="eastAsia"/>
                <w:color w:val="auto"/>
                <w:sz w:val="24"/>
              </w:rPr>
              <w:t>、</w:t>
            </w:r>
            <w:r>
              <w:rPr>
                <w:color w:val="auto"/>
                <w:sz w:val="24"/>
              </w:rPr>
              <w:t>晾干</w:t>
            </w:r>
            <w:r>
              <w:rPr>
                <w:rFonts w:hint="eastAsia"/>
                <w:color w:val="auto"/>
                <w:sz w:val="24"/>
              </w:rPr>
              <w:t>、</w:t>
            </w:r>
            <w:r>
              <w:rPr>
                <w:color w:val="auto"/>
                <w:sz w:val="24"/>
              </w:rPr>
              <w:t>包装</w:t>
            </w:r>
            <w:r>
              <w:rPr>
                <w:rFonts w:hint="eastAsia"/>
                <w:color w:val="auto"/>
                <w:sz w:val="24"/>
              </w:rPr>
              <w:t>、</w:t>
            </w:r>
            <w:r>
              <w:rPr>
                <w:color w:val="auto"/>
                <w:sz w:val="24"/>
              </w:rPr>
              <w:t>入库。</w:t>
            </w:r>
          </w:p>
          <w:p w14:paraId="17CD05D1">
            <w:pPr>
              <w:spacing w:line="360" w:lineRule="auto"/>
              <w:ind w:firstLine="480" w:firstLineChars="200"/>
              <w:rPr>
                <w:color w:val="auto"/>
                <w:sz w:val="24"/>
              </w:rPr>
            </w:pPr>
            <w:r>
              <w:rPr>
                <w:rFonts w:hint="eastAsia"/>
                <w:color w:val="auto"/>
                <w:sz w:val="24"/>
                <w:lang w:val="en-GB"/>
              </w:rPr>
              <w:t>（</w:t>
            </w:r>
            <w:r>
              <w:rPr>
                <w:rFonts w:hint="eastAsia"/>
                <w:color w:val="auto"/>
                <w:sz w:val="24"/>
              </w:rPr>
              <w:t>1</w:t>
            </w:r>
            <w:r>
              <w:rPr>
                <w:rFonts w:hint="eastAsia"/>
                <w:color w:val="auto"/>
                <w:sz w:val="24"/>
                <w:lang w:val="en-GB"/>
              </w:rPr>
              <w:t>）</w:t>
            </w:r>
            <w:r>
              <w:rPr>
                <w:color w:val="auto"/>
                <w:sz w:val="24"/>
              </w:rPr>
              <w:t>开料：使用电子开料锯、推台锯、精密锯开料设备对</w:t>
            </w:r>
            <w:r>
              <w:rPr>
                <w:rFonts w:hint="eastAsia"/>
                <w:color w:val="auto"/>
                <w:sz w:val="24"/>
              </w:rPr>
              <w:t>木材</w:t>
            </w:r>
            <w:r>
              <w:rPr>
                <w:color w:val="auto"/>
                <w:sz w:val="24"/>
              </w:rPr>
              <w:t>进行开料处理，该过程会产生粉尘</w:t>
            </w:r>
            <w:r>
              <w:rPr>
                <w:rFonts w:hint="eastAsia"/>
                <w:color w:val="auto"/>
                <w:sz w:val="24"/>
              </w:rPr>
              <w:t>、设备噪声及废边角料</w:t>
            </w:r>
            <w:r>
              <w:rPr>
                <w:color w:val="auto"/>
                <w:sz w:val="24"/>
              </w:rPr>
              <w:t>。</w:t>
            </w:r>
          </w:p>
          <w:p w14:paraId="2B38BADE">
            <w:pPr>
              <w:spacing w:line="360" w:lineRule="auto"/>
              <w:ind w:firstLine="480" w:firstLineChars="200"/>
              <w:rPr>
                <w:color w:val="auto"/>
                <w:sz w:val="24"/>
              </w:rPr>
            </w:pPr>
            <w:r>
              <w:rPr>
                <w:rFonts w:hint="eastAsia"/>
                <w:color w:val="auto"/>
                <w:sz w:val="24"/>
                <w:lang w:val="en-GB"/>
              </w:rPr>
              <w:t>（</w:t>
            </w:r>
            <w:r>
              <w:rPr>
                <w:rFonts w:hint="eastAsia"/>
                <w:color w:val="auto"/>
                <w:sz w:val="24"/>
              </w:rPr>
              <w:t>2</w:t>
            </w:r>
            <w:r>
              <w:rPr>
                <w:rFonts w:hint="eastAsia"/>
                <w:color w:val="auto"/>
                <w:sz w:val="24"/>
                <w:lang w:val="en-GB"/>
              </w:rPr>
              <w:t>）</w:t>
            </w:r>
            <w:r>
              <w:rPr>
                <w:color w:val="auto"/>
                <w:sz w:val="24"/>
              </w:rPr>
              <w:t>拼</w:t>
            </w:r>
            <w:r>
              <w:rPr>
                <w:rFonts w:hint="eastAsia"/>
                <w:color w:val="auto"/>
                <w:sz w:val="24"/>
              </w:rPr>
              <w:t>板</w:t>
            </w:r>
            <w:r>
              <w:rPr>
                <w:color w:val="auto"/>
                <w:sz w:val="24"/>
              </w:rPr>
              <w:t>、冷压：将开好料的木材</w:t>
            </w:r>
            <w:r>
              <w:rPr>
                <w:rFonts w:hint="eastAsia"/>
                <w:color w:val="auto"/>
                <w:sz w:val="24"/>
              </w:rPr>
              <w:t>经挑选后</w:t>
            </w:r>
            <w:r>
              <w:rPr>
                <w:color w:val="auto"/>
                <w:sz w:val="24"/>
              </w:rPr>
              <w:t>进行人工涂胶，</w:t>
            </w:r>
            <w:r>
              <w:rPr>
                <w:rFonts w:hint="eastAsia"/>
                <w:color w:val="auto"/>
                <w:sz w:val="24"/>
              </w:rPr>
              <w:t>然后进行</w:t>
            </w:r>
            <w:r>
              <w:rPr>
                <w:color w:val="auto"/>
                <w:sz w:val="24"/>
              </w:rPr>
              <w:t>拼接，使用白乳胶对木板进行冷压压合，</w:t>
            </w:r>
            <w:r>
              <w:rPr>
                <w:rFonts w:hint="eastAsia"/>
                <w:b/>
                <w:bCs/>
                <w:color w:val="auto"/>
                <w:sz w:val="24"/>
                <w:u w:val="single"/>
                <w:lang w:val="en-US" w:eastAsia="zh-CN"/>
              </w:rPr>
              <w:t>该过程二次密闭</w:t>
            </w:r>
            <w:r>
              <w:rPr>
                <w:color w:val="auto"/>
                <w:sz w:val="24"/>
              </w:rPr>
              <w:t>，会产生</w:t>
            </w:r>
            <w:r>
              <w:rPr>
                <w:rFonts w:hint="eastAsia"/>
                <w:color w:val="auto"/>
                <w:sz w:val="24"/>
              </w:rPr>
              <w:t>有机废气、设备噪声及废边角料</w:t>
            </w:r>
            <w:r>
              <w:rPr>
                <w:color w:val="auto"/>
                <w:sz w:val="24"/>
              </w:rPr>
              <w:t>。</w:t>
            </w:r>
          </w:p>
          <w:p w14:paraId="4E1AF225">
            <w:pPr>
              <w:spacing w:line="360" w:lineRule="auto"/>
              <w:ind w:firstLine="480" w:firstLineChars="200"/>
              <w:rPr>
                <w:color w:val="auto"/>
                <w:sz w:val="24"/>
              </w:rPr>
            </w:pPr>
            <w:r>
              <w:rPr>
                <w:rFonts w:hint="eastAsia"/>
                <w:color w:val="auto"/>
                <w:sz w:val="24"/>
              </w:rPr>
              <w:t>（3）</w:t>
            </w:r>
            <w:r>
              <w:rPr>
                <w:color w:val="auto"/>
                <w:sz w:val="24"/>
              </w:rPr>
              <w:t>砂光：采用砂光机对木材表面进行砂光去除木材表面的毛刺，降低表面粗糙度，同时平整木材表面，清除机械或手工加工时表面留下的各种加工痕迹，该过程会产生</w:t>
            </w:r>
            <w:r>
              <w:rPr>
                <w:rFonts w:hint="eastAsia"/>
                <w:color w:val="auto"/>
                <w:sz w:val="24"/>
              </w:rPr>
              <w:t>粉尘、设备噪声及废边角料</w:t>
            </w:r>
            <w:r>
              <w:rPr>
                <w:color w:val="auto"/>
                <w:sz w:val="24"/>
              </w:rPr>
              <w:t>。</w:t>
            </w:r>
          </w:p>
          <w:p w14:paraId="19553ADC">
            <w:pPr>
              <w:spacing w:line="360" w:lineRule="auto"/>
              <w:ind w:firstLine="480" w:firstLineChars="200"/>
              <w:rPr>
                <w:color w:val="auto"/>
                <w:sz w:val="24"/>
              </w:rPr>
            </w:pPr>
            <w:r>
              <w:rPr>
                <w:rFonts w:hint="eastAsia"/>
                <w:color w:val="auto"/>
                <w:sz w:val="24"/>
              </w:rPr>
              <w:t>（4）贴皮</w:t>
            </w:r>
            <w:r>
              <w:rPr>
                <w:rFonts w:hint="eastAsia"/>
                <w:b/>
                <w:bCs/>
                <w:color w:val="auto"/>
                <w:sz w:val="24"/>
                <w:u w:val="single"/>
                <w:lang w:val="en-US" w:eastAsia="zh-CN"/>
              </w:rPr>
              <w:t>热压</w:t>
            </w:r>
            <w:r>
              <w:rPr>
                <w:rFonts w:hint="eastAsia"/>
                <w:color w:val="auto"/>
                <w:sz w:val="24"/>
              </w:rPr>
              <w:t>：在平整后木板上进行人工涂胶，然后使用实木木皮进行覆盖，经热压机热压后，木皮贴附在木板表面，</w:t>
            </w:r>
            <w:r>
              <w:rPr>
                <w:color w:val="auto"/>
                <w:sz w:val="24"/>
              </w:rPr>
              <w:t>该过程</w:t>
            </w:r>
            <w:r>
              <w:rPr>
                <w:rFonts w:hint="eastAsia"/>
                <w:b/>
                <w:bCs/>
                <w:color w:val="auto"/>
                <w:sz w:val="24"/>
                <w:u w:val="single"/>
                <w:lang w:val="en-US" w:eastAsia="zh-CN"/>
              </w:rPr>
              <w:t>二次密闭，</w:t>
            </w:r>
            <w:r>
              <w:rPr>
                <w:color w:val="auto"/>
                <w:sz w:val="24"/>
              </w:rPr>
              <w:t>会产生</w:t>
            </w:r>
            <w:r>
              <w:rPr>
                <w:rFonts w:hint="eastAsia"/>
                <w:color w:val="auto"/>
                <w:sz w:val="24"/>
              </w:rPr>
              <w:t>有机废气。</w:t>
            </w:r>
          </w:p>
          <w:p w14:paraId="2100E385">
            <w:pPr>
              <w:spacing w:line="360" w:lineRule="auto"/>
              <w:ind w:firstLine="480" w:firstLineChars="200"/>
              <w:rPr>
                <w:color w:val="auto"/>
                <w:sz w:val="24"/>
              </w:rPr>
            </w:pPr>
            <w:r>
              <w:rPr>
                <w:rFonts w:hint="eastAsia"/>
                <w:color w:val="auto"/>
                <w:sz w:val="24"/>
              </w:rPr>
              <w:t>（5）精切、封边：对贴皮后的木板进行精细化切割，并对木板周边进行人工涂胶，采用木皮进行封边处理，</w:t>
            </w:r>
            <w:r>
              <w:rPr>
                <w:color w:val="auto"/>
                <w:sz w:val="24"/>
              </w:rPr>
              <w:t>该过程会产生</w:t>
            </w:r>
            <w:r>
              <w:rPr>
                <w:rFonts w:hint="eastAsia"/>
                <w:color w:val="auto"/>
                <w:sz w:val="24"/>
              </w:rPr>
              <w:t>有机废气和废边角料。</w:t>
            </w:r>
          </w:p>
          <w:p w14:paraId="2E8449FF">
            <w:pPr>
              <w:spacing w:line="360" w:lineRule="auto"/>
              <w:ind w:firstLine="480" w:firstLineChars="200"/>
              <w:rPr>
                <w:color w:val="auto"/>
                <w:sz w:val="24"/>
              </w:rPr>
            </w:pPr>
            <w:r>
              <w:rPr>
                <w:rFonts w:hint="eastAsia"/>
                <w:color w:val="auto"/>
                <w:sz w:val="24"/>
              </w:rPr>
              <w:t>（6）</w:t>
            </w:r>
            <w:r>
              <w:rPr>
                <w:color w:val="auto"/>
                <w:sz w:val="24"/>
              </w:rPr>
              <w:t>铣型</w:t>
            </w:r>
            <w:r>
              <w:rPr>
                <w:rFonts w:hint="eastAsia"/>
                <w:color w:val="auto"/>
                <w:sz w:val="24"/>
              </w:rPr>
              <w:t>、</w:t>
            </w:r>
            <w:r>
              <w:rPr>
                <w:color w:val="auto"/>
                <w:sz w:val="24"/>
              </w:rPr>
              <w:t>排钻</w:t>
            </w:r>
            <w:r>
              <w:rPr>
                <w:rFonts w:hint="eastAsia"/>
                <w:color w:val="auto"/>
                <w:sz w:val="24"/>
              </w:rPr>
              <w:t>、</w:t>
            </w:r>
            <w:r>
              <w:rPr>
                <w:color w:val="auto"/>
                <w:sz w:val="24"/>
              </w:rPr>
              <w:t>打孔：根据部件形状要求进行铣型、</w:t>
            </w:r>
            <w:r>
              <w:rPr>
                <w:rFonts w:hint="eastAsia"/>
                <w:color w:val="auto"/>
                <w:sz w:val="24"/>
              </w:rPr>
              <w:t>排钻</w:t>
            </w:r>
            <w:r>
              <w:rPr>
                <w:color w:val="auto"/>
                <w:sz w:val="24"/>
              </w:rPr>
              <w:t>、</w:t>
            </w:r>
            <w:r>
              <w:rPr>
                <w:rFonts w:hint="eastAsia"/>
                <w:color w:val="auto"/>
                <w:sz w:val="24"/>
              </w:rPr>
              <w:t>打孔等</w:t>
            </w:r>
            <w:r>
              <w:rPr>
                <w:color w:val="auto"/>
                <w:sz w:val="24"/>
              </w:rPr>
              <w:t>完成木材的进一步加工，该过程会产生少量粉尘。</w:t>
            </w:r>
          </w:p>
          <w:p w14:paraId="4E6B3E4E">
            <w:pPr>
              <w:spacing w:line="360" w:lineRule="auto"/>
              <w:ind w:firstLine="480" w:firstLineChars="200"/>
              <w:rPr>
                <w:color w:val="auto"/>
                <w:sz w:val="24"/>
              </w:rPr>
            </w:pPr>
            <w:r>
              <w:rPr>
                <w:rFonts w:hint="eastAsia"/>
                <w:color w:val="auto"/>
                <w:sz w:val="24"/>
              </w:rPr>
              <w:t>（7）组装、批灰、打磨：对满足形状要求的木材进行组装成型，然后采用</w:t>
            </w:r>
            <w:r>
              <w:rPr>
                <w:rFonts w:hint="eastAsia"/>
                <w:color w:val="auto"/>
                <w:sz w:val="24"/>
                <w:lang w:val="en-US" w:eastAsia="zh-CN"/>
              </w:rPr>
              <w:t>膏状</w:t>
            </w:r>
            <w:r>
              <w:rPr>
                <w:rFonts w:hint="eastAsia"/>
                <w:color w:val="auto"/>
                <w:sz w:val="24"/>
              </w:rPr>
              <w:t>腻子补平板面上的不平处或坑洞，露出工件的纹路，批灰完成后对工件进行打磨</w:t>
            </w:r>
            <w:r>
              <w:rPr>
                <w:color w:val="auto"/>
                <w:sz w:val="24"/>
              </w:rPr>
              <w:t>，该过程会产生少量粉尘。</w:t>
            </w:r>
          </w:p>
          <w:p w14:paraId="3B0C2D35">
            <w:pPr>
              <w:spacing w:line="360" w:lineRule="auto"/>
              <w:ind w:firstLine="480" w:firstLineChars="200"/>
              <w:rPr>
                <w:color w:val="auto"/>
                <w:sz w:val="24"/>
              </w:rPr>
            </w:pPr>
            <w:r>
              <w:rPr>
                <w:rFonts w:hint="eastAsia"/>
                <w:color w:val="auto"/>
                <w:sz w:val="24"/>
              </w:rPr>
              <w:t>（8）</w:t>
            </w:r>
            <w:r>
              <w:rPr>
                <w:color w:val="auto"/>
                <w:sz w:val="24"/>
              </w:rPr>
              <w:t>喷底漆</w:t>
            </w:r>
            <w:r>
              <w:rPr>
                <w:rFonts w:hint="eastAsia"/>
                <w:color w:val="auto"/>
                <w:sz w:val="24"/>
              </w:rPr>
              <w:t>、晾干</w:t>
            </w:r>
            <w:r>
              <w:rPr>
                <w:color w:val="auto"/>
                <w:sz w:val="24"/>
              </w:rPr>
              <w:t>：</w:t>
            </w:r>
            <w:r>
              <w:rPr>
                <w:rFonts w:hint="eastAsia"/>
                <w:color w:val="auto"/>
                <w:sz w:val="24"/>
              </w:rPr>
              <w:t>经打磨光滑的</w:t>
            </w:r>
            <w:r>
              <w:rPr>
                <w:color w:val="auto"/>
                <w:sz w:val="24"/>
              </w:rPr>
              <w:t>半成品家具在全封闭的喷漆房内采用喷枪进行喷底漆</w:t>
            </w:r>
            <w:r>
              <w:rPr>
                <w:rFonts w:hint="eastAsia"/>
                <w:color w:val="auto"/>
                <w:sz w:val="24"/>
              </w:rPr>
              <w:t>，</w:t>
            </w:r>
            <w:r>
              <w:rPr>
                <w:color w:val="auto"/>
                <w:sz w:val="24"/>
              </w:rPr>
              <w:t>底漆喷涂后送至晾干室进行晾干处理</w:t>
            </w:r>
            <w:r>
              <w:rPr>
                <w:rFonts w:hint="eastAsia"/>
                <w:color w:val="auto"/>
                <w:sz w:val="24"/>
              </w:rPr>
              <w:t>，</w:t>
            </w:r>
            <w:r>
              <w:rPr>
                <w:color w:val="auto"/>
                <w:sz w:val="24"/>
              </w:rPr>
              <w:t>根据要求选用溶剂型</w:t>
            </w:r>
            <w:r>
              <w:rPr>
                <w:rFonts w:hint="eastAsia"/>
                <w:color w:val="auto"/>
                <w:sz w:val="24"/>
              </w:rPr>
              <w:t>油</w:t>
            </w:r>
            <w:r>
              <w:rPr>
                <w:color w:val="auto"/>
                <w:sz w:val="24"/>
              </w:rPr>
              <w:t>漆</w:t>
            </w:r>
            <w:r>
              <w:rPr>
                <w:rFonts w:hint="eastAsia"/>
                <w:color w:val="auto"/>
                <w:sz w:val="24"/>
              </w:rPr>
              <w:t>或</w:t>
            </w:r>
            <w:r>
              <w:rPr>
                <w:color w:val="auto"/>
                <w:sz w:val="24"/>
              </w:rPr>
              <w:t>水性漆</w:t>
            </w:r>
            <w:r>
              <w:rPr>
                <w:rFonts w:hint="eastAsia"/>
                <w:color w:val="auto"/>
                <w:sz w:val="24"/>
              </w:rPr>
              <w:t>，调漆工序在喷漆房内进行</w:t>
            </w:r>
            <w:r>
              <w:rPr>
                <w:rFonts w:hint="eastAsia"/>
                <w:color w:val="auto"/>
                <w:sz w:val="24"/>
                <w:lang w:eastAsia="zh-CN"/>
              </w:rPr>
              <w:t>。</w:t>
            </w:r>
            <w:r>
              <w:rPr>
                <w:rFonts w:hint="eastAsia"/>
                <w:b/>
                <w:bCs/>
                <w:color w:val="auto"/>
                <w:sz w:val="24"/>
                <w:u w:val="single"/>
                <w:lang w:val="en-US" w:eastAsia="zh-CN"/>
              </w:rPr>
              <w:t>油性漆自然晾干，水性漆在冬季温度较低时使用干燥机烘干，其余时间自然晾干，</w:t>
            </w:r>
            <w:r>
              <w:rPr>
                <w:color w:val="auto"/>
                <w:sz w:val="24"/>
              </w:rPr>
              <w:t>该过程会产生</w:t>
            </w:r>
            <w:r>
              <w:rPr>
                <w:rFonts w:hint="eastAsia"/>
                <w:color w:val="auto"/>
                <w:sz w:val="24"/>
              </w:rPr>
              <w:t>有机废气</w:t>
            </w:r>
            <w:r>
              <w:rPr>
                <w:rFonts w:hint="eastAsia"/>
                <w:color w:val="auto"/>
                <w:sz w:val="24"/>
                <w:lang w:val="en-US" w:eastAsia="zh-CN"/>
              </w:rPr>
              <w:t>和</w:t>
            </w:r>
            <w:r>
              <w:rPr>
                <w:rFonts w:hint="eastAsia"/>
                <w:color w:val="auto"/>
                <w:kern w:val="0"/>
                <w:sz w:val="24"/>
              </w:rPr>
              <w:t>废漆料（胶）包装桶</w:t>
            </w:r>
            <w:r>
              <w:rPr>
                <w:color w:val="auto"/>
                <w:sz w:val="24"/>
              </w:rPr>
              <w:t>。</w:t>
            </w:r>
          </w:p>
          <w:p w14:paraId="318CE4FA">
            <w:pPr>
              <w:spacing w:line="360" w:lineRule="auto"/>
              <w:ind w:firstLine="480" w:firstLineChars="200"/>
              <w:rPr>
                <w:color w:val="auto"/>
                <w:sz w:val="24"/>
              </w:rPr>
            </w:pPr>
            <w:r>
              <w:rPr>
                <w:rFonts w:hint="eastAsia"/>
                <w:color w:val="auto"/>
                <w:sz w:val="24"/>
              </w:rPr>
              <w:t>（9）</w:t>
            </w:r>
            <w:r>
              <w:rPr>
                <w:color w:val="auto"/>
                <w:sz w:val="24"/>
              </w:rPr>
              <w:t>油磨：底漆干透后，采用砂纸</w:t>
            </w:r>
            <w:r>
              <w:rPr>
                <w:rFonts w:hint="eastAsia"/>
                <w:color w:val="auto"/>
                <w:sz w:val="24"/>
              </w:rPr>
              <w:t>将晾干后的半成品家具</w:t>
            </w:r>
            <w:r>
              <w:rPr>
                <w:color w:val="auto"/>
                <w:sz w:val="24"/>
              </w:rPr>
              <w:t>打磨平整、光滑，以利于后续喷</w:t>
            </w:r>
            <w:r>
              <w:rPr>
                <w:rFonts w:hint="eastAsia"/>
                <w:color w:val="auto"/>
                <w:sz w:val="24"/>
              </w:rPr>
              <w:t>面</w:t>
            </w:r>
            <w:r>
              <w:rPr>
                <w:color w:val="auto"/>
                <w:sz w:val="24"/>
              </w:rPr>
              <w:t>漆工序</w:t>
            </w:r>
            <w:r>
              <w:rPr>
                <w:rFonts w:hint="eastAsia"/>
                <w:color w:val="auto"/>
                <w:sz w:val="24"/>
              </w:rPr>
              <w:t>，</w:t>
            </w:r>
            <w:r>
              <w:rPr>
                <w:color w:val="auto"/>
                <w:sz w:val="24"/>
              </w:rPr>
              <w:t>该过程会产生少量粉尘。</w:t>
            </w:r>
          </w:p>
          <w:p w14:paraId="2EF7EA4A">
            <w:pPr>
              <w:spacing w:line="360" w:lineRule="auto"/>
              <w:ind w:firstLine="480" w:firstLineChars="200"/>
              <w:rPr>
                <w:color w:val="auto"/>
                <w:sz w:val="24"/>
              </w:rPr>
            </w:pPr>
            <w:r>
              <w:rPr>
                <w:rFonts w:hint="eastAsia"/>
                <w:color w:val="auto"/>
                <w:sz w:val="24"/>
              </w:rPr>
              <w:t>（10）</w:t>
            </w:r>
            <w:r>
              <w:rPr>
                <w:color w:val="auto"/>
                <w:sz w:val="24"/>
              </w:rPr>
              <w:t>喷面漆</w:t>
            </w:r>
            <w:r>
              <w:rPr>
                <w:rFonts w:hint="eastAsia"/>
                <w:color w:val="auto"/>
                <w:sz w:val="24"/>
              </w:rPr>
              <w:t>、晾干</w:t>
            </w:r>
            <w:r>
              <w:rPr>
                <w:color w:val="auto"/>
                <w:sz w:val="24"/>
              </w:rPr>
              <w:t>：面漆</w:t>
            </w:r>
            <w:r>
              <w:rPr>
                <w:rFonts w:hint="eastAsia"/>
                <w:color w:val="auto"/>
                <w:sz w:val="24"/>
              </w:rPr>
              <w:t>喷漆房</w:t>
            </w:r>
            <w:r>
              <w:rPr>
                <w:color w:val="auto"/>
                <w:sz w:val="24"/>
              </w:rPr>
              <w:t>生产布置与底漆</w:t>
            </w:r>
            <w:r>
              <w:rPr>
                <w:rFonts w:hint="eastAsia"/>
                <w:color w:val="auto"/>
                <w:sz w:val="24"/>
              </w:rPr>
              <w:t>喷漆房</w:t>
            </w:r>
            <w:r>
              <w:rPr>
                <w:color w:val="auto"/>
                <w:sz w:val="24"/>
              </w:rPr>
              <w:t>相同，在全封闭喷漆房内进行</w:t>
            </w:r>
            <w:r>
              <w:rPr>
                <w:rFonts w:hint="eastAsia"/>
                <w:color w:val="auto"/>
                <w:sz w:val="24"/>
              </w:rPr>
              <w:t>，</w:t>
            </w:r>
            <w:r>
              <w:rPr>
                <w:color w:val="auto"/>
                <w:sz w:val="24"/>
              </w:rPr>
              <w:t>该过程会产生</w:t>
            </w:r>
            <w:r>
              <w:rPr>
                <w:rFonts w:hint="eastAsia"/>
                <w:color w:val="auto"/>
                <w:sz w:val="24"/>
              </w:rPr>
              <w:t>有机废气</w:t>
            </w:r>
            <w:r>
              <w:rPr>
                <w:rFonts w:hint="eastAsia"/>
                <w:color w:val="auto"/>
                <w:sz w:val="24"/>
                <w:lang w:val="en-US" w:eastAsia="zh-CN"/>
              </w:rPr>
              <w:t>和</w:t>
            </w:r>
            <w:r>
              <w:rPr>
                <w:rFonts w:hint="eastAsia"/>
                <w:color w:val="auto"/>
                <w:kern w:val="0"/>
                <w:sz w:val="24"/>
              </w:rPr>
              <w:t>废漆料（胶）包装桶</w:t>
            </w:r>
            <w:r>
              <w:rPr>
                <w:color w:val="auto"/>
                <w:sz w:val="24"/>
              </w:rPr>
              <w:t>。</w:t>
            </w:r>
          </w:p>
          <w:p w14:paraId="7C4A4542">
            <w:pPr>
              <w:spacing w:line="360" w:lineRule="auto"/>
              <w:ind w:firstLine="480" w:firstLineChars="200"/>
              <w:rPr>
                <w:rFonts w:hint="eastAsia" w:eastAsia="宋体"/>
                <w:color w:val="auto"/>
                <w:sz w:val="24"/>
                <w:lang w:eastAsia="zh-CN"/>
              </w:rPr>
            </w:pPr>
            <w:r>
              <w:rPr>
                <w:rFonts w:hint="eastAsia"/>
                <w:color w:val="auto"/>
                <w:sz w:val="24"/>
              </w:rPr>
              <w:t>（11）</w:t>
            </w:r>
            <w:r>
              <w:rPr>
                <w:color w:val="auto"/>
                <w:sz w:val="24"/>
              </w:rPr>
              <w:t>修色</w:t>
            </w:r>
            <w:r>
              <w:rPr>
                <w:rFonts w:hint="eastAsia"/>
                <w:color w:val="auto"/>
                <w:sz w:val="24"/>
              </w:rPr>
              <w:t>、晾干</w:t>
            </w:r>
            <w:r>
              <w:rPr>
                <w:color w:val="auto"/>
                <w:sz w:val="24"/>
              </w:rPr>
              <w:t>：根据客户需求对产品进行修色喷涂（也是面漆的一种），喷涂均匀后将产品</w:t>
            </w:r>
            <w:r>
              <w:rPr>
                <w:rFonts w:hint="eastAsia"/>
                <w:color w:val="auto"/>
                <w:sz w:val="24"/>
              </w:rPr>
              <w:t>在修色</w:t>
            </w:r>
            <w:r>
              <w:rPr>
                <w:color w:val="auto"/>
                <w:sz w:val="24"/>
              </w:rPr>
              <w:t>晾干房进行自然晾干。该过程会产生</w:t>
            </w:r>
            <w:r>
              <w:rPr>
                <w:rFonts w:hint="eastAsia"/>
                <w:color w:val="auto"/>
                <w:sz w:val="24"/>
              </w:rPr>
              <w:t>有机废气</w:t>
            </w:r>
            <w:r>
              <w:rPr>
                <w:rFonts w:hint="eastAsia"/>
                <w:color w:val="auto"/>
                <w:sz w:val="24"/>
                <w:lang w:val="en-US" w:eastAsia="zh-CN"/>
              </w:rPr>
              <w:t>和废漆料（胶）包装桶</w:t>
            </w:r>
            <w:r>
              <w:rPr>
                <w:rFonts w:hint="eastAsia"/>
                <w:color w:val="auto"/>
                <w:sz w:val="24"/>
                <w:lang w:eastAsia="zh-CN"/>
              </w:rPr>
              <w:t>。</w:t>
            </w:r>
          </w:p>
          <w:p w14:paraId="322F11DC">
            <w:pPr>
              <w:spacing w:line="360" w:lineRule="auto"/>
              <w:ind w:firstLine="480" w:firstLineChars="200"/>
              <w:rPr>
                <w:color w:val="auto"/>
                <w:sz w:val="24"/>
              </w:rPr>
            </w:pPr>
            <w:r>
              <w:rPr>
                <w:rFonts w:hint="eastAsia"/>
                <w:color w:val="auto"/>
                <w:sz w:val="24"/>
              </w:rPr>
              <w:t>（12）</w:t>
            </w:r>
            <w:r>
              <w:rPr>
                <w:color w:val="auto"/>
                <w:sz w:val="24"/>
              </w:rPr>
              <w:t>包装：</w:t>
            </w:r>
            <w:r>
              <w:rPr>
                <w:rFonts w:hint="eastAsia"/>
                <w:color w:val="auto"/>
                <w:sz w:val="24"/>
              </w:rPr>
              <w:t>修色晾干后的家具经包装后即为</w:t>
            </w:r>
            <w:r>
              <w:rPr>
                <w:color w:val="auto"/>
                <w:sz w:val="24"/>
              </w:rPr>
              <w:t>成品。</w:t>
            </w:r>
          </w:p>
          <w:p w14:paraId="75FC5515">
            <w:pPr>
              <w:spacing w:line="360" w:lineRule="auto"/>
              <w:ind w:firstLine="480" w:firstLineChars="200"/>
              <w:rPr>
                <w:rFonts w:hint="eastAsia"/>
                <w:color w:val="auto"/>
                <w:sz w:val="24"/>
              </w:rPr>
            </w:pPr>
            <w:r>
              <w:rPr>
                <w:rFonts w:hint="eastAsia"/>
                <w:color w:val="auto"/>
                <w:sz w:val="24"/>
              </w:rPr>
              <w:t>2、本项目二车间</w:t>
            </w:r>
            <w:r>
              <w:rPr>
                <w:color w:val="auto"/>
                <w:sz w:val="24"/>
              </w:rPr>
              <w:t>生产工艺</w:t>
            </w:r>
            <w:r>
              <w:rPr>
                <w:rFonts w:hint="eastAsia"/>
                <w:color w:val="auto"/>
                <w:sz w:val="24"/>
              </w:rPr>
              <w:t>及产排污环节</w:t>
            </w:r>
            <w:r>
              <w:rPr>
                <w:color w:val="auto"/>
                <w:sz w:val="24"/>
              </w:rPr>
              <w:t>如图所示</w:t>
            </w:r>
            <w:r>
              <w:rPr>
                <w:rFonts w:hint="eastAsia"/>
                <w:color w:val="auto"/>
                <w:sz w:val="24"/>
              </w:rPr>
              <w:t>：</w:t>
            </w:r>
          </w:p>
          <w:p w14:paraId="133058EF">
            <w:pPr>
              <w:pStyle w:val="32"/>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color w:val="auto"/>
                <w:sz w:val="24"/>
              </w:rPr>
            </w:pPr>
            <w:r>
              <w:rPr>
                <w:color w:val="auto"/>
                <w:sz w:val="24"/>
              </w:rPr>
              <mc:AlternateContent>
                <mc:Choice Requires="wpc">
                  <w:drawing>
                    <wp:inline distT="0" distB="0" distL="114300" distR="114300">
                      <wp:extent cx="5332730" cy="1738630"/>
                      <wp:effectExtent l="9525" t="9525" r="10795" b="23495"/>
                      <wp:docPr id="139" name="画布 1309"/>
                      <wp:cNvGraphicFramePr/>
                      <a:graphic xmlns:a="http://schemas.openxmlformats.org/drawingml/2006/main">
                        <a:graphicData uri="http://schemas.microsoft.com/office/word/2010/wordprocessingCanvas">
                          <wpc:wpc>
                            <wpc:bg>
                              <a:noFill/>
                            </wpc:bg>
                            <wpc:whole>
                              <a:ln w="19050" cap="flat" cmpd="sng">
                                <a:solidFill>
                                  <a:srgbClr val="000000"/>
                                </a:solidFill>
                                <a:prstDash val="solid"/>
                                <a:miter/>
                                <a:headEnd type="none" w="med" len="med"/>
                                <a:tailEnd type="none" w="med" len="med"/>
                              </a:ln>
                            </wpc:whole>
                            <wps:wsp>
                              <wps:cNvPr id="119" name="文本框 1407"/>
                              <wps:cNvSpPr txBox="1"/>
                              <wps:spPr>
                                <a:xfrm>
                                  <a:off x="93980" y="1226185"/>
                                  <a:ext cx="917575" cy="494665"/>
                                </a:xfrm>
                                <a:prstGeom prst="rect">
                                  <a:avLst/>
                                </a:prstGeom>
                                <a:solidFill>
                                  <a:srgbClr val="FFFFFF"/>
                                </a:solidFill>
                                <a:ln w="19050">
                                  <a:noFill/>
                                </a:ln>
                              </wps:spPr>
                              <wps:txbx>
                                <w:txbxContent>
                                  <w:p w14:paraId="5CBEE000">
                                    <w:pPr>
                                      <w:jc w:val="left"/>
                                      <w:rPr>
                                        <w:b/>
                                        <w:bCs/>
                                        <w:sz w:val="18"/>
                                        <w:szCs w:val="18"/>
                                      </w:rPr>
                                    </w:pPr>
                                    <w:r>
                                      <w:rPr>
                                        <w:rFonts w:hint="eastAsia"/>
                                        <w:b/>
                                        <w:bCs/>
                                        <w:sz w:val="18"/>
                                        <w:szCs w:val="18"/>
                                      </w:rPr>
                                      <w:t>G  废气</w:t>
                                    </w:r>
                                  </w:p>
                                  <w:p w14:paraId="15F28489">
                                    <w:pPr>
                                      <w:jc w:val="left"/>
                                      <w:rPr>
                                        <w:rFonts w:hint="eastAsia"/>
                                        <w:b/>
                                        <w:bCs/>
                                        <w:sz w:val="18"/>
                                        <w:szCs w:val="18"/>
                                      </w:rPr>
                                    </w:pPr>
                                    <w:r>
                                      <w:rPr>
                                        <w:rFonts w:hint="eastAsia"/>
                                        <w:b/>
                                        <w:bCs/>
                                        <w:sz w:val="18"/>
                                        <w:szCs w:val="18"/>
                                      </w:rPr>
                                      <w:t>N  噪声</w:t>
                                    </w:r>
                                  </w:p>
                                  <w:p w14:paraId="107EF6E5">
                                    <w:pPr>
                                      <w:jc w:val="left"/>
                                      <w:rPr>
                                        <w:b/>
                                        <w:bCs/>
                                        <w:sz w:val="18"/>
                                        <w:szCs w:val="18"/>
                                      </w:rPr>
                                    </w:pPr>
                                    <w:r>
                                      <w:rPr>
                                        <w:rFonts w:hint="eastAsia"/>
                                        <w:b/>
                                        <w:bCs/>
                                        <w:sz w:val="18"/>
                                        <w:szCs w:val="18"/>
                                      </w:rPr>
                                      <w:t>S  固体废物</w:t>
                                    </w:r>
                                  </w:p>
                                </w:txbxContent>
                              </wps:txbx>
                              <wps:bodyPr wrap="square" lIns="0" tIns="0" rIns="0" bIns="0" upright="1"/>
                            </wps:wsp>
                            <wpg:wgp>
                              <wpg:cNvPr id="138" name="组合 1415"/>
                              <wpg:cNvGrpSpPr/>
                              <wpg:grpSpPr>
                                <a:xfrm>
                                  <a:off x="391795" y="333375"/>
                                  <a:ext cx="4662487" cy="683895"/>
                                  <a:chOff x="235" y="525"/>
                                  <a:chExt cx="6305" cy="1077"/>
                                </a:xfrm>
                              </wpg:grpSpPr>
                              <wps:wsp>
                                <wps:cNvPr id="120" name="文本框 1314"/>
                                <wps:cNvSpPr txBox="1"/>
                                <wps:spPr>
                                  <a:xfrm>
                                    <a:off x="3117" y="1261"/>
                                    <a:ext cx="799" cy="341"/>
                                  </a:xfrm>
                                  <a:prstGeom prst="rect">
                                    <a:avLst/>
                                  </a:prstGeom>
                                  <a:solidFill>
                                    <a:srgbClr val="FFFFFF"/>
                                  </a:solidFill>
                                  <a:ln w="19050" cap="flat" cmpd="sng">
                                    <a:solidFill>
                                      <a:srgbClr val="000000"/>
                                    </a:solidFill>
                                    <a:prstDash val="solid"/>
                                    <a:miter/>
                                    <a:headEnd type="none" w="med" len="med"/>
                                    <a:tailEnd type="none" w="med" len="med"/>
                                  </a:ln>
                                </wps:spPr>
                                <wps:txbx>
                                  <w:txbxContent>
                                    <w:p w14:paraId="17A6CA84">
                                      <w:pPr>
                                        <w:jc w:val="center"/>
                                        <w:rPr>
                                          <w:sz w:val="24"/>
                                        </w:rPr>
                                      </w:pPr>
                                      <w:r>
                                        <w:rPr>
                                          <w:rFonts w:hint="eastAsia"/>
                                          <w:sz w:val="24"/>
                                        </w:rPr>
                                        <w:t>砂光</w:t>
                                      </w:r>
                                    </w:p>
                                  </w:txbxContent>
                                </wps:txbx>
                                <wps:bodyPr wrap="square" lIns="0" tIns="0" rIns="0" bIns="0" upright="1">
                                  <a:spAutoFit/>
                                </wps:bodyPr>
                              </wps:wsp>
                              <wps:wsp>
                                <wps:cNvPr id="121" name="文本框 1315"/>
                                <wps:cNvSpPr txBox="1"/>
                                <wps:spPr>
                                  <a:xfrm>
                                    <a:off x="235" y="1261"/>
                                    <a:ext cx="800" cy="341"/>
                                  </a:xfrm>
                                  <a:prstGeom prst="rect">
                                    <a:avLst/>
                                  </a:prstGeom>
                                  <a:solidFill>
                                    <a:srgbClr val="FFFFFF"/>
                                  </a:solidFill>
                                  <a:ln w="19050" cap="flat" cmpd="sng">
                                    <a:solidFill>
                                      <a:srgbClr val="000000"/>
                                    </a:solidFill>
                                    <a:prstDash val="solid"/>
                                    <a:miter/>
                                    <a:headEnd type="none" w="med" len="med"/>
                                    <a:tailEnd type="none" w="med" len="med"/>
                                  </a:ln>
                                </wps:spPr>
                                <wps:txbx>
                                  <w:txbxContent>
                                    <w:p w14:paraId="07475253">
                                      <w:pPr>
                                        <w:jc w:val="center"/>
                                        <w:rPr>
                                          <w:sz w:val="24"/>
                                        </w:rPr>
                                      </w:pPr>
                                      <w:r>
                                        <w:rPr>
                                          <w:rFonts w:hint="eastAsia"/>
                                          <w:sz w:val="24"/>
                                        </w:rPr>
                                        <w:t>木板</w:t>
                                      </w:r>
                                    </w:p>
                                  </w:txbxContent>
                                </wps:txbx>
                                <wps:bodyPr wrap="square" lIns="0" tIns="0" rIns="0" bIns="0" upright="1">
                                  <a:spAutoFit/>
                                </wps:bodyPr>
                              </wps:wsp>
                              <wps:wsp>
                                <wps:cNvPr id="122" name="文本框 1316"/>
                                <wps:cNvSpPr txBox="1"/>
                                <wps:spPr>
                                  <a:xfrm>
                                    <a:off x="4430" y="1261"/>
                                    <a:ext cx="799" cy="341"/>
                                  </a:xfrm>
                                  <a:prstGeom prst="rect">
                                    <a:avLst/>
                                  </a:prstGeom>
                                  <a:solidFill>
                                    <a:srgbClr val="FFFFFF"/>
                                  </a:solidFill>
                                  <a:ln w="19050" cap="flat" cmpd="sng">
                                    <a:solidFill>
                                      <a:srgbClr val="000000"/>
                                    </a:solidFill>
                                    <a:prstDash val="solid"/>
                                    <a:miter/>
                                    <a:headEnd type="none" w="med" len="med"/>
                                    <a:tailEnd type="none" w="med" len="med"/>
                                  </a:ln>
                                </wps:spPr>
                                <wps:txbx>
                                  <w:txbxContent>
                                    <w:p w14:paraId="1F7C5F04">
                                      <w:pPr>
                                        <w:jc w:val="center"/>
                                        <w:rPr>
                                          <w:sz w:val="24"/>
                                        </w:rPr>
                                      </w:pPr>
                                      <w:r>
                                        <w:rPr>
                                          <w:rFonts w:hint="eastAsia"/>
                                          <w:sz w:val="24"/>
                                        </w:rPr>
                                        <w:t>涂漆</w:t>
                                      </w:r>
                                    </w:p>
                                  </w:txbxContent>
                                </wps:txbx>
                                <wps:bodyPr wrap="square" lIns="0" tIns="0" rIns="0" bIns="0" upright="1">
                                  <a:spAutoFit/>
                                </wps:bodyPr>
                              </wps:wsp>
                              <wps:wsp>
                                <wps:cNvPr id="123" name="文本框 1317"/>
                                <wps:cNvSpPr txBox="1"/>
                                <wps:spPr>
                                  <a:xfrm>
                                    <a:off x="1508" y="1261"/>
                                    <a:ext cx="1128" cy="341"/>
                                  </a:xfrm>
                                  <a:prstGeom prst="rect">
                                    <a:avLst/>
                                  </a:prstGeom>
                                  <a:solidFill>
                                    <a:srgbClr val="FFFFFF"/>
                                  </a:solidFill>
                                  <a:ln w="19050" cap="flat" cmpd="sng">
                                    <a:solidFill>
                                      <a:srgbClr val="000000"/>
                                    </a:solidFill>
                                    <a:prstDash val="solid"/>
                                    <a:miter/>
                                    <a:headEnd type="none" w="med" len="med"/>
                                    <a:tailEnd type="none" w="med" len="med"/>
                                  </a:ln>
                                </wps:spPr>
                                <wps:txbx>
                                  <w:txbxContent>
                                    <w:p w14:paraId="313EFB58">
                                      <w:pPr>
                                        <w:jc w:val="center"/>
                                        <w:rPr>
                                          <w:rFonts w:hint="eastAsia" w:eastAsia="宋体"/>
                                          <w:sz w:val="24"/>
                                          <w:lang w:val="en-US" w:eastAsia="zh-CN"/>
                                        </w:rPr>
                                      </w:pPr>
                                      <w:r>
                                        <w:rPr>
                                          <w:rFonts w:hint="eastAsia"/>
                                          <w:sz w:val="24"/>
                                        </w:rPr>
                                        <w:t>贴皮</w:t>
                                      </w:r>
                                      <w:r>
                                        <w:rPr>
                                          <w:rFonts w:hint="eastAsia"/>
                                          <w:b/>
                                          <w:bCs/>
                                          <w:sz w:val="24"/>
                                          <w:u w:val="single"/>
                                          <w:lang w:val="en-US" w:eastAsia="zh-CN"/>
                                        </w:rPr>
                                        <w:t>热压</w:t>
                                      </w:r>
                                    </w:p>
                                  </w:txbxContent>
                                </wps:txbx>
                                <wps:bodyPr wrap="square" lIns="0" tIns="0" rIns="0" bIns="0" upright="1">
                                  <a:spAutoFit/>
                                </wps:bodyPr>
                              </wps:wsp>
                              <wps:wsp>
                                <wps:cNvPr id="124" name="文本框 1318"/>
                                <wps:cNvSpPr txBox="1"/>
                                <wps:spPr>
                                  <a:xfrm>
                                    <a:off x="5741" y="1261"/>
                                    <a:ext cx="799" cy="341"/>
                                  </a:xfrm>
                                  <a:prstGeom prst="rect">
                                    <a:avLst/>
                                  </a:prstGeom>
                                  <a:solidFill>
                                    <a:srgbClr val="FFFFFF"/>
                                  </a:solidFill>
                                  <a:ln w="19050" cap="flat" cmpd="sng">
                                    <a:solidFill>
                                      <a:srgbClr val="000000"/>
                                    </a:solidFill>
                                    <a:prstDash val="solid"/>
                                    <a:miter/>
                                    <a:headEnd type="none" w="med" len="med"/>
                                    <a:tailEnd type="none" w="med" len="med"/>
                                  </a:ln>
                                </wps:spPr>
                                <wps:txbx>
                                  <w:txbxContent>
                                    <w:p w14:paraId="1D915E43">
                                      <w:pPr>
                                        <w:jc w:val="center"/>
                                        <w:rPr>
                                          <w:b/>
                                          <w:bCs/>
                                          <w:sz w:val="24"/>
                                          <w:u w:val="single"/>
                                        </w:rPr>
                                      </w:pPr>
                                      <w:r>
                                        <w:rPr>
                                          <w:rFonts w:hint="eastAsia"/>
                                          <w:b/>
                                          <w:bCs/>
                                          <w:sz w:val="24"/>
                                          <w:u w:val="single"/>
                                          <w:lang w:val="en-US" w:eastAsia="zh-CN"/>
                                        </w:rPr>
                                        <w:t>半</w:t>
                                      </w:r>
                                      <w:r>
                                        <w:rPr>
                                          <w:rFonts w:hint="eastAsia"/>
                                          <w:b/>
                                          <w:bCs/>
                                          <w:sz w:val="24"/>
                                          <w:u w:val="single"/>
                                        </w:rPr>
                                        <w:t>成品</w:t>
                                      </w:r>
                                    </w:p>
                                  </w:txbxContent>
                                </wps:txbx>
                                <wps:bodyPr wrap="square" lIns="0" tIns="0" rIns="0" bIns="0" upright="1">
                                  <a:spAutoFit/>
                                </wps:bodyPr>
                              </wps:wsp>
                              <wps:wsp>
                                <wps:cNvPr id="125" name="直线 1340"/>
                                <wps:cNvCnPr/>
                                <wps:spPr>
                                  <a:xfrm>
                                    <a:off x="1042" y="1444"/>
                                    <a:ext cx="487" cy="7"/>
                                  </a:xfrm>
                                  <a:prstGeom prst="line">
                                    <a:avLst/>
                                  </a:prstGeom>
                                  <a:ln w="19050" cap="flat" cmpd="sng">
                                    <a:solidFill>
                                      <a:srgbClr val="000000"/>
                                    </a:solidFill>
                                    <a:prstDash val="solid"/>
                                    <a:headEnd type="none" w="med" len="med"/>
                                    <a:tailEnd type="triangle" w="med" len="med"/>
                                  </a:ln>
                                </wps:spPr>
                                <wps:bodyPr upright="1"/>
                              </wps:wsp>
                              <wps:wsp>
                                <wps:cNvPr id="126" name="直线 1341"/>
                                <wps:cNvCnPr/>
                                <wps:spPr>
                                  <a:xfrm flipV="1">
                                    <a:off x="2651" y="1440"/>
                                    <a:ext cx="489" cy="0"/>
                                  </a:xfrm>
                                  <a:prstGeom prst="line">
                                    <a:avLst/>
                                  </a:prstGeom>
                                  <a:ln w="19050" cap="flat" cmpd="sng">
                                    <a:solidFill>
                                      <a:srgbClr val="000000"/>
                                    </a:solidFill>
                                    <a:prstDash val="solid"/>
                                    <a:headEnd type="none" w="med" len="med"/>
                                    <a:tailEnd type="triangle" w="med" len="med"/>
                                  </a:ln>
                                </wps:spPr>
                                <wps:bodyPr upright="1"/>
                              </wps:wsp>
                              <wps:wsp>
                                <wps:cNvPr id="127" name="直线 1342"/>
                                <wps:cNvCnPr/>
                                <wps:spPr>
                                  <a:xfrm flipV="1">
                                    <a:off x="3948" y="1440"/>
                                    <a:ext cx="489" cy="0"/>
                                  </a:xfrm>
                                  <a:prstGeom prst="line">
                                    <a:avLst/>
                                  </a:prstGeom>
                                  <a:ln w="19050" cap="flat" cmpd="sng">
                                    <a:solidFill>
                                      <a:srgbClr val="000000"/>
                                    </a:solidFill>
                                    <a:prstDash val="solid"/>
                                    <a:headEnd type="none" w="med" len="med"/>
                                    <a:tailEnd type="triangle" w="med" len="med"/>
                                  </a:ln>
                                </wps:spPr>
                                <wps:bodyPr upright="1"/>
                              </wps:wsp>
                              <wps:wsp>
                                <wps:cNvPr id="128" name="直线 1343"/>
                                <wps:cNvCnPr/>
                                <wps:spPr>
                                  <a:xfrm flipV="1">
                                    <a:off x="5235" y="1440"/>
                                    <a:ext cx="487" cy="0"/>
                                  </a:xfrm>
                                  <a:prstGeom prst="line">
                                    <a:avLst/>
                                  </a:prstGeom>
                                  <a:ln w="19050" cap="flat" cmpd="sng">
                                    <a:solidFill>
                                      <a:srgbClr val="000000"/>
                                    </a:solidFill>
                                    <a:prstDash val="solid"/>
                                    <a:headEnd type="none" w="med" len="med"/>
                                    <a:tailEnd type="triangle" w="med" len="med"/>
                                  </a:ln>
                                </wps:spPr>
                                <wps:bodyPr upright="1"/>
                              </wps:wsp>
                              <wpg:grpSp>
                                <wpg:cNvPr id="131" name="组合 1365"/>
                                <wpg:cNvGrpSpPr/>
                                <wpg:grpSpPr>
                                  <a:xfrm>
                                    <a:off x="1484" y="525"/>
                                    <a:ext cx="1121" cy="698"/>
                                    <a:chOff x="1484" y="530"/>
                                    <a:chExt cx="1121" cy="698"/>
                                  </a:xfrm>
                                </wpg:grpSpPr>
                                <wps:wsp>
                                  <wps:cNvPr id="129" name="直线 1366"/>
                                  <wps:cNvCnPr/>
                                  <wps:spPr>
                                    <a:xfrm flipV="1">
                                      <a:off x="2043" y="850"/>
                                      <a:ext cx="3" cy="378"/>
                                    </a:xfrm>
                                    <a:prstGeom prst="line">
                                      <a:avLst/>
                                    </a:prstGeom>
                                    <a:ln w="19050" cap="sq" cmpd="sng">
                                      <a:solidFill>
                                        <a:srgbClr val="000000"/>
                                      </a:solidFill>
                                      <a:prstDash val="sysDot"/>
                                      <a:headEnd type="none" w="med" len="med"/>
                                      <a:tailEnd type="triangle" w="med" len="med"/>
                                    </a:ln>
                                  </wps:spPr>
                                  <wps:bodyPr upright="1"/>
                                </wps:wsp>
                                <wps:wsp>
                                  <wps:cNvPr id="130" name="文本框 1367"/>
                                  <wps:cNvSpPr txBox="1"/>
                                  <wps:spPr>
                                    <a:xfrm>
                                      <a:off x="1484" y="530"/>
                                      <a:ext cx="1121" cy="341"/>
                                    </a:xfrm>
                                    <a:prstGeom prst="rect">
                                      <a:avLst/>
                                    </a:prstGeom>
                                    <a:solidFill>
                                      <a:srgbClr val="FFFFFF"/>
                                    </a:solidFill>
                                    <a:ln w="19050" cap="sq" cmpd="sng">
                                      <a:solidFill>
                                        <a:srgbClr val="000000"/>
                                      </a:solidFill>
                                      <a:prstDash val="sysDot"/>
                                      <a:miter/>
                                      <a:headEnd type="none" w="med" len="med"/>
                                      <a:tailEnd type="none" w="med" len="med"/>
                                    </a:ln>
                                  </wps:spPr>
                                  <wps:txbx>
                                    <w:txbxContent>
                                      <w:p w14:paraId="0D5F8DA2">
                                        <w:pPr>
                                          <w:jc w:val="center"/>
                                          <w:rPr>
                                            <w:sz w:val="24"/>
                                          </w:rPr>
                                        </w:pPr>
                                        <w:r>
                                          <w:rPr>
                                            <w:rFonts w:hint="eastAsia"/>
                                            <w:sz w:val="24"/>
                                          </w:rPr>
                                          <w:t>G、N、S</w:t>
                                        </w:r>
                                      </w:p>
                                    </w:txbxContent>
                                  </wps:txbx>
                                  <wps:bodyPr wrap="square" lIns="0" tIns="0" rIns="0" bIns="0" upright="1">
                                    <a:spAutoFit/>
                                  </wps:bodyPr>
                                </wps:wsp>
                              </wpg:grpSp>
                              <wpg:grpSp>
                                <wpg:cNvPr id="134" name="组合 1370"/>
                                <wpg:cNvGrpSpPr/>
                                <wpg:grpSpPr>
                                  <a:xfrm>
                                    <a:off x="4314" y="525"/>
                                    <a:ext cx="1121" cy="720"/>
                                    <a:chOff x="1484" y="530"/>
                                    <a:chExt cx="1121" cy="728"/>
                                  </a:xfrm>
                                </wpg:grpSpPr>
                                <wps:wsp>
                                  <wps:cNvPr id="132" name="直线 1371"/>
                                  <wps:cNvCnPr/>
                                  <wps:spPr>
                                    <a:xfrm flipV="1">
                                      <a:off x="2054" y="880"/>
                                      <a:ext cx="1" cy="378"/>
                                    </a:xfrm>
                                    <a:prstGeom prst="line">
                                      <a:avLst/>
                                    </a:prstGeom>
                                    <a:ln w="19050" cap="sq" cmpd="sng">
                                      <a:solidFill>
                                        <a:srgbClr val="000000"/>
                                      </a:solidFill>
                                      <a:prstDash val="sysDot"/>
                                      <a:headEnd type="none" w="med" len="med"/>
                                      <a:tailEnd type="triangle" w="med" len="med"/>
                                    </a:ln>
                                  </wps:spPr>
                                  <wps:bodyPr upright="1"/>
                                </wps:wsp>
                                <wps:wsp>
                                  <wps:cNvPr id="133" name="文本框 1372"/>
                                  <wps:cNvSpPr txBox="1"/>
                                  <wps:spPr>
                                    <a:xfrm>
                                      <a:off x="1484" y="530"/>
                                      <a:ext cx="1121" cy="345"/>
                                    </a:xfrm>
                                    <a:prstGeom prst="rect">
                                      <a:avLst/>
                                    </a:prstGeom>
                                    <a:solidFill>
                                      <a:srgbClr val="FFFFFF"/>
                                    </a:solidFill>
                                    <a:ln w="19050" cap="sq" cmpd="sng">
                                      <a:solidFill>
                                        <a:srgbClr val="000000"/>
                                      </a:solidFill>
                                      <a:prstDash val="sysDot"/>
                                      <a:miter/>
                                      <a:headEnd type="none" w="med" len="med"/>
                                      <a:tailEnd type="none" w="med" len="med"/>
                                    </a:ln>
                                  </wps:spPr>
                                  <wps:txbx>
                                    <w:txbxContent>
                                      <w:p w14:paraId="052FD604">
                                        <w:pPr>
                                          <w:jc w:val="center"/>
                                          <w:rPr>
                                            <w:sz w:val="24"/>
                                          </w:rPr>
                                        </w:pPr>
                                        <w:r>
                                          <w:rPr>
                                            <w:rFonts w:hint="eastAsia"/>
                                            <w:sz w:val="24"/>
                                          </w:rPr>
                                          <w:t>G、N</w:t>
                                        </w:r>
                                      </w:p>
                                    </w:txbxContent>
                                  </wps:txbx>
                                  <wps:bodyPr wrap="square" lIns="0" tIns="0" rIns="0" bIns="0" upright="1">
                                    <a:spAutoFit/>
                                  </wps:bodyPr>
                                </wps:wsp>
                              </wpg:grpSp>
                              <wpg:grpSp>
                                <wpg:cNvPr id="137" name="组合 1412"/>
                                <wpg:cNvGrpSpPr/>
                                <wpg:grpSpPr>
                                  <a:xfrm>
                                    <a:off x="2899" y="536"/>
                                    <a:ext cx="1120" cy="720"/>
                                    <a:chOff x="1484" y="530"/>
                                    <a:chExt cx="1120" cy="728"/>
                                  </a:xfrm>
                                </wpg:grpSpPr>
                                <wps:wsp>
                                  <wps:cNvPr id="135" name="直线 1413"/>
                                  <wps:cNvCnPr/>
                                  <wps:spPr>
                                    <a:xfrm flipV="1">
                                      <a:off x="2054" y="880"/>
                                      <a:ext cx="1" cy="378"/>
                                    </a:xfrm>
                                    <a:prstGeom prst="line">
                                      <a:avLst/>
                                    </a:prstGeom>
                                    <a:ln w="19050" cap="sq" cmpd="sng">
                                      <a:solidFill>
                                        <a:srgbClr val="000000"/>
                                      </a:solidFill>
                                      <a:prstDash val="sysDot"/>
                                      <a:headEnd type="none" w="med" len="med"/>
                                      <a:tailEnd type="triangle" w="med" len="med"/>
                                    </a:ln>
                                  </wps:spPr>
                                  <wps:bodyPr upright="1"/>
                                </wps:wsp>
                                <wps:wsp>
                                  <wps:cNvPr id="136" name="文本框 1414"/>
                                  <wps:cNvSpPr txBox="1"/>
                                  <wps:spPr>
                                    <a:xfrm>
                                      <a:off x="1484" y="530"/>
                                      <a:ext cx="1121" cy="341"/>
                                    </a:xfrm>
                                    <a:prstGeom prst="rect">
                                      <a:avLst/>
                                    </a:prstGeom>
                                    <a:solidFill>
                                      <a:srgbClr val="FFFFFF"/>
                                    </a:solidFill>
                                    <a:ln w="19050" cap="sq" cmpd="sng">
                                      <a:solidFill>
                                        <a:srgbClr val="000000"/>
                                      </a:solidFill>
                                      <a:prstDash val="sysDot"/>
                                      <a:miter/>
                                      <a:headEnd type="none" w="med" len="med"/>
                                      <a:tailEnd type="none" w="med" len="med"/>
                                    </a:ln>
                                  </wps:spPr>
                                  <wps:txbx>
                                    <w:txbxContent>
                                      <w:p w14:paraId="41E8776A">
                                        <w:pPr>
                                          <w:jc w:val="center"/>
                                          <w:rPr>
                                            <w:sz w:val="24"/>
                                          </w:rPr>
                                        </w:pPr>
                                        <w:r>
                                          <w:rPr>
                                            <w:rFonts w:hint="eastAsia"/>
                                            <w:sz w:val="24"/>
                                          </w:rPr>
                                          <w:t>G、N、S</w:t>
                                        </w:r>
                                      </w:p>
                                    </w:txbxContent>
                                  </wps:txbx>
                                  <wps:bodyPr wrap="square" lIns="0" tIns="0" rIns="0" bIns="0" upright="1">
                                    <a:spAutoFit/>
                                  </wps:bodyPr>
                                </wps:wsp>
                              </wpg:grpSp>
                            </wpg:wgp>
                          </wpc:wpc>
                        </a:graphicData>
                      </a:graphic>
                    </wp:inline>
                  </w:drawing>
                </mc:Choice>
                <mc:Fallback>
                  <w:pict>
                    <v:group id="画布 1309" o:spid="_x0000_s1026" o:spt="203" style="height:136.9pt;width:419.9pt;" coordsize="5332730,1738630" editas="canvas" o:gfxdata="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">
                      <o:lock v:ext="edit" aspectratio="f"/>
                      <v:shape id="画布 1309" o:spid="_x0000_s1026" style="position:absolute;left:0;top:0;height:1738630;width:5332730;" filled="f" stroked="t" coordsize="21600,21600" o:gfxdata="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">
                        <v:fill on="f" focussize="0,0"/>
                        <v:stroke weight="1.5pt" color="#000000" joinstyle="miter"/>
                        <v:imagedata o:title=""/>
                        <o:lock v:ext="edit" aspectratio="f"/>
                      </v:shape>
                      <v:shape id="文本框 1407" o:spid="_x0000_s1026" o:spt="202" type="#_x0000_t202" style="position:absolute;left:93980;top:1226185;height:494665;width:917575;" fillcolor="#FFFFFF" filled="t" stroked="f" coordsize="21600,21600" o:gfxdata="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10;G4VP1QAAAAUBAAAPAAAAAAAAAAEAIAAAACIAAABkcnMvZG93bnJldi54bWxQSwECFAAUAAAACACH&#10;TuJATdu0G+4BAADBAwAADgAAAAAAAAABACAAAAAkAQAAZHJzL2Uyb0RvYy54bWxQSwUGAAAAAAYA&#10;BgBZAQAAhAUAAAAA&#10;">
                        <v:fill on="t" focussize="0,0"/>
                        <v:stroke on="f" weight="1.5pt"/>
                        <v:imagedata o:title=""/>
                        <o:lock v:ext="edit" aspectratio="f"/>
                        <v:textbox inset="0mm,0mm,0mm,0mm">
                          <w:txbxContent>
                            <w:p w14:paraId="5CBEE000">
                              <w:pPr>
                                <w:jc w:val="left"/>
                                <w:rPr>
                                  <w:b/>
                                  <w:bCs/>
                                  <w:sz w:val="18"/>
                                  <w:szCs w:val="18"/>
                                </w:rPr>
                              </w:pPr>
                              <w:r>
                                <w:rPr>
                                  <w:rFonts w:hint="eastAsia"/>
                                  <w:b/>
                                  <w:bCs/>
                                  <w:sz w:val="18"/>
                                  <w:szCs w:val="18"/>
                                </w:rPr>
                                <w:t>G  废气</w:t>
                              </w:r>
                            </w:p>
                            <w:p w14:paraId="15F28489">
                              <w:pPr>
                                <w:jc w:val="left"/>
                                <w:rPr>
                                  <w:rFonts w:hint="eastAsia"/>
                                  <w:b/>
                                  <w:bCs/>
                                  <w:sz w:val="18"/>
                                  <w:szCs w:val="18"/>
                                </w:rPr>
                              </w:pPr>
                              <w:r>
                                <w:rPr>
                                  <w:rFonts w:hint="eastAsia"/>
                                  <w:b/>
                                  <w:bCs/>
                                  <w:sz w:val="18"/>
                                  <w:szCs w:val="18"/>
                                </w:rPr>
                                <w:t>N  噪声</w:t>
                              </w:r>
                            </w:p>
                            <w:p w14:paraId="107EF6E5">
                              <w:pPr>
                                <w:jc w:val="left"/>
                                <w:rPr>
                                  <w:b/>
                                  <w:bCs/>
                                  <w:sz w:val="18"/>
                                  <w:szCs w:val="18"/>
                                </w:rPr>
                              </w:pPr>
                              <w:r>
                                <w:rPr>
                                  <w:rFonts w:hint="eastAsia"/>
                                  <w:b/>
                                  <w:bCs/>
                                  <w:sz w:val="18"/>
                                  <w:szCs w:val="18"/>
                                </w:rPr>
                                <w:t>S  固体废物</w:t>
                              </w:r>
                            </w:p>
                          </w:txbxContent>
                        </v:textbox>
                      </v:shape>
                      <v:group id="组合 1415" o:spid="_x0000_s1026" o:spt="203" style="position:absolute;left:391795;top:333375;height:683895;width:4662487;" coordorigin="235,525" coordsize="6305,1077" o:gfxdata="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">
                        <o:lock v:ext="edit" aspectratio="f"/>
                        <v:shape id="文本框 1314" o:spid="_x0000_s1026" o:spt="202" type="#_x0000_t202" style="position:absolute;left:3117;top:1261;height:341;width:799;" fillcolor="#FFFFFF" filled="t" stroked="t" coordsize="21600,21600" o:gfxdata="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HFGtvQAA&#10;ANwAAAAPAAAAAAAAAAEAIAAAACIAAABkcnMvZG93bnJldi54bWxQSwECFAAUAAAACACHTuJAMy8F&#10;njsAAAA5AAAAEAAAAAAAAAABACAAAAAMAQAAZHJzL3NoYXBleG1sLnhtbFBLBQYAAAAABgAGAFsB&#10;AAC2AwAAAAA=&#10;">
                          <v:fill on="t" focussize="0,0"/>
                          <v:stroke weight="1.5pt" color="#000000" joinstyle="miter"/>
                          <v:imagedata o:title=""/>
                          <o:lock v:ext="edit" aspectratio="f"/>
                          <v:textbox inset="0mm,0mm,0mm,0mm" style="mso-fit-shape-to-text:t;">
                            <w:txbxContent>
                              <w:p w14:paraId="17A6CA84">
                                <w:pPr>
                                  <w:jc w:val="center"/>
                                  <w:rPr>
                                    <w:sz w:val="24"/>
                                  </w:rPr>
                                </w:pPr>
                                <w:r>
                                  <w:rPr>
                                    <w:rFonts w:hint="eastAsia"/>
                                    <w:sz w:val="24"/>
                                  </w:rPr>
                                  <w:t>砂光</w:t>
                                </w:r>
                              </w:p>
                            </w:txbxContent>
                          </v:textbox>
                        </v:shape>
                        <v:shape id="文本框 1315" o:spid="_x0000_s1026" o:spt="202" type="#_x0000_t202" style="position:absolute;left:235;top:1261;height:341;width:800;" fillcolor="#FFFFFF" filled="t" stroked="t" coordsize="21600,21600" o:gfxdata="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FD0NrsAAADc&#10;AAAADwAAAAAAAAABACAAAAAiAAAAZHJzL2Rvd25yZXYueG1sUEsBAhQAFAAAAAgAh07iQDMvBZ47&#10;AAAAOQAAABAAAAAAAAAAAQAgAAAACgEAAGRycy9zaGFwZXhtbC54bWxQSwUGAAAAAAYABgBbAQAA&#10;tAMAAAAA&#10;">
                          <v:fill on="t" focussize="0,0"/>
                          <v:stroke weight="1.5pt" color="#000000" joinstyle="miter"/>
                          <v:imagedata o:title=""/>
                          <o:lock v:ext="edit" aspectratio="f"/>
                          <v:textbox inset="0mm,0mm,0mm,0mm" style="mso-fit-shape-to-text:t;">
                            <w:txbxContent>
                              <w:p w14:paraId="07475253">
                                <w:pPr>
                                  <w:jc w:val="center"/>
                                  <w:rPr>
                                    <w:sz w:val="24"/>
                                  </w:rPr>
                                </w:pPr>
                                <w:r>
                                  <w:rPr>
                                    <w:rFonts w:hint="eastAsia"/>
                                    <w:sz w:val="24"/>
                                  </w:rPr>
                                  <w:t>木板</w:t>
                                </w:r>
                              </w:p>
                            </w:txbxContent>
                          </v:textbox>
                        </v:shape>
                        <v:shape id="文本框 1316" o:spid="_x0000_s1026" o:spt="202" type="#_x0000_t202" style="position:absolute;left:4430;top:1261;height:341;width:799;" fillcolor="#FFFFFF" filled="t" stroked="t" coordsize="21600,21600" o:gfxdata="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IJqQbsAAADc&#10;AAAADwAAAAAAAAABACAAAAAiAAAAZHJzL2Rvd25yZXYueG1sUEsBAhQAFAAAAAgAh07iQDMvBZ47&#10;AAAAOQAAABAAAAAAAAAAAQAgAAAACgEAAGRycy9zaGFwZXhtbC54bWxQSwUGAAAAAAYABgBbAQAA&#10;tAMAAAAA&#10;">
                          <v:fill on="t" focussize="0,0"/>
                          <v:stroke weight="1.5pt" color="#000000" joinstyle="miter"/>
                          <v:imagedata o:title=""/>
                          <o:lock v:ext="edit" aspectratio="f"/>
                          <v:textbox inset="0mm,0mm,0mm,0mm" style="mso-fit-shape-to-text:t;">
                            <w:txbxContent>
                              <w:p w14:paraId="1F7C5F04">
                                <w:pPr>
                                  <w:jc w:val="center"/>
                                  <w:rPr>
                                    <w:sz w:val="24"/>
                                  </w:rPr>
                                </w:pPr>
                                <w:r>
                                  <w:rPr>
                                    <w:rFonts w:hint="eastAsia"/>
                                    <w:sz w:val="24"/>
                                  </w:rPr>
                                  <w:t>涂漆</w:t>
                                </w:r>
                              </w:p>
                            </w:txbxContent>
                          </v:textbox>
                        </v:shape>
                        <v:shape id="文本框 1317" o:spid="_x0000_s1026" o:spt="202" type="#_x0000_t202" style="position:absolute;left:1508;top:1261;height:341;width:1128;" fillcolor="#FFFFFF" filled="t" stroked="t" coordsize="21600,21600" o:gfxdata="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Oz9q8AAAA&#10;3AAAAA8AAAAAAAAAAQAgAAAAIgAAAGRycy9kb3ducmV2LnhtbFBLAQIUABQAAAAIAIdO4kAzLwWe&#10;OwAAADkAAAAQAAAAAAAAAAEAIAAAAAsBAABkcnMvc2hhcGV4bWwueG1sUEsFBgAAAAAGAAYAWwEA&#10;ALUDAAAAAA==&#10;">
                          <v:fill on="t" focussize="0,0"/>
                          <v:stroke weight="1.5pt" color="#000000" joinstyle="miter"/>
                          <v:imagedata o:title=""/>
                          <o:lock v:ext="edit" aspectratio="f"/>
                          <v:textbox inset="0mm,0mm,0mm,0mm" style="mso-fit-shape-to-text:t;">
                            <w:txbxContent>
                              <w:p w14:paraId="313EFB58">
                                <w:pPr>
                                  <w:jc w:val="center"/>
                                  <w:rPr>
                                    <w:rFonts w:hint="eastAsia" w:eastAsia="宋体"/>
                                    <w:sz w:val="24"/>
                                    <w:lang w:val="en-US" w:eastAsia="zh-CN"/>
                                  </w:rPr>
                                </w:pPr>
                                <w:r>
                                  <w:rPr>
                                    <w:rFonts w:hint="eastAsia"/>
                                    <w:sz w:val="24"/>
                                  </w:rPr>
                                  <w:t>贴皮</w:t>
                                </w:r>
                                <w:r>
                                  <w:rPr>
                                    <w:rFonts w:hint="eastAsia"/>
                                    <w:b/>
                                    <w:bCs/>
                                    <w:sz w:val="24"/>
                                    <w:u w:val="single"/>
                                    <w:lang w:val="en-US" w:eastAsia="zh-CN"/>
                                  </w:rPr>
                                  <w:t>热压</w:t>
                                </w:r>
                              </w:p>
                            </w:txbxContent>
                          </v:textbox>
                        </v:shape>
                        <v:shape id="文本框 1318" o:spid="_x0000_s1026" o:spt="202" type="#_x0000_t202" style="position:absolute;left:5741;top:1261;height:341;width:799;" fillcolor="#FFFFFF" filled="t" stroked="t" coordsize="21600,21600" o:gfxdata="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CdXrrsAAADc&#10;AAAADwAAAAAAAAABACAAAAAiAAAAZHJzL2Rvd25yZXYueG1sUEsBAhQAFAAAAAgAh07iQDMvBZ47&#10;AAAAOQAAABAAAAAAAAAAAQAgAAAACgEAAGRycy9zaGFwZXhtbC54bWxQSwUGAAAAAAYABgBbAQAA&#10;tAMAAAAA&#10;">
                          <v:fill on="t" focussize="0,0"/>
                          <v:stroke weight="1.5pt" color="#000000" joinstyle="miter"/>
                          <v:imagedata o:title=""/>
                          <o:lock v:ext="edit" aspectratio="f"/>
                          <v:textbox inset="0mm,0mm,0mm,0mm" style="mso-fit-shape-to-text:t;">
                            <w:txbxContent>
                              <w:p w14:paraId="1D915E43">
                                <w:pPr>
                                  <w:jc w:val="center"/>
                                  <w:rPr>
                                    <w:b/>
                                    <w:bCs/>
                                    <w:sz w:val="24"/>
                                    <w:u w:val="single"/>
                                  </w:rPr>
                                </w:pPr>
                                <w:r>
                                  <w:rPr>
                                    <w:rFonts w:hint="eastAsia"/>
                                    <w:b/>
                                    <w:bCs/>
                                    <w:sz w:val="24"/>
                                    <w:u w:val="single"/>
                                    <w:lang w:val="en-US" w:eastAsia="zh-CN"/>
                                  </w:rPr>
                                  <w:t>半</w:t>
                                </w:r>
                                <w:r>
                                  <w:rPr>
                                    <w:rFonts w:hint="eastAsia"/>
                                    <w:b/>
                                    <w:bCs/>
                                    <w:sz w:val="24"/>
                                    <w:u w:val="single"/>
                                  </w:rPr>
                                  <w:t>成品</w:t>
                                </w:r>
                              </w:p>
                            </w:txbxContent>
                          </v:textbox>
                        </v:shape>
                        <v:line id="直线 1340" o:spid="_x0000_s1026" o:spt="20" style="position:absolute;left:1042;top:1444;height:7;width:487;" filled="f" stroked="t" coordsize="21600,21600" o:gfxdata="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8QFugAAANwA&#10;AAAPAAAAAAAAAAEAIAAAACIAAABkcnMvZG93bnJldi54bWxQSwECFAAUAAAACACHTuJAMy8FnjsA&#10;AAA5AAAAEAAAAAAAAAABACAAAAAJAQAAZHJzL3NoYXBleG1sLnhtbFBLBQYAAAAABgAGAFsBAACz&#10;AwAAAAA=&#10;">
                          <v:fill on="f" focussize="0,0"/>
                          <v:stroke weight="1.5pt" color="#000000" joinstyle="round" endarrow="block"/>
                          <v:imagedata o:title=""/>
                          <o:lock v:ext="edit" aspectratio="f"/>
                        </v:line>
                        <v:line id="直线 1341" o:spid="_x0000_s1026" o:spt="20" style="position:absolute;left:2651;top:1440;flip:y;height:0;width:489;" filled="f" stroked="t" coordsize="21600,21600" o:gfxdata="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0S3PugAAANwA&#10;AAAPAAAAAAAAAAEAIAAAACIAAABkcnMvZG93bnJldi54bWxQSwECFAAUAAAACACHTuJAMy8FnjsA&#10;AAA5AAAAEAAAAAAAAAABACAAAAAJAQAAZHJzL3NoYXBleG1sLnhtbFBLBQYAAAAABgAGAFsBAACz&#10;AwAAAAA=&#10;">
                          <v:fill on="f" focussize="0,0"/>
                          <v:stroke weight="1.5pt" color="#000000" joinstyle="round" endarrow="block"/>
                          <v:imagedata o:title=""/>
                          <o:lock v:ext="edit" aspectratio="f"/>
                        </v:line>
                        <v:line id="直线 1342" o:spid="_x0000_s1026" o:spt="20" style="position:absolute;left:3948;top:1440;flip:y;height:0;width:489;" filled="f" stroked="t" coordsize="21600,21600" o:gfxdata="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J2IVLsAAADc&#10;AAAADwAAAAAAAAABACAAAAAiAAAAZHJzL2Rvd25yZXYueG1sUEsBAhQAFAAAAAgAh07iQDMvBZ47&#10;AAAAOQAAABAAAAAAAAAAAQAgAAAACgEAAGRycy9zaGFwZXhtbC54bWxQSwUGAAAAAAYABgBbAQAA&#10;tAMAAAAA&#10;">
                          <v:fill on="f" focussize="0,0"/>
                          <v:stroke weight="1.5pt" color="#000000" joinstyle="round" endarrow="block"/>
                          <v:imagedata o:title=""/>
                          <o:lock v:ext="edit" aspectratio="f"/>
                        </v:line>
                        <v:line id="直线 1343" o:spid="_x0000_s1026" o:spt="20" style="position:absolute;left:5235;top:1440;flip:y;height:0;width:487;" filled="f" stroked="t" coordsize="21600,21600" o:gfxdata="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QIcJr4A&#10;AADcAAAADwAAAAAAAAABACAAAAAiAAAAZHJzL2Rvd25yZXYueG1sUEsBAhQAFAAAAAgAh07iQDMv&#10;BZ47AAAAOQAAABAAAAAAAAAAAQAgAAAADQEAAGRycy9zaGFwZXhtbC54bWxQSwUGAAAAAAYABgBb&#10;AQAAtwMAAAAA&#10;">
                          <v:fill on="f" focussize="0,0"/>
                          <v:stroke weight="1.5pt" color="#000000" joinstyle="round" endarrow="block"/>
                          <v:imagedata o:title=""/>
                          <o:lock v:ext="edit" aspectratio="f"/>
                        </v:line>
                        <v:group id="组合 1365" o:spid="_x0000_s1026" o:spt="203" style="position:absolute;left:1484;top:525;height:698;width:1121;" coordorigin="1484,530" coordsize="1121,698" o:gfxdata="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y68ve7AAAA3AAAAA8AAAAAAAAAAQAgAAAAIgAAAGRycy9kb3ducmV2LnhtbFBL&#10;AQIUABQAAAAIAIdO4kAzLwWeOwAAADkAAAAVAAAAAAAAAAEAIAAAAAoBAABkcnMvZ3JvdXBzaGFw&#10;ZXhtbC54bWxQSwUGAAAAAAYABgBgAQAAxwMAAAAA&#10;">
                          <o:lock v:ext="edit" aspectratio="f"/>
                          <v:line id="直线 1366" o:spid="_x0000_s1026" o:spt="20" style="position:absolute;left:2043;top:850;flip:y;height:378;width:3;" filled="f" stroked="t" coordsize="21600,21600" o:gfxdata="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6L9Nm8AAAA&#10;3AAAAA8AAAAAAAAAAQAgAAAAIgAAAGRycy9kb3ducmV2LnhtbFBLAQIUABQAAAAIAIdO4kAzLwWe&#10;OwAAADkAAAAQAAAAAAAAAAEAIAAAAAsBAABkcnMvc2hhcGV4bWwueG1sUEsFBgAAAAAGAAYAWwEA&#10;ALUDAAAAAA==&#10;">
                            <v:fill on="f" focussize="0,0"/>
                            <v:stroke weight="1.5pt" color="#000000" joinstyle="round" dashstyle="1 1" endcap="square" endarrow="block"/>
                            <v:imagedata o:title=""/>
                            <o:lock v:ext="edit" aspectratio="f"/>
                          </v:line>
                          <v:shape id="文本框 1367" o:spid="_x0000_s1026" o:spt="202" type="#_x0000_t202" style="position:absolute;left:1484;top:530;height:341;width:1121;" fillcolor="#FFFFFF" filled="t" stroked="t" coordsize="21600,21600" o:gfxdata="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913SvQAA&#10;ANwAAAAPAAAAAAAAAAEAIAAAACIAAABkcnMvZG93bnJldi54bWxQSwECFAAUAAAACACHTuJAMy8F&#10;njsAAAA5AAAAEAAAAAAAAAABACAAAAAMAQAAZHJzL3NoYXBleG1sLnhtbFBLBQYAAAAABgAGAFsB&#10;AAC2AwAAAAA=&#10;">
                            <v:fill on="t" focussize="0,0"/>
                            <v:stroke weight="1.5pt" color="#000000" joinstyle="miter" dashstyle="1 1" endcap="square"/>
                            <v:imagedata o:title=""/>
                            <o:lock v:ext="edit" aspectratio="f"/>
                            <v:textbox inset="0mm,0mm,0mm,0mm" style="mso-fit-shape-to-text:t;">
                              <w:txbxContent>
                                <w:p w14:paraId="0D5F8DA2">
                                  <w:pPr>
                                    <w:jc w:val="center"/>
                                    <w:rPr>
                                      <w:sz w:val="24"/>
                                    </w:rPr>
                                  </w:pPr>
                                  <w:r>
                                    <w:rPr>
                                      <w:rFonts w:hint="eastAsia"/>
                                      <w:sz w:val="24"/>
                                    </w:rPr>
                                    <w:t>G、N、S</w:t>
                                  </w:r>
                                </w:p>
                              </w:txbxContent>
                            </v:textbox>
                          </v:shape>
                        </v:group>
                        <v:group id="组合 1370" o:spid="_x0000_s1026" o:spt="203" style="position:absolute;left:4314;top:525;height:720;width:1121;" coordorigin="1484,530" coordsize="1121,728" o:gfxdata="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8zVFvvAAAANwAAAAPAAAAAAAAAAEAIAAAACIAAABkcnMvZG93bnJldi54bWxQ&#10;SwECFAAUAAAACACHTuJAMy8FnjsAAAA5AAAAFQAAAAAAAAABACAAAAALAQAAZHJzL2dyb3Vwc2hh&#10;cGV4bWwueG1sUEsFBgAAAAAGAAYAYAEAAMgDAAAAAA==&#10;">
                          <o:lock v:ext="edit" aspectratio="f"/>
                          <v:line id="直线 1371" o:spid="_x0000_s1026" o:spt="20" style="position:absolute;left:2054;top:880;flip:y;height:378;width:1;" filled="f" stroked="t" coordsize="21600,21600" o:gfxdata="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9vB1vQAA&#10;ANwAAAAPAAAAAAAAAAEAIAAAACIAAABkcnMvZG93bnJldi54bWxQSwECFAAUAAAACACHTuJAMy8F&#10;njsAAAA5AAAAEAAAAAAAAAABACAAAAAMAQAAZHJzL3NoYXBleG1sLnhtbFBLBQYAAAAABgAGAFsB&#10;AAC2AwAAAAA=&#10;">
                            <v:fill on="f" focussize="0,0"/>
                            <v:stroke weight="1.5pt" color="#000000" joinstyle="round" dashstyle="1 1" endcap="square" endarrow="block"/>
                            <v:imagedata o:title=""/>
                            <o:lock v:ext="edit" aspectratio="f"/>
                          </v:line>
                          <v:shape id="文本框 1372" o:spid="_x0000_s1026" o:spt="202" type="#_x0000_t202" style="position:absolute;left:1484;top:530;height:345;width:1121;" fillcolor="#FFFFFF" filled="t" stroked="t" coordsize="21600,21600" o:gfxdata="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XDpbsAAADc&#10;AAAADwAAAAAAAAABACAAAAAiAAAAZHJzL2Rvd25yZXYueG1sUEsBAhQAFAAAAAgAh07iQDMvBZ47&#10;AAAAOQAAABAAAAAAAAAAAQAgAAAACgEAAGRycy9zaGFwZXhtbC54bWxQSwUGAAAAAAYABgBbAQAA&#10;tAMAAAAA&#10;">
                            <v:fill on="t" focussize="0,0"/>
                            <v:stroke weight="1.5pt" color="#000000" joinstyle="miter" dashstyle="1 1" endcap="square"/>
                            <v:imagedata o:title=""/>
                            <o:lock v:ext="edit" aspectratio="f"/>
                            <v:textbox inset="0mm,0mm,0mm,0mm" style="mso-fit-shape-to-text:t;">
                              <w:txbxContent>
                                <w:p w14:paraId="052FD604">
                                  <w:pPr>
                                    <w:jc w:val="center"/>
                                    <w:rPr>
                                      <w:sz w:val="24"/>
                                    </w:rPr>
                                  </w:pPr>
                                  <w:r>
                                    <w:rPr>
                                      <w:rFonts w:hint="eastAsia"/>
                                      <w:sz w:val="24"/>
                                    </w:rPr>
                                    <w:t>G、N</w:t>
                                  </w:r>
                                </w:p>
                              </w:txbxContent>
                            </v:textbox>
                          </v:shape>
                        </v:group>
                        <v:group id="组合 1412" o:spid="_x0000_s1026" o:spt="203" style="position:absolute;left:2899;top:536;height:720;width:1120;" coordorigin="1484,530" coordsize="1120,728" o:gfxdata="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MH88YvAAAANwAAAAPAAAAAAAAAAEAIAAAACIAAABkcnMvZG93bnJldi54bWxQ&#10;SwECFAAUAAAACACHTuJAMy8FnjsAAAA5AAAAFQAAAAAAAAABACAAAAALAQAAZHJzL2dyb3Vwc2hh&#10;cGV4bWwueG1sUEsFBgAAAAAGAAYAYAEAAMgDAAAAAA==&#10;">
                          <o:lock v:ext="edit" aspectratio="f"/>
                          <v:line id="直线 1413" o:spid="_x0000_s1026" o:spt="20" style="position:absolute;left:2054;top:880;flip:y;height:378;width:1;" filled="f" stroked="t" coordsize="21600,21600" o:gfxdata="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H2gBvQAA&#10;ANwAAAAPAAAAAAAAAAEAIAAAACIAAABkcnMvZG93bnJldi54bWxQSwECFAAUAAAACACHTuJAMy8F&#10;njsAAAA5AAAAEAAAAAAAAAABACAAAAAMAQAAZHJzL3NoYXBleG1sLnhtbFBLBQYAAAAABgAGAFsB&#10;AAC2AwAAAAA=&#10;">
                            <v:fill on="f" focussize="0,0"/>
                            <v:stroke weight="1.5pt" color="#000000" joinstyle="round" dashstyle="1 1" endcap="square" endarrow="block"/>
                            <v:imagedata o:title=""/>
                            <o:lock v:ext="edit" aspectratio="f"/>
                          </v:line>
                          <v:shape id="文本框 1414" o:spid="_x0000_s1026" o:spt="202" type="#_x0000_t202" style="position:absolute;left:1484;top:530;height:341;width:1121;" fillcolor="#FFFFFF" filled="t" stroked="t" coordsize="21600,21600" o:gfxdata="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UmA9ugAAANwA&#10;AAAPAAAAAAAAAAEAIAAAACIAAABkcnMvZG93bnJldi54bWxQSwECFAAUAAAACACHTuJAMy8FnjsA&#10;AAA5AAAAEAAAAAAAAAABACAAAAAJAQAAZHJzL3NoYXBleG1sLnhtbFBLBQYAAAAABgAGAFsBAACz&#10;AwAAAAA=&#10;">
                            <v:fill on="t" focussize="0,0"/>
                            <v:stroke weight="1.5pt" color="#000000" joinstyle="miter" dashstyle="1 1" endcap="square"/>
                            <v:imagedata o:title=""/>
                            <o:lock v:ext="edit" aspectratio="f"/>
                            <v:textbox inset="0mm,0mm,0mm,0mm" style="mso-fit-shape-to-text:t;">
                              <w:txbxContent>
                                <w:p w14:paraId="41E8776A">
                                  <w:pPr>
                                    <w:jc w:val="center"/>
                                    <w:rPr>
                                      <w:sz w:val="24"/>
                                    </w:rPr>
                                  </w:pPr>
                                  <w:r>
                                    <w:rPr>
                                      <w:rFonts w:hint="eastAsia"/>
                                      <w:sz w:val="24"/>
                                    </w:rPr>
                                    <w:t>G、N、S</w:t>
                                  </w:r>
                                </w:p>
                              </w:txbxContent>
                            </v:textbox>
                          </v:shape>
                        </v:group>
                      </v:group>
                      <w10:wrap type="none"/>
                      <w10:anchorlock/>
                    </v:group>
                  </w:pict>
                </mc:Fallback>
              </mc:AlternateContent>
            </w:r>
          </w:p>
          <w:p w14:paraId="28952A1F">
            <w:pPr>
              <w:pStyle w:val="32"/>
              <w:keepNext w:val="0"/>
              <w:keepLines w:val="0"/>
              <w:pageBreakBefore w:val="0"/>
              <w:widowControl w:val="0"/>
              <w:kinsoku/>
              <w:wordWrap/>
              <w:overflowPunct/>
              <w:topLinePunct w:val="0"/>
              <w:autoSpaceDE w:val="0"/>
              <w:autoSpaceDN w:val="0"/>
              <w:bidi w:val="0"/>
              <w:adjustRightInd w:val="0"/>
              <w:snapToGrid w:val="0"/>
              <w:spacing w:beforeLines="0" w:line="240" w:lineRule="auto"/>
              <w:jc w:val="center"/>
              <w:textAlignment w:val="auto"/>
              <w:outlineLvl w:val="9"/>
              <w:rPr>
                <w:rFonts w:hint="eastAsia"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图3  二车间</w:t>
            </w:r>
            <w:r>
              <w:rPr>
                <w:rFonts w:hint="default" w:ascii="Times New Roman" w:hAnsi="Times New Roman" w:cs="Times New Roman" w:eastAsiaTheme="minorEastAsia"/>
                <w:color w:val="auto"/>
                <w:sz w:val="24"/>
                <w:szCs w:val="24"/>
                <w:lang w:val="en-US" w:eastAsia="zh-CN"/>
              </w:rPr>
              <w:t>生产工艺流程图及产污环节</w:t>
            </w:r>
          </w:p>
          <w:p w14:paraId="6C0904F7">
            <w:pPr>
              <w:spacing w:line="360" w:lineRule="auto"/>
              <w:ind w:firstLine="480" w:firstLineChars="200"/>
              <w:rPr>
                <w:rFonts w:hint="eastAsia"/>
                <w:color w:val="auto"/>
                <w:sz w:val="24"/>
              </w:rPr>
            </w:pPr>
            <w:r>
              <w:rPr>
                <w:rFonts w:hint="eastAsia"/>
                <w:color w:val="auto"/>
                <w:sz w:val="24"/>
              </w:rPr>
              <w:t>生产工艺流程简述：</w:t>
            </w:r>
          </w:p>
          <w:p w14:paraId="11FEA2F2">
            <w:pPr>
              <w:spacing w:line="360" w:lineRule="auto"/>
              <w:ind w:firstLine="480" w:firstLineChars="200"/>
              <w:rPr>
                <w:color w:val="auto"/>
                <w:sz w:val="24"/>
              </w:rPr>
            </w:pPr>
            <w:r>
              <w:rPr>
                <w:rFonts w:hint="eastAsia"/>
                <w:color w:val="auto"/>
                <w:sz w:val="24"/>
              </w:rPr>
              <w:t>本项目二车间主要生产贴皮木板，生产工序主要包括：</w:t>
            </w:r>
            <w:r>
              <w:rPr>
                <w:color w:val="auto"/>
                <w:sz w:val="24"/>
              </w:rPr>
              <w:t>贴皮</w:t>
            </w:r>
            <w:r>
              <w:rPr>
                <w:rFonts w:hint="eastAsia"/>
                <w:color w:val="auto"/>
                <w:sz w:val="24"/>
              </w:rPr>
              <w:t>、砂光、涂漆等工序，其中涂漆工序漆料为无溶剂型UV油漆，采用全自动辊涂工艺</w:t>
            </w:r>
            <w:r>
              <w:rPr>
                <w:color w:val="auto"/>
                <w:sz w:val="24"/>
              </w:rPr>
              <w:t>。</w:t>
            </w:r>
          </w:p>
          <w:p w14:paraId="3C90E203">
            <w:pPr>
              <w:keepNext w:val="0"/>
              <w:keepLines w:val="0"/>
              <w:pageBreakBefore w:val="0"/>
              <w:widowControl w:val="0"/>
              <w:kinsoku/>
              <w:wordWrap/>
              <w:overflowPunct/>
              <w:topLinePunct w:val="0"/>
              <w:autoSpaceDE/>
              <w:autoSpaceDN/>
              <w:bidi w:val="0"/>
              <w:adjustRightInd/>
              <w:spacing w:line="360" w:lineRule="auto"/>
              <w:ind w:firstLine="480" w:firstLineChars="200"/>
              <w:jc w:val="left"/>
              <w:textAlignment w:val="auto"/>
              <w:rPr>
                <w:color w:val="auto"/>
                <w:sz w:val="24"/>
              </w:rPr>
            </w:pPr>
            <w:r>
              <w:rPr>
                <w:rFonts w:hint="eastAsia"/>
                <w:bCs/>
                <w:color w:val="auto"/>
                <w:sz w:val="24"/>
              </w:rPr>
              <w:t>（1）贴皮</w:t>
            </w:r>
            <w:r>
              <w:rPr>
                <w:rFonts w:hint="eastAsia"/>
                <w:bCs/>
                <w:color w:val="auto"/>
                <w:sz w:val="24"/>
                <w:lang w:val="en-US" w:eastAsia="zh-CN"/>
              </w:rPr>
              <w:t>热压</w:t>
            </w:r>
            <w:r>
              <w:rPr>
                <w:rFonts w:hint="eastAsia"/>
                <w:bCs/>
                <w:color w:val="auto"/>
                <w:sz w:val="24"/>
              </w:rPr>
              <w:t>：</w:t>
            </w:r>
            <w:r>
              <w:rPr>
                <w:rFonts w:hint="eastAsia"/>
                <w:color w:val="auto"/>
                <w:sz w:val="24"/>
              </w:rPr>
              <w:t>在平整后木板上进行人工涂胶，然后使用实木木皮进行覆盖，经热压机热压后，木皮贴附在木板表面，</w:t>
            </w:r>
            <w:r>
              <w:rPr>
                <w:color w:val="auto"/>
                <w:sz w:val="24"/>
              </w:rPr>
              <w:t>该过程</w:t>
            </w:r>
            <w:r>
              <w:rPr>
                <w:rFonts w:hint="eastAsia"/>
                <w:b/>
                <w:bCs/>
                <w:color w:val="auto"/>
                <w:sz w:val="24"/>
                <w:u w:val="single"/>
                <w:lang w:val="en-US" w:eastAsia="zh-CN"/>
              </w:rPr>
              <w:t>二次密闭，</w:t>
            </w:r>
            <w:r>
              <w:rPr>
                <w:color w:val="auto"/>
                <w:sz w:val="24"/>
              </w:rPr>
              <w:t>会产生</w:t>
            </w:r>
            <w:r>
              <w:rPr>
                <w:rFonts w:hint="eastAsia"/>
                <w:color w:val="auto"/>
                <w:sz w:val="24"/>
              </w:rPr>
              <w:t>有机废气。</w:t>
            </w:r>
          </w:p>
          <w:p w14:paraId="0485478A">
            <w:pPr>
              <w:pStyle w:val="46"/>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jc w:val="left"/>
              <w:textAlignment w:val="auto"/>
              <w:rPr>
                <w:rFonts w:hint="eastAsia"/>
                <w:b w:val="0"/>
                <w:bCs/>
                <w:color w:val="auto"/>
                <w:sz w:val="24"/>
                <w:szCs w:val="24"/>
              </w:rPr>
            </w:pPr>
            <w:r>
              <w:rPr>
                <w:rFonts w:hint="eastAsia"/>
                <w:b w:val="0"/>
                <w:bCs/>
                <w:color w:val="auto"/>
                <w:sz w:val="24"/>
                <w:szCs w:val="24"/>
              </w:rPr>
              <w:t>（2）砂光：</w:t>
            </w:r>
            <w:r>
              <w:rPr>
                <w:b w:val="0"/>
                <w:bCs/>
                <w:color w:val="auto"/>
                <w:sz w:val="24"/>
                <w:szCs w:val="24"/>
              </w:rPr>
              <w:t>采用砂光机对</w:t>
            </w:r>
            <w:r>
              <w:rPr>
                <w:rFonts w:hint="eastAsia"/>
                <w:b w:val="0"/>
                <w:bCs/>
                <w:color w:val="auto"/>
                <w:sz w:val="24"/>
                <w:szCs w:val="24"/>
              </w:rPr>
              <w:t>贴皮后的木板</w:t>
            </w:r>
            <w:r>
              <w:rPr>
                <w:b w:val="0"/>
                <w:bCs/>
                <w:color w:val="auto"/>
                <w:sz w:val="24"/>
                <w:szCs w:val="24"/>
              </w:rPr>
              <w:t>表面进行砂光去除木材表面的毛刺，降低表面粗糙度，同时平整木材表面，清除机械或手工加工时表面留下的各种加工痕迹，该过程会产生</w:t>
            </w:r>
            <w:r>
              <w:rPr>
                <w:rFonts w:hint="eastAsia"/>
                <w:b w:val="0"/>
                <w:bCs/>
                <w:color w:val="auto"/>
                <w:sz w:val="24"/>
                <w:szCs w:val="24"/>
              </w:rPr>
              <w:t>粉尘、设备噪声及废边角料</w:t>
            </w:r>
            <w:r>
              <w:rPr>
                <w:b w:val="0"/>
                <w:bCs/>
                <w:color w:val="auto"/>
                <w:sz w:val="24"/>
                <w:szCs w:val="24"/>
              </w:rPr>
              <w:t>。</w:t>
            </w:r>
          </w:p>
          <w:p w14:paraId="1CC0EB9C">
            <w:pPr>
              <w:pStyle w:val="46"/>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jc w:val="left"/>
              <w:textAlignment w:val="auto"/>
              <w:rPr>
                <w:rFonts w:hint="eastAsia"/>
                <w:b w:val="0"/>
                <w:bCs/>
                <w:color w:val="auto"/>
                <w:sz w:val="24"/>
                <w:szCs w:val="24"/>
              </w:rPr>
            </w:pPr>
            <w:r>
              <w:rPr>
                <w:rFonts w:hint="eastAsia"/>
                <w:b w:val="0"/>
                <w:bCs/>
                <w:color w:val="auto"/>
                <w:sz w:val="24"/>
                <w:szCs w:val="24"/>
              </w:rPr>
              <w:t>（3）涂漆：砂光后的木板进入UV油漆辊涂线进行涂漆，涂漆使用漆料为UV油漆，涂漆后的木板经辊涂线内的紫外灯照射后迅速附着，</w:t>
            </w:r>
            <w:r>
              <w:rPr>
                <w:b w:val="0"/>
                <w:bCs/>
                <w:color w:val="auto"/>
                <w:sz w:val="24"/>
                <w:szCs w:val="24"/>
              </w:rPr>
              <w:t>该过程会产生</w:t>
            </w:r>
            <w:r>
              <w:rPr>
                <w:rFonts w:hint="eastAsia"/>
                <w:b w:val="0"/>
                <w:bCs/>
                <w:color w:val="auto"/>
                <w:sz w:val="24"/>
                <w:szCs w:val="24"/>
              </w:rPr>
              <w:t>有机废气。</w:t>
            </w:r>
          </w:p>
          <w:p w14:paraId="1B1B0AA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color w:val="auto"/>
              </w:rPr>
            </w:pPr>
            <w:r>
              <w:rPr>
                <w:rFonts w:hint="eastAsia"/>
                <w:b/>
                <w:bCs/>
                <w:color w:val="auto"/>
                <w:sz w:val="24"/>
                <w:u w:val="single"/>
              </w:rPr>
              <w:t>（</w:t>
            </w:r>
            <w:r>
              <w:rPr>
                <w:rFonts w:hint="eastAsia"/>
                <w:b/>
                <w:bCs/>
                <w:color w:val="auto"/>
                <w:sz w:val="24"/>
                <w:u w:val="single"/>
                <w:lang w:val="en-US" w:eastAsia="zh-CN"/>
              </w:rPr>
              <w:t>4</w:t>
            </w:r>
            <w:r>
              <w:rPr>
                <w:rFonts w:hint="eastAsia"/>
                <w:b/>
                <w:bCs/>
                <w:color w:val="auto"/>
                <w:sz w:val="24"/>
                <w:u w:val="single"/>
              </w:rPr>
              <w:t>）</w:t>
            </w:r>
            <w:r>
              <w:rPr>
                <w:rFonts w:hint="eastAsia"/>
                <w:b/>
                <w:bCs/>
                <w:color w:val="auto"/>
                <w:sz w:val="24"/>
                <w:u w:val="single"/>
                <w:lang w:val="en-US" w:eastAsia="zh-CN"/>
              </w:rPr>
              <w:t>半</w:t>
            </w:r>
            <w:r>
              <w:rPr>
                <w:rFonts w:hint="eastAsia"/>
                <w:b/>
                <w:bCs/>
                <w:color w:val="auto"/>
                <w:sz w:val="24"/>
                <w:u w:val="single"/>
              </w:rPr>
              <w:t>成品：</w:t>
            </w:r>
            <w:r>
              <w:rPr>
                <w:rFonts w:hint="eastAsia"/>
                <w:b/>
                <w:bCs/>
                <w:color w:val="auto"/>
                <w:sz w:val="24"/>
                <w:u w:val="single"/>
                <w:lang w:val="en-US" w:eastAsia="zh-CN"/>
              </w:rPr>
              <w:t>涂漆</w:t>
            </w:r>
            <w:r>
              <w:rPr>
                <w:rFonts w:hint="eastAsia"/>
                <w:b/>
                <w:bCs/>
                <w:color w:val="auto"/>
                <w:sz w:val="24"/>
                <w:u w:val="single"/>
              </w:rPr>
              <w:t>后的木板即为</w:t>
            </w:r>
            <w:r>
              <w:rPr>
                <w:rFonts w:hint="eastAsia"/>
                <w:b/>
                <w:bCs/>
                <w:color w:val="auto"/>
                <w:sz w:val="24"/>
                <w:u w:val="single"/>
                <w:lang w:val="en-US" w:eastAsia="zh-CN"/>
              </w:rPr>
              <w:t>半</w:t>
            </w:r>
            <w:r>
              <w:rPr>
                <w:rFonts w:hint="eastAsia"/>
                <w:b/>
                <w:bCs/>
                <w:color w:val="auto"/>
                <w:sz w:val="24"/>
                <w:u w:val="single"/>
              </w:rPr>
              <w:t>成品</w:t>
            </w:r>
            <w:r>
              <w:rPr>
                <w:rFonts w:hint="eastAsia"/>
                <w:b/>
                <w:bCs/>
                <w:color w:val="auto"/>
                <w:sz w:val="24"/>
                <w:u w:val="single"/>
                <w:lang w:eastAsia="zh-CN"/>
              </w:rPr>
              <w:t>，</w:t>
            </w:r>
            <w:r>
              <w:rPr>
                <w:rFonts w:hint="eastAsia"/>
                <w:b/>
                <w:bCs/>
                <w:color w:val="auto"/>
                <w:sz w:val="24"/>
                <w:u w:val="single"/>
                <w:lang w:val="en-US" w:eastAsia="zh-CN"/>
              </w:rPr>
              <w:t>用于一车间加工。</w:t>
            </w:r>
          </w:p>
          <w:p w14:paraId="49B5DC39">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color w:val="auto"/>
                <w:sz w:val="24"/>
              </w:rPr>
            </w:pPr>
            <w:r>
              <w:rPr>
                <w:rFonts w:hint="eastAsia"/>
                <w:color w:val="auto"/>
                <w:sz w:val="24"/>
              </w:rPr>
              <w:t>3、本项目三车间</w:t>
            </w:r>
            <w:r>
              <w:rPr>
                <w:color w:val="auto"/>
                <w:sz w:val="24"/>
              </w:rPr>
              <w:t>生产工艺</w:t>
            </w:r>
            <w:r>
              <w:rPr>
                <w:rFonts w:hint="eastAsia"/>
                <w:color w:val="auto"/>
                <w:sz w:val="24"/>
              </w:rPr>
              <w:t>及产排污环节</w:t>
            </w:r>
            <w:r>
              <w:rPr>
                <w:color w:val="auto"/>
                <w:sz w:val="24"/>
              </w:rPr>
              <w:t>如图所示</w:t>
            </w:r>
            <w:r>
              <w:rPr>
                <w:rFonts w:hint="eastAsia"/>
                <w:color w:val="auto"/>
                <w:sz w:val="24"/>
              </w:rPr>
              <w:t>：</w:t>
            </w:r>
          </w:p>
          <w:p w14:paraId="5EFD5897">
            <w:pPr>
              <w:keepNext w:val="0"/>
              <w:keepLines w:val="0"/>
              <w:pageBreakBefore w:val="0"/>
              <w:widowControl w:val="0"/>
              <w:kinsoku/>
              <w:wordWrap/>
              <w:overflowPunct/>
              <w:topLinePunct w:val="0"/>
              <w:bidi w:val="0"/>
              <w:spacing w:line="240" w:lineRule="auto"/>
              <w:jc w:val="left"/>
              <w:textAlignment w:val="auto"/>
              <w:rPr>
                <w:rFonts w:hint="eastAsia"/>
                <w:color w:val="auto"/>
                <w:sz w:val="24"/>
              </w:rPr>
            </w:pPr>
            <w:r>
              <w:rPr>
                <w:color w:val="auto"/>
                <w:sz w:val="24"/>
              </w:rPr>
              <mc:AlternateContent>
                <mc:Choice Requires="wpc">
                  <w:drawing>
                    <wp:inline distT="0" distB="0" distL="114300" distR="114300">
                      <wp:extent cx="5332730" cy="1735455"/>
                      <wp:effectExtent l="9525" t="9525" r="10795" b="26670"/>
                      <wp:docPr id="160" name="画布 1416"/>
                      <wp:cNvGraphicFramePr/>
                      <a:graphic xmlns:a="http://schemas.openxmlformats.org/drawingml/2006/main">
                        <a:graphicData uri="http://schemas.microsoft.com/office/word/2010/wordprocessingCanvas">
                          <wpc:wpc>
                            <wpc:bg>
                              <a:noFill/>
                            </wpc:bg>
                            <wpc:whole>
                              <a:ln w="19050" cap="flat" cmpd="sng">
                                <a:solidFill>
                                  <a:srgbClr val="000000"/>
                                </a:solidFill>
                                <a:prstDash val="solid"/>
                                <a:miter/>
                                <a:headEnd type="none" w="med" len="med"/>
                                <a:tailEnd type="none" w="med" len="med"/>
                              </a:ln>
                            </wpc:whole>
                            <wps:wsp>
                              <wps:cNvPr id="273" name="文本框 1418"/>
                              <wps:cNvSpPr txBox="1"/>
                              <wps:spPr>
                                <a:xfrm>
                                  <a:off x="170815" y="1232535"/>
                                  <a:ext cx="917575" cy="499110"/>
                                </a:xfrm>
                                <a:prstGeom prst="rect">
                                  <a:avLst/>
                                </a:prstGeom>
                                <a:solidFill>
                                  <a:srgbClr val="FFFFFF"/>
                                </a:solidFill>
                                <a:ln w="19050">
                                  <a:noFill/>
                                </a:ln>
                              </wps:spPr>
                              <wps:txbx>
                                <w:txbxContent>
                                  <w:p w14:paraId="5F1A4CC8">
                                    <w:pPr>
                                      <w:jc w:val="left"/>
                                      <w:rPr>
                                        <w:b/>
                                        <w:bCs/>
                                        <w:sz w:val="18"/>
                                        <w:szCs w:val="18"/>
                                      </w:rPr>
                                    </w:pPr>
                                    <w:r>
                                      <w:rPr>
                                        <w:rFonts w:hint="eastAsia"/>
                                        <w:b/>
                                        <w:bCs/>
                                        <w:sz w:val="18"/>
                                        <w:szCs w:val="18"/>
                                      </w:rPr>
                                      <w:t>G  废气</w:t>
                                    </w:r>
                                  </w:p>
                                  <w:p w14:paraId="25D9A543">
                                    <w:pPr>
                                      <w:jc w:val="left"/>
                                      <w:rPr>
                                        <w:rFonts w:hint="eastAsia"/>
                                        <w:b/>
                                        <w:bCs/>
                                        <w:sz w:val="18"/>
                                        <w:szCs w:val="18"/>
                                      </w:rPr>
                                    </w:pPr>
                                    <w:r>
                                      <w:rPr>
                                        <w:rFonts w:hint="eastAsia"/>
                                        <w:b/>
                                        <w:bCs/>
                                        <w:sz w:val="18"/>
                                        <w:szCs w:val="18"/>
                                      </w:rPr>
                                      <w:t>N  噪声</w:t>
                                    </w:r>
                                  </w:p>
                                  <w:p w14:paraId="79CAE35B">
                                    <w:pPr>
                                      <w:jc w:val="left"/>
                                      <w:rPr>
                                        <w:b/>
                                        <w:bCs/>
                                        <w:sz w:val="18"/>
                                        <w:szCs w:val="18"/>
                                      </w:rPr>
                                    </w:pPr>
                                    <w:r>
                                      <w:rPr>
                                        <w:rFonts w:hint="eastAsia"/>
                                        <w:b/>
                                        <w:bCs/>
                                        <w:sz w:val="18"/>
                                        <w:szCs w:val="18"/>
                                      </w:rPr>
                                      <w:t>S  固体废物</w:t>
                                    </w:r>
                                  </w:p>
                                </w:txbxContent>
                              </wps:txbx>
                              <wps:bodyPr wrap="square" lIns="0" tIns="0" rIns="0" bIns="0" upright="1"/>
                            </wps:wsp>
                            <wpg:wgp>
                              <wpg:cNvPr id="274" name="组合 170"/>
                              <wpg:cNvGrpSpPr/>
                              <wpg:grpSpPr>
                                <a:xfrm>
                                  <a:off x="370205" y="93980"/>
                                  <a:ext cx="4547870" cy="1348740"/>
                                  <a:chOff x="-137" y="538"/>
                                  <a:chExt cx="7162" cy="1858"/>
                                </a:xfrm>
                              </wpg:grpSpPr>
                              <wps:wsp>
                                <wps:cNvPr id="275" name="直线 1426"/>
                                <wps:cNvCnPr/>
                                <wps:spPr>
                                  <a:xfrm flipV="1">
                                    <a:off x="2198" y="1470"/>
                                    <a:ext cx="567" cy="0"/>
                                  </a:xfrm>
                                  <a:prstGeom prst="line">
                                    <a:avLst/>
                                  </a:prstGeom>
                                  <a:ln w="19050" cap="flat" cmpd="sng">
                                    <a:solidFill>
                                      <a:srgbClr val="000000"/>
                                    </a:solidFill>
                                    <a:prstDash val="solid"/>
                                    <a:headEnd type="none" w="med" len="med"/>
                                    <a:tailEnd type="triangle" w="med" len="med"/>
                                  </a:ln>
                                </wps:spPr>
                                <wps:bodyPr upright="1"/>
                              </wps:wsp>
                              <wpg:grpSp>
                                <wpg:cNvPr id="276" name="组合 169"/>
                                <wpg:cNvGrpSpPr/>
                                <wpg:grpSpPr>
                                  <a:xfrm>
                                    <a:off x="-137" y="538"/>
                                    <a:ext cx="7162" cy="1858"/>
                                    <a:chOff x="-137" y="538"/>
                                    <a:chExt cx="7162" cy="1858"/>
                                  </a:xfrm>
                                </wpg:grpSpPr>
                                <wps:wsp>
                                  <wps:cNvPr id="277" name="文本框 1420"/>
                                  <wps:cNvSpPr txBox="1"/>
                                  <wps:spPr>
                                    <a:xfrm>
                                      <a:off x="2728" y="1291"/>
                                      <a:ext cx="895" cy="298"/>
                                    </a:xfrm>
                                    <a:prstGeom prst="rect">
                                      <a:avLst/>
                                    </a:prstGeom>
                                    <a:solidFill>
                                      <a:srgbClr val="FFFFFF"/>
                                    </a:solidFill>
                                    <a:ln w="19050" cap="flat" cmpd="sng">
                                      <a:solidFill>
                                        <a:srgbClr val="000000"/>
                                      </a:solidFill>
                                      <a:prstDash val="solid"/>
                                      <a:miter/>
                                      <a:headEnd type="none" w="med" len="med"/>
                                      <a:tailEnd type="none" w="med" len="med"/>
                                    </a:ln>
                                  </wps:spPr>
                                  <wps:txbx>
                                    <w:txbxContent>
                                      <w:p w14:paraId="7259D7F7">
                                        <w:pPr>
                                          <w:jc w:val="center"/>
                                          <w:rPr>
                                            <w:sz w:val="24"/>
                                          </w:rPr>
                                        </w:pPr>
                                        <w:r>
                                          <w:rPr>
                                            <w:rFonts w:hint="eastAsia"/>
                                            <w:sz w:val="24"/>
                                          </w:rPr>
                                          <w:t>挑色</w:t>
                                        </w:r>
                                      </w:p>
                                    </w:txbxContent>
                                  </wps:txbx>
                                  <wps:bodyPr wrap="square" lIns="0" tIns="0" rIns="0" bIns="0" upright="1">
                                    <a:spAutoFit/>
                                  </wps:bodyPr>
                                </wps:wsp>
                                <wps:wsp>
                                  <wps:cNvPr id="278" name="文本框 1421"/>
                                  <wps:cNvSpPr txBox="1"/>
                                  <wps:spPr>
                                    <a:xfrm>
                                      <a:off x="-137" y="1291"/>
                                      <a:ext cx="895" cy="298"/>
                                    </a:xfrm>
                                    <a:prstGeom prst="rect">
                                      <a:avLst/>
                                    </a:prstGeom>
                                    <a:solidFill>
                                      <a:srgbClr val="FFFFFF"/>
                                    </a:solidFill>
                                    <a:ln w="19050" cap="flat" cmpd="sng">
                                      <a:solidFill>
                                        <a:srgbClr val="000000"/>
                                      </a:solidFill>
                                      <a:prstDash val="solid"/>
                                      <a:miter/>
                                      <a:headEnd type="none" w="med" len="med"/>
                                      <a:tailEnd type="none" w="med" len="med"/>
                                    </a:ln>
                                  </wps:spPr>
                                  <wps:txbx>
                                    <w:txbxContent>
                                      <w:p w14:paraId="3527D013">
                                        <w:pPr>
                                          <w:jc w:val="center"/>
                                          <w:rPr>
                                            <w:sz w:val="24"/>
                                          </w:rPr>
                                        </w:pPr>
                                        <w:r>
                                          <w:rPr>
                                            <w:rFonts w:hint="eastAsia"/>
                                            <w:sz w:val="24"/>
                                          </w:rPr>
                                          <w:t>木材</w:t>
                                        </w:r>
                                      </w:p>
                                    </w:txbxContent>
                                  </wps:txbx>
                                  <wps:bodyPr wrap="square" lIns="0" tIns="0" rIns="0" bIns="0" upright="1">
                                    <a:spAutoFit/>
                                  </wps:bodyPr>
                                </wps:wsp>
                                <wps:wsp>
                                  <wps:cNvPr id="279" name="文本框 1422"/>
                                  <wps:cNvSpPr txBox="1"/>
                                  <wps:spPr>
                                    <a:xfrm>
                                      <a:off x="4206" y="1291"/>
                                      <a:ext cx="1210" cy="298"/>
                                    </a:xfrm>
                                    <a:prstGeom prst="rect">
                                      <a:avLst/>
                                    </a:prstGeom>
                                    <a:solidFill>
                                      <a:srgbClr val="FFFFFF"/>
                                    </a:solidFill>
                                    <a:ln w="19050" cap="flat" cmpd="sng">
                                      <a:solidFill>
                                        <a:srgbClr val="000000"/>
                                      </a:solidFill>
                                      <a:prstDash val="solid"/>
                                      <a:miter/>
                                      <a:headEnd type="none" w="med" len="med"/>
                                      <a:tailEnd type="none" w="med" len="med"/>
                                    </a:ln>
                                  </wps:spPr>
                                  <wps:txbx>
                                    <w:txbxContent>
                                      <w:p w14:paraId="1C999B84">
                                        <w:pPr>
                                          <w:jc w:val="center"/>
                                          <w:rPr>
                                            <w:rFonts w:hint="eastAsia" w:eastAsia="宋体"/>
                                            <w:sz w:val="24"/>
                                            <w:lang w:val="en-US" w:eastAsia="zh-CN"/>
                                          </w:rPr>
                                        </w:pPr>
                                        <w:r>
                                          <w:rPr>
                                            <w:rFonts w:hint="eastAsia"/>
                                            <w:sz w:val="24"/>
                                          </w:rPr>
                                          <w:t>拼板</w:t>
                                        </w:r>
                                        <w:r>
                                          <w:rPr>
                                            <w:rFonts w:hint="eastAsia"/>
                                            <w:sz w:val="24"/>
                                            <w:lang w:val="en-US" w:eastAsia="zh-CN"/>
                                          </w:rPr>
                                          <w:t>热压</w:t>
                                        </w:r>
                                      </w:p>
                                    </w:txbxContent>
                                  </wps:txbx>
                                  <wps:bodyPr wrap="square" lIns="0" tIns="0" rIns="0" bIns="0" upright="1">
                                    <a:spAutoFit/>
                                  </wps:bodyPr>
                                </wps:wsp>
                                <wps:wsp>
                                  <wps:cNvPr id="280" name="文本框 1423"/>
                                  <wps:cNvSpPr txBox="1"/>
                                  <wps:spPr>
                                    <a:xfrm>
                                      <a:off x="1296" y="1291"/>
                                      <a:ext cx="895" cy="298"/>
                                    </a:xfrm>
                                    <a:prstGeom prst="rect">
                                      <a:avLst/>
                                    </a:prstGeom>
                                    <a:solidFill>
                                      <a:srgbClr val="FFFFFF"/>
                                    </a:solidFill>
                                    <a:ln w="19050" cap="flat" cmpd="sng">
                                      <a:solidFill>
                                        <a:srgbClr val="000000"/>
                                      </a:solidFill>
                                      <a:prstDash val="solid"/>
                                      <a:miter/>
                                      <a:headEnd type="none" w="med" len="med"/>
                                      <a:tailEnd type="none" w="med" len="med"/>
                                    </a:ln>
                                  </wps:spPr>
                                  <wps:txbx>
                                    <w:txbxContent>
                                      <w:p w14:paraId="3F671218">
                                        <w:pPr>
                                          <w:jc w:val="center"/>
                                          <w:rPr>
                                            <w:sz w:val="24"/>
                                          </w:rPr>
                                        </w:pPr>
                                        <w:r>
                                          <w:rPr>
                                            <w:rFonts w:hint="eastAsia"/>
                                            <w:sz w:val="24"/>
                                          </w:rPr>
                                          <w:t>开料</w:t>
                                        </w:r>
                                      </w:p>
                                    </w:txbxContent>
                                  </wps:txbx>
                                  <wps:bodyPr wrap="square" lIns="0" tIns="0" rIns="0" bIns="0" upright="1">
                                    <a:spAutoFit/>
                                  </wps:bodyPr>
                                </wps:wsp>
                                <wps:wsp>
                                  <wps:cNvPr id="281" name="文本框 1424"/>
                                  <wps:cNvSpPr txBox="1"/>
                                  <wps:spPr>
                                    <a:xfrm>
                                      <a:off x="5968" y="1291"/>
                                      <a:ext cx="895" cy="298"/>
                                    </a:xfrm>
                                    <a:prstGeom prst="rect">
                                      <a:avLst/>
                                    </a:prstGeom>
                                    <a:solidFill>
                                      <a:srgbClr val="FFFFFF"/>
                                    </a:solidFill>
                                    <a:ln w="19050" cap="flat" cmpd="sng">
                                      <a:solidFill>
                                        <a:srgbClr val="000000"/>
                                      </a:solidFill>
                                      <a:prstDash val="solid"/>
                                      <a:miter/>
                                      <a:headEnd type="none" w="med" len="med"/>
                                      <a:tailEnd type="none" w="med" len="med"/>
                                    </a:ln>
                                  </wps:spPr>
                                  <wps:txbx>
                                    <w:txbxContent>
                                      <w:p w14:paraId="306A6F84">
                                        <w:pPr>
                                          <w:jc w:val="center"/>
                                          <w:rPr>
                                            <w:rFonts w:hint="eastAsia" w:eastAsia="宋体"/>
                                            <w:sz w:val="24"/>
                                            <w:lang w:val="en-US" w:eastAsia="zh-CN"/>
                                          </w:rPr>
                                        </w:pPr>
                                        <w:r>
                                          <w:rPr>
                                            <w:rFonts w:hint="eastAsia"/>
                                            <w:sz w:val="24"/>
                                            <w:lang w:val="en-US" w:eastAsia="zh-CN"/>
                                          </w:rPr>
                                          <w:t>砂光</w:t>
                                        </w:r>
                                      </w:p>
                                    </w:txbxContent>
                                  </wps:txbx>
                                  <wps:bodyPr wrap="square" lIns="0" tIns="0" rIns="0" bIns="0" upright="1">
                                    <a:spAutoFit/>
                                  </wps:bodyPr>
                                </wps:wsp>
                                <wps:wsp>
                                  <wps:cNvPr id="282" name="直线 1425"/>
                                  <wps:cNvCnPr/>
                                  <wps:spPr>
                                    <a:xfrm flipV="1">
                                      <a:off x="751" y="1466"/>
                                      <a:ext cx="567" cy="8"/>
                                    </a:xfrm>
                                    <a:prstGeom prst="line">
                                      <a:avLst/>
                                    </a:prstGeom>
                                    <a:ln w="19050" cap="flat" cmpd="sng">
                                      <a:solidFill>
                                        <a:srgbClr val="000000"/>
                                      </a:solidFill>
                                      <a:prstDash val="solid"/>
                                      <a:headEnd type="none" w="med" len="med"/>
                                      <a:tailEnd type="triangle" w="med" len="med"/>
                                    </a:ln>
                                  </wps:spPr>
                                  <wps:bodyPr upright="1"/>
                                </wps:wsp>
                                <wps:wsp>
                                  <wps:cNvPr id="283" name="直线 1427"/>
                                  <wps:cNvCnPr/>
                                  <wps:spPr>
                                    <a:xfrm flipV="1">
                                      <a:off x="3646" y="1470"/>
                                      <a:ext cx="567" cy="0"/>
                                    </a:xfrm>
                                    <a:prstGeom prst="line">
                                      <a:avLst/>
                                    </a:prstGeom>
                                    <a:ln w="19050" cap="flat" cmpd="sng">
                                      <a:solidFill>
                                        <a:srgbClr val="000000"/>
                                      </a:solidFill>
                                      <a:prstDash val="solid"/>
                                      <a:headEnd type="none" w="med" len="med"/>
                                      <a:tailEnd type="triangle" w="med" len="med"/>
                                    </a:ln>
                                  </wps:spPr>
                                  <wps:bodyPr upright="1"/>
                                </wps:wsp>
                                <wps:wsp>
                                  <wps:cNvPr id="284" name="直线 1428"/>
                                  <wps:cNvCnPr/>
                                  <wps:spPr>
                                    <a:xfrm flipV="1">
                                      <a:off x="5423" y="1457"/>
                                      <a:ext cx="567" cy="0"/>
                                    </a:xfrm>
                                    <a:prstGeom prst="line">
                                      <a:avLst/>
                                    </a:prstGeom>
                                    <a:ln w="19050" cap="flat" cmpd="sng">
                                      <a:solidFill>
                                        <a:srgbClr val="000000"/>
                                      </a:solidFill>
                                      <a:prstDash val="solid"/>
                                      <a:headEnd type="none" w="med" len="med"/>
                                      <a:tailEnd type="triangle" w="med" len="med"/>
                                    </a:ln>
                                  </wps:spPr>
                                  <wps:bodyPr upright="1"/>
                                </wps:wsp>
                                <wpg:grpSp>
                                  <wpg:cNvPr id="285" name="组合 1429"/>
                                  <wpg:cNvGrpSpPr/>
                                  <wpg:grpSpPr>
                                    <a:xfrm rot="0">
                                      <a:off x="1215" y="555"/>
                                      <a:ext cx="1254" cy="728"/>
                                      <a:chOff x="1484" y="530"/>
                                      <a:chExt cx="1121" cy="728"/>
                                    </a:xfrm>
                                  </wpg:grpSpPr>
                                  <wps:wsp>
                                    <wps:cNvPr id="286" name="直线 1430"/>
                                    <wps:cNvCnPr/>
                                    <wps:spPr>
                                      <a:xfrm flipV="1">
                                        <a:off x="2054" y="880"/>
                                        <a:ext cx="1" cy="378"/>
                                      </a:xfrm>
                                      <a:prstGeom prst="line">
                                        <a:avLst/>
                                      </a:prstGeom>
                                      <a:ln w="19050" cap="sq" cmpd="sng">
                                        <a:solidFill>
                                          <a:srgbClr val="000000"/>
                                        </a:solidFill>
                                        <a:prstDash val="sysDot"/>
                                        <a:headEnd type="none" w="med" len="med"/>
                                        <a:tailEnd type="triangle" w="med" len="med"/>
                                      </a:ln>
                                    </wps:spPr>
                                    <wps:bodyPr upright="1"/>
                                  </wps:wsp>
                                  <wps:wsp>
                                    <wps:cNvPr id="287" name="文本框 1431"/>
                                    <wps:cNvSpPr txBox="1"/>
                                    <wps:spPr>
                                      <a:xfrm>
                                        <a:off x="1484" y="530"/>
                                        <a:ext cx="1121" cy="298"/>
                                      </a:xfrm>
                                      <a:prstGeom prst="rect">
                                        <a:avLst/>
                                      </a:prstGeom>
                                      <a:solidFill>
                                        <a:srgbClr val="FFFFFF"/>
                                      </a:solidFill>
                                      <a:ln w="19050" cap="sq" cmpd="sng">
                                        <a:solidFill>
                                          <a:srgbClr val="000000"/>
                                        </a:solidFill>
                                        <a:prstDash val="sysDot"/>
                                        <a:miter/>
                                        <a:headEnd type="none" w="med" len="med"/>
                                        <a:tailEnd type="none" w="med" len="med"/>
                                      </a:ln>
                                    </wps:spPr>
                                    <wps:txbx>
                                      <w:txbxContent>
                                        <w:p w14:paraId="5B231AEA">
                                          <w:pPr>
                                            <w:jc w:val="center"/>
                                            <w:rPr>
                                              <w:sz w:val="24"/>
                                            </w:rPr>
                                          </w:pPr>
                                          <w:r>
                                            <w:rPr>
                                              <w:rFonts w:hint="eastAsia"/>
                                              <w:sz w:val="24"/>
                                            </w:rPr>
                                            <w:t>G、N、S</w:t>
                                          </w:r>
                                        </w:p>
                                      </w:txbxContent>
                                    </wps:txbx>
                                    <wps:bodyPr wrap="square" lIns="0" tIns="0" rIns="0" bIns="0" upright="1">
                                      <a:spAutoFit/>
                                    </wps:bodyPr>
                                  </wps:wsp>
                                </wpg:grpSp>
                                <wpg:grpSp>
                                  <wpg:cNvPr id="288" name="组合 1432"/>
                                  <wpg:cNvGrpSpPr/>
                                  <wpg:grpSpPr>
                                    <a:xfrm rot="0">
                                      <a:off x="4184" y="555"/>
                                      <a:ext cx="1254" cy="720"/>
                                      <a:chOff x="1738" y="530"/>
                                      <a:chExt cx="1121" cy="728"/>
                                    </a:xfrm>
                                  </wpg:grpSpPr>
                                  <wps:wsp>
                                    <wps:cNvPr id="289" name="直线 1433"/>
                                    <wps:cNvCnPr/>
                                    <wps:spPr>
                                      <a:xfrm flipV="1">
                                        <a:off x="2215" y="880"/>
                                        <a:ext cx="4" cy="378"/>
                                      </a:xfrm>
                                      <a:prstGeom prst="line">
                                        <a:avLst/>
                                      </a:prstGeom>
                                      <a:ln w="19050" cap="sq" cmpd="sng">
                                        <a:solidFill>
                                          <a:srgbClr val="000000"/>
                                        </a:solidFill>
                                        <a:prstDash val="sysDot"/>
                                        <a:headEnd type="none" w="med" len="med"/>
                                        <a:tailEnd type="triangle" w="med" len="med"/>
                                      </a:ln>
                                    </wps:spPr>
                                    <wps:bodyPr upright="1"/>
                                  </wps:wsp>
                                  <wps:wsp>
                                    <wps:cNvPr id="290" name="文本框 1434"/>
                                    <wps:cNvSpPr txBox="1"/>
                                    <wps:spPr>
                                      <a:xfrm>
                                        <a:off x="1738" y="530"/>
                                        <a:ext cx="1121" cy="302"/>
                                      </a:xfrm>
                                      <a:prstGeom prst="rect">
                                        <a:avLst/>
                                      </a:prstGeom>
                                      <a:solidFill>
                                        <a:srgbClr val="FFFFFF"/>
                                      </a:solidFill>
                                      <a:ln w="19050" cap="sq" cmpd="sng">
                                        <a:solidFill>
                                          <a:srgbClr val="000000"/>
                                        </a:solidFill>
                                        <a:prstDash val="sysDot"/>
                                        <a:miter/>
                                        <a:headEnd type="none" w="med" len="med"/>
                                        <a:tailEnd type="none" w="med" len="med"/>
                                      </a:ln>
                                    </wps:spPr>
                                    <wps:txbx>
                                      <w:txbxContent>
                                        <w:p w14:paraId="40DB2252">
                                          <w:pPr>
                                            <w:jc w:val="center"/>
                                            <w:rPr>
                                              <w:sz w:val="24"/>
                                            </w:rPr>
                                          </w:pPr>
                                          <w:r>
                                            <w:rPr>
                                              <w:rFonts w:hint="eastAsia"/>
                                              <w:sz w:val="24"/>
                                            </w:rPr>
                                            <w:t>G、N</w:t>
                                          </w:r>
                                        </w:p>
                                      </w:txbxContent>
                                    </wps:txbx>
                                    <wps:bodyPr wrap="square" lIns="0" tIns="0" rIns="0" bIns="0" upright="1">
                                      <a:spAutoFit/>
                                    </wps:bodyPr>
                                  </wps:wsp>
                                </wpg:grpSp>
                                <wpg:grpSp>
                                  <wpg:cNvPr id="291" name="组合 1435"/>
                                  <wpg:cNvGrpSpPr/>
                                  <wpg:grpSpPr>
                                    <a:xfrm rot="0">
                                      <a:off x="2527" y="566"/>
                                      <a:ext cx="1254" cy="720"/>
                                      <a:chOff x="1484" y="530"/>
                                      <a:chExt cx="1121" cy="728"/>
                                    </a:xfrm>
                                  </wpg:grpSpPr>
                                  <wps:wsp>
                                    <wps:cNvPr id="292" name="直线 1436"/>
                                    <wps:cNvCnPr/>
                                    <wps:spPr>
                                      <a:xfrm flipV="1">
                                        <a:off x="2054" y="880"/>
                                        <a:ext cx="1" cy="378"/>
                                      </a:xfrm>
                                      <a:prstGeom prst="line">
                                        <a:avLst/>
                                      </a:prstGeom>
                                      <a:ln w="19050" cap="sq" cmpd="sng">
                                        <a:solidFill>
                                          <a:srgbClr val="000000"/>
                                        </a:solidFill>
                                        <a:prstDash val="sysDot"/>
                                        <a:headEnd type="none" w="med" len="med"/>
                                        <a:tailEnd type="triangle" w="med" len="med"/>
                                      </a:ln>
                                    </wps:spPr>
                                    <wps:bodyPr upright="1"/>
                                  </wps:wsp>
                                  <wps:wsp>
                                    <wps:cNvPr id="293" name="文本框 1437"/>
                                    <wps:cNvSpPr txBox="1"/>
                                    <wps:spPr>
                                      <a:xfrm>
                                        <a:off x="1484" y="530"/>
                                        <a:ext cx="1121" cy="271"/>
                                      </a:xfrm>
                                      <a:prstGeom prst="rect">
                                        <a:avLst/>
                                      </a:prstGeom>
                                      <a:solidFill>
                                        <a:srgbClr val="FFFFFF"/>
                                      </a:solidFill>
                                      <a:ln w="19050" cap="sq" cmpd="sng">
                                        <a:solidFill>
                                          <a:srgbClr val="000000"/>
                                        </a:solidFill>
                                        <a:prstDash val="sysDot"/>
                                        <a:miter/>
                                        <a:headEnd type="none" w="med" len="med"/>
                                        <a:tailEnd type="none" w="med" len="med"/>
                                      </a:ln>
                                    </wps:spPr>
                                    <wps:txbx>
                                      <w:txbxContent>
                                        <w:p w14:paraId="47BD147D">
                                          <w:pPr>
                                            <w:jc w:val="center"/>
                                            <w:rPr>
                                              <w:sz w:val="24"/>
                                            </w:rPr>
                                          </w:pPr>
                                          <w:r>
                                            <w:rPr>
                                              <w:rFonts w:hint="eastAsia"/>
                                              <w:sz w:val="24"/>
                                            </w:rPr>
                                            <w:t>S</w:t>
                                          </w:r>
                                        </w:p>
                                      </w:txbxContent>
                                    </wps:txbx>
                                    <wps:bodyPr wrap="square" lIns="0" tIns="0" rIns="0" bIns="0" upright="1">
                                      <a:spAutoFit/>
                                    </wps:bodyPr>
                                  </wps:wsp>
                                </wpg:grpSp>
                                <wps:wsp>
                                  <wps:cNvPr id="294" name="直线 1428"/>
                                  <wps:cNvCnPr/>
                                  <wps:spPr>
                                    <a:xfrm flipH="1">
                                      <a:off x="6363" y="1586"/>
                                      <a:ext cx="10" cy="503"/>
                                    </a:xfrm>
                                    <a:prstGeom prst="line">
                                      <a:avLst/>
                                    </a:prstGeom>
                                    <a:ln w="19050" cap="flat" cmpd="sng">
                                      <a:solidFill>
                                        <a:srgbClr val="000000"/>
                                      </a:solidFill>
                                      <a:prstDash val="solid"/>
                                      <a:headEnd type="none" w="med" len="med"/>
                                      <a:tailEnd type="triangle" w="med" len="med"/>
                                    </a:ln>
                                  </wps:spPr>
                                  <wps:bodyPr upright="1"/>
                                </wps:wsp>
                                <wps:wsp>
                                  <wps:cNvPr id="295" name="文本框 1424"/>
                                  <wps:cNvSpPr txBox="1"/>
                                  <wps:spPr>
                                    <a:xfrm>
                                      <a:off x="5973" y="2098"/>
                                      <a:ext cx="895" cy="298"/>
                                    </a:xfrm>
                                    <a:prstGeom prst="rect">
                                      <a:avLst/>
                                    </a:prstGeom>
                                    <a:solidFill>
                                      <a:srgbClr val="FFFFFF"/>
                                    </a:solidFill>
                                    <a:ln w="19050" cap="flat" cmpd="sng">
                                      <a:solidFill>
                                        <a:srgbClr val="000000"/>
                                      </a:solidFill>
                                      <a:prstDash val="solid"/>
                                      <a:miter/>
                                      <a:headEnd type="none" w="med" len="med"/>
                                      <a:tailEnd type="none" w="med" len="med"/>
                                    </a:ln>
                                  </wps:spPr>
                                  <wps:txbx>
                                    <w:txbxContent>
                                      <w:p w14:paraId="436ED47D">
                                        <w:pPr>
                                          <w:jc w:val="center"/>
                                          <w:rPr>
                                            <w:rFonts w:hint="default" w:eastAsia="宋体"/>
                                            <w:b/>
                                            <w:bCs/>
                                            <w:sz w:val="24"/>
                                            <w:u w:val="single"/>
                                            <w:lang w:val="en-US" w:eastAsia="zh-CN"/>
                                          </w:rPr>
                                        </w:pPr>
                                        <w:r>
                                          <w:rPr>
                                            <w:rFonts w:hint="eastAsia"/>
                                            <w:b/>
                                            <w:bCs/>
                                            <w:sz w:val="24"/>
                                            <w:u w:val="single"/>
                                            <w:lang w:val="en-US" w:eastAsia="zh-CN"/>
                                          </w:rPr>
                                          <w:t>半成品</w:t>
                                        </w:r>
                                      </w:p>
                                    </w:txbxContent>
                                  </wps:txbx>
                                  <wps:bodyPr wrap="square" lIns="0" tIns="0" rIns="0" bIns="0" upright="1">
                                    <a:spAutoFit/>
                                  </wps:bodyPr>
                                </wps:wsp>
                                <wpg:grpSp>
                                  <wpg:cNvPr id="296" name="组合 1429"/>
                                  <wpg:cNvGrpSpPr/>
                                  <wpg:grpSpPr>
                                    <a:xfrm rot="0">
                                      <a:off x="5770" y="538"/>
                                      <a:ext cx="1254" cy="728"/>
                                      <a:chOff x="1951" y="530"/>
                                      <a:chExt cx="1121" cy="728"/>
                                    </a:xfrm>
                                  </wpg:grpSpPr>
                                  <wps:wsp>
                                    <wps:cNvPr id="297" name="直线 1430"/>
                                    <wps:cNvCnPr/>
                                    <wps:spPr>
                                      <a:xfrm flipV="1">
                                        <a:off x="2523" y="880"/>
                                        <a:ext cx="4" cy="378"/>
                                      </a:xfrm>
                                      <a:prstGeom prst="line">
                                        <a:avLst/>
                                      </a:prstGeom>
                                      <a:ln w="19050" cap="sq" cmpd="sng">
                                        <a:solidFill>
                                          <a:srgbClr val="000000"/>
                                        </a:solidFill>
                                        <a:prstDash val="sysDot"/>
                                        <a:headEnd type="none" w="med" len="med"/>
                                        <a:tailEnd type="triangle" w="med" len="med"/>
                                      </a:ln>
                                    </wps:spPr>
                                    <wps:bodyPr upright="1"/>
                                  </wps:wsp>
                                  <wps:wsp>
                                    <wps:cNvPr id="298" name="文本框 1431"/>
                                    <wps:cNvSpPr txBox="1"/>
                                    <wps:spPr>
                                      <a:xfrm>
                                        <a:off x="1951" y="530"/>
                                        <a:ext cx="1121" cy="298"/>
                                      </a:xfrm>
                                      <a:prstGeom prst="rect">
                                        <a:avLst/>
                                      </a:prstGeom>
                                      <a:solidFill>
                                        <a:srgbClr val="FFFFFF"/>
                                      </a:solidFill>
                                      <a:ln w="19050" cap="sq" cmpd="sng">
                                        <a:solidFill>
                                          <a:srgbClr val="000000"/>
                                        </a:solidFill>
                                        <a:prstDash val="sysDot"/>
                                        <a:miter/>
                                        <a:headEnd type="none" w="med" len="med"/>
                                        <a:tailEnd type="none" w="med" len="med"/>
                                      </a:ln>
                                    </wps:spPr>
                                    <wps:txbx>
                                      <w:txbxContent>
                                        <w:p w14:paraId="6DAAFE96">
                                          <w:pPr>
                                            <w:jc w:val="center"/>
                                            <w:rPr>
                                              <w:sz w:val="24"/>
                                            </w:rPr>
                                          </w:pPr>
                                          <w:r>
                                            <w:rPr>
                                              <w:rFonts w:hint="eastAsia"/>
                                              <w:sz w:val="24"/>
                                            </w:rPr>
                                            <w:t>G、N、S</w:t>
                                          </w:r>
                                        </w:p>
                                      </w:txbxContent>
                                    </wps:txbx>
                                    <wps:bodyPr wrap="square" lIns="0" tIns="0" rIns="0" bIns="0" upright="1">
                                      <a:spAutoFit/>
                                    </wps:bodyPr>
                                  </wps:wsp>
                                </wpg:grpSp>
                              </wpg:grpSp>
                            </wpg:wgp>
                          </wpc:wpc>
                        </a:graphicData>
                      </a:graphic>
                    </wp:inline>
                  </w:drawing>
                </mc:Choice>
                <mc:Fallback>
                  <w:pict>
                    <v:group id="画布 1416" o:spid="_x0000_s1026" o:spt="203" style="height:136.65pt;width:419.9pt;" coordsize="5332730,1735455" editas="canvas" o:gfxdata="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">
                      <o:lock v:ext="edit" aspectratio="f"/>
                      <v:shape id="画布 1416" o:spid="_x0000_s1026" style="position:absolute;left:0;top:0;height:1735455;width:5332730;" filled="f" stroked="t" coordsize="21600,21600" o:gfxdata="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">
                        <v:fill on="f" focussize="0,0"/>
                        <v:stroke weight="1.5pt" color="#000000" joinstyle="miter"/>
                        <v:imagedata o:title=""/>
                        <o:lock v:ext="edit" aspectratio="f"/>
                      </v:shape>
                      <v:shape id="文本框 1418" o:spid="_x0000_s1026" o:spt="202" type="#_x0000_t202" style="position:absolute;left:170815;top:1232535;height:499110;width:917575;" fillcolor="#FFFFFF" filled="t" stroked="f" coordsize="21600,21600" o:gfxdata="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k4By5dUAAAAFAQAADwAAAAAAAAABACAAAAAiAAAAZHJzL2Rvd25yZXYueG1sUEsBAhQAFAAAAAgA&#10;h07iQHDpMkLvAQAAwgMAAA4AAAAAAAAAAQAgAAAAJAEAAGRycy9lMm9Eb2MueG1sUEsFBgAAAAAG&#10;AAYAWQEAAIUFAAAAAA==&#10;">
                        <v:fill on="t" focussize="0,0"/>
                        <v:stroke on="f" weight="1.5pt"/>
                        <v:imagedata o:title=""/>
                        <o:lock v:ext="edit" aspectratio="f"/>
                        <v:textbox inset="0mm,0mm,0mm,0mm">
                          <w:txbxContent>
                            <w:p w14:paraId="5F1A4CC8">
                              <w:pPr>
                                <w:jc w:val="left"/>
                                <w:rPr>
                                  <w:b/>
                                  <w:bCs/>
                                  <w:sz w:val="18"/>
                                  <w:szCs w:val="18"/>
                                </w:rPr>
                              </w:pPr>
                              <w:r>
                                <w:rPr>
                                  <w:rFonts w:hint="eastAsia"/>
                                  <w:b/>
                                  <w:bCs/>
                                  <w:sz w:val="18"/>
                                  <w:szCs w:val="18"/>
                                </w:rPr>
                                <w:t>G  废气</w:t>
                              </w:r>
                            </w:p>
                            <w:p w14:paraId="25D9A543">
                              <w:pPr>
                                <w:jc w:val="left"/>
                                <w:rPr>
                                  <w:rFonts w:hint="eastAsia"/>
                                  <w:b/>
                                  <w:bCs/>
                                  <w:sz w:val="18"/>
                                  <w:szCs w:val="18"/>
                                </w:rPr>
                              </w:pPr>
                              <w:r>
                                <w:rPr>
                                  <w:rFonts w:hint="eastAsia"/>
                                  <w:b/>
                                  <w:bCs/>
                                  <w:sz w:val="18"/>
                                  <w:szCs w:val="18"/>
                                </w:rPr>
                                <w:t>N  噪声</w:t>
                              </w:r>
                            </w:p>
                            <w:p w14:paraId="79CAE35B">
                              <w:pPr>
                                <w:jc w:val="left"/>
                                <w:rPr>
                                  <w:b/>
                                  <w:bCs/>
                                  <w:sz w:val="18"/>
                                  <w:szCs w:val="18"/>
                                </w:rPr>
                              </w:pPr>
                              <w:r>
                                <w:rPr>
                                  <w:rFonts w:hint="eastAsia"/>
                                  <w:b/>
                                  <w:bCs/>
                                  <w:sz w:val="18"/>
                                  <w:szCs w:val="18"/>
                                </w:rPr>
                                <w:t>S  固体废物</w:t>
                              </w:r>
                            </w:p>
                          </w:txbxContent>
                        </v:textbox>
                      </v:shape>
                      <v:group id="组合 170" o:spid="_x0000_s1026" o:spt="203" style="position:absolute;left:370205;top:93980;height:1348740;width:4547870;" coordorigin="-137,538" coordsize="7162,1858" o:gfxdata="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">
                        <o:lock v:ext="edit" aspectratio="f"/>
                        <v:line id="直线 1426" o:spid="_x0000_s1026" o:spt="20" style="position:absolute;left:2198;top:1470;flip:y;height:0;width:567;" filled="f" stroked="t" coordsize="21600,21600" o:gfxdata="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5X92b4A&#10;AADcAAAADwAAAAAAAAABACAAAAAiAAAAZHJzL2Rvd25yZXYueG1sUEsBAhQAFAAAAAgAh07iQDMv&#10;BZ47AAAAOQAAABAAAAAAAAAAAQAgAAAADQEAAGRycy9zaGFwZXhtbC54bWxQSwUGAAAAAAYABgBb&#10;AQAAtwMAAAAA&#10;">
                          <v:fill on="f" focussize="0,0"/>
                          <v:stroke weight="1.5pt" color="#000000" joinstyle="round" endarrow="block"/>
                          <v:imagedata o:title=""/>
                          <o:lock v:ext="edit" aspectratio="f"/>
                        </v:line>
                        <v:group id="组合 169" o:spid="_x0000_s1026" o:spt="203" style="position:absolute;left:-137;top:538;height:1858;width:7162;" coordorigin="-137,538" coordsize="7162,1858" o:gfxdata="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uHLI/vwAAANwAAAAPAAAAAAAAAAEAIAAAACIAAABkcnMvZG93bnJldi54&#10;bWxQSwECFAAUAAAACACHTuJAMy8FnjsAAAA5AAAAFQAAAAAAAAABACAAAAAOAQAAZHJzL2dyb3Vw&#10;c2hhcGV4bWwueG1sUEsFBgAAAAAGAAYAYAEAAMsDAAAAAA==&#10;">
                          <o:lock v:ext="edit" aspectratio="f"/>
                          <v:shape id="文本框 1420" o:spid="_x0000_s1026" o:spt="202" type="#_x0000_t202" style="position:absolute;left:2728;top:1291;height:298;width:895;" fillcolor="#FFFFFF" filled="t" stroked="t" coordsize="21600,21600" o:gfxdata="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GOHuL4A&#10;AADcAAAADwAAAAAAAAABACAAAAAiAAAAZHJzL2Rvd25yZXYueG1sUEsBAhQAFAAAAAgAh07iQDMv&#10;BZ47AAAAOQAAABAAAAAAAAAAAQAgAAAADQEAAGRycy9zaGFwZXhtbC54bWxQSwUGAAAAAAYABgBb&#10;AQAAtwMAAAAA&#10;">
                            <v:fill on="t" focussize="0,0"/>
                            <v:stroke weight="1.5pt" color="#000000" joinstyle="miter"/>
                            <v:imagedata o:title=""/>
                            <o:lock v:ext="edit" aspectratio="f"/>
                            <v:textbox inset="0mm,0mm,0mm,0mm" style="mso-fit-shape-to-text:t;">
                              <w:txbxContent>
                                <w:p w14:paraId="7259D7F7">
                                  <w:pPr>
                                    <w:jc w:val="center"/>
                                    <w:rPr>
                                      <w:sz w:val="24"/>
                                    </w:rPr>
                                  </w:pPr>
                                  <w:r>
                                    <w:rPr>
                                      <w:rFonts w:hint="eastAsia"/>
                                      <w:sz w:val="24"/>
                                    </w:rPr>
                                    <w:t>挑色</w:t>
                                  </w:r>
                                </w:p>
                              </w:txbxContent>
                            </v:textbox>
                          </v:shape>
                          <v:shape id="文本框 1421" o:spid="_x0000_s1026" o:spt="202" type="#_x0000_t202" style="position:absolute;left:-137;top:1291;height:298;width:895;" fillcolor="#FFFFFF" filled="t" stroked="t" coordsize="21600,21600" o:gfxdata="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fwTyrgAAADcAAAA&#10;DwAAAAAAAAABACAAAAAiAAAAZHJzL2Rvd25yZXYueG1sUEsBAhQAFAAAAAgAh07iQDMvBZ47AAAA&#10;OQAAABAAAAAAAAAAAQAgAAAABwEAAGRycy9zaGFwZXhtbC54bWxQSwUGAAAAAAYABgBbAQAAsQMA&#10;AAAA&#10;">
                            <v:fill on="t" focussize="0,0"/>
                            <v:stroke weight="1.5pt" color="#000000" joinstyle="miter"/>
                            <v:imagedata o:title=""/>
                            <o:lock v:ext="edit" aspectratio="f"/>
                            <v:textbox inset="0mm,0mm,0mm,0mm" style="mso-fit-shape-to-text:t;">
                              <w:txbxContent>
                                <w:p w14:paraId="3527D013">
                                  <w:pPr>
                                    <w:jc w:val="center"/>
                                    <w:rPr>
                                      <w:sz w:val="24"/>
                                    </w:rPr>
                                  </w:pPr>
                                  <w:r>
                                    <w:rPr>
                                      <w:rFonts w:hint="eastAsia"/>
                                      <w:sz w:val="24"/>
                                    </w:rPr>
                                    <w:t>木材</w:t>
                                  </w:r>
                                </w:p>
                              </w:txbxContent>
                            </v:textbox>
                          </v:shape>
                          <v:shape id="文本框 1422" o:spid="_x0000_s1026" o:spt="202" type="#_x0000_t202" style="position:absolute;left:4206;top:1291;height:298;width:1210;" fillcolor="#FFFFFF" filled="t" stroked="t" coordsize="21600,21600" o:gfxdata="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C2Ub4A&#10;AADcAAAADwAAAAAAAAABACAAAAAiAAAAZHJzL2Rvd25yZXYueG1sUEsBAhQAFAAAAAgAh07iQDMv&#10;BZ47AAAAOQAAABAAAAAAAAAAAQAgAAAADQEAAGRycy9zaGFwZXhtbC54bWxQSwUGAAAAAAYABgBb&#10;AQAAtwMAAAAA&#10;">
                            <v:fill on="t" focussize="0,0"/>
                            <v:stroke weight="1.5pt" color="#000000" joinstyle="miter"/>
                            <v:imagedata o:title=""/>
                            <o:lock v:ext="edit" aspectratio="f"/>
                            <v:textbox inset="0mm,0mm,0mm,0mm" style="mso-fit-shape-to-text:t;">
                              <w:txbxContent>
                                <w:p w14:paraId="1C999B84">
                                  <w:pPr>
                                    <w:jc w:val="center"/>
                                    <w:rPr>
                                      <w:rFonts w:hint="eastAsia" w:eastAsia="宋体"/>
                                      <w:sz w:val="24"/>
                                      <w:lang w:val="en-US" w:eastAsia="zh-CN"/>
                                    </w:rPr>
                                  </w:pPr>
                                  <w:r>
                                    <w:rPr>
                                      <w:rFonts w:hint="eastAsia"/>
                                      <w:sz w:val="24"/>
                                    </w:rPr>
                                    <w:t>拼板</w:t>
                                  </w:r>
                                  <w:r>
                                    <w:rPr>
                                      <w:rFonts w:hint="eastAsia"/>
                                      <w:sz w:val="24"/>
                                      <w:lang w:val="en-US" w:eastAsia="zh-CN"/>
                                    </w:rPr>
                                    <w:t>热压</w:t>
                                  </w:r>
                                </w:p>
                              </w:txbxContent>
                            </v:textbox>
                          </v:shape>
                          <v:shape id="文本框 1423" o:spid="_x0000_s1026" o:spt="202" type="#_x0000_t202" style="position:absolute;left:1296;top:1291;height:298;width:895;" fillcolor="#FFFFFF" filled="t" stroked="t" coordsize="21600,21600" o:gfxdata="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X2/rugAAANwA&#10;AAAPAAAAAAAAAAEAIAAAACIAAABkcnMvZG93bnJldi54bWxQSwECFAAUAAAACACHTuJAMy8FnjsA&#10;AAA5AAAAEAAAAAAAAAABACAAAAAJAQAAZHJzL3NoYXBleG1sLnhtbFBLBQYAAAAABgAGAFsBAACz&#10;AwAAAAA=&#10;">
                            <v:fill on="t" focussize="0,0"/>
                            <v:stroke weight="1.5pt" color="#000000" joinstyle="miter"/>
                            <v:imagedata o:title=""/>
                            <o:lock v:ext="edit" aspectratio="f"/>
                            <v:textbox inset="0mm,0mm,0mm,0mm" style="mso-fit-shape-to-text:t;">
                              <w:txbxContent>
                                <w:p w14:paraId="3F671218">
                                  <w:pPr>
                                    <w:jc w:val="center"/>
                                    <w:rPr>
                                      <w:sz w:val="24"/>
                                    </w:rPr>
                                  </w:pPr>
                                  <w:r>
                                    <w:rPr>
                                      <w:rFonts w:hint="eastAsia"/>
                                      <w:sz w:val="24"/>
                                    </w:rPr>
                                    <w:t>开料</w:t>
                                  </w:r>
                                </w:p>
                              </w:txbxContent>
                            </v:textbox>
                          </v:shape>
                          <v:shape id="文本框 1424" o:spid="_x0000_s1026" o:spt="202" type="#_x0000_t202" style="position:absolute;left:5968;top:1291;height:298;width:895;" fillcolor="#FFFFFF" filled="t" stroked="t" coordsize="21600,21600" o:gfxdata="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RPKcL4A&#10;AADcAAAADwAAAAAAAAABACAAAAAiAAAAZHJzL2Rvd25yZXYueG1sUEsBAhQAFAAAAAgAh07iQDMv&#10;BZ47AAAAOQAAABAAAAAAAAAAAQAgAAAADQEAAGRycy9zaGFwZXhtbC54bWxQSwUGAAAAAAYABgBb&#10;AQAAtwMAAAAA&#10;">
                            <v:fill on="t" focussize="0,0"/>
                            <v:stroke weight="1.5pt" color="#000000" joinstyle="miter"/>
                            <v:imagedata o:title=""/>
                            <o:lock v:ext="edit" aspectratio="f"/>
                            <v:textbox inset="0mm,0mm,0mm,0mm" style="mso-fit-shape-to-text:t;">
                              <w:txbxContent>
                                <w:p w14:paraId="306A6F84">
                                  <w:pPr>
                                    <w:jc w:val="center"/>
                                    <w:rPr>
                                      <w:rFonts w:hint="eastAsia" w:eastAsia="宋体"/>
                                      <w:sz w:val="24"/>
                                      <w:lang w:val="en-US" w:eastAsia="zh-CN"/>
                                    </w:rPr>
                                  </w:pPr>
                                  <w:r>
                                    <w:rPr>
                                      <w:rFonts w:hint="eastAsia"/>
                                      <w:sz w:val="24"/>
                                      <w:lang w:val="en-US" w:eastAsia="zh-CN"/>
                                    </w:rPr>
                                    <w:t>砂光</w:t>
                                  </w:r>
                                </w:p>
                              </w:txbxContent>
                            </v:textbox>
                          </v:shape>
                          <v:line id="直线 1425" o:spid="_x0000_s1026" o:spt="20" style="position:absolute;left:751;top:1466;flip:y;height:8;width:567;" filled="f" stroked="t" coordsize="21600,21600" o:gfxdata="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WpFYq8AAAA&#10;3AAAAA8AAAAAAAAAAQAgAAAAIgAAAGRycy9kb3ducmV2LnhtbFBLAQIUABQAAAAIAIdO4kAzLwWe&#10;OwAAADkAAAAQAAAAAAAAAAEAIAAAAAsBAABkcnMvc2hhcGV4bWwueG1sUEsFBgAAAAAGAAYAWwEA&#10;ALUDAAAAAA==&#10;">
                            <v:fill on="f" focussize="0,0"/>
                            <v:stroke weight="1.5pt" color="#000000" joinstyle="round" endarrow="block"/>
                            <v:imagedata o:title=""/>
                            <o:lock v:ext="edit" aspectratio="f"/>
                          </v:line>
                          <v:line id="直线 1427" o:spid="_x0000_s1026" o:spt="20" style="position:absolute;left:3646;top:1470;flip:y;height:0;width:567;" filled="f" stroked="t" coordsize="21600,21600" o:gfxdata="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5bARvQAA&#10;ANwAAAAPAAAAAAAAAAEAIAAAACIAAABkcnMvZG93bnJldi54bWxQSwECFAAUAAAACACHTuJAMy8F&#10;njsAAAA5AAAAEAAAAAAAAAABACAAAAAMAQAAZHJzL3NoYXBleG1sLnhtbFBLBQYAAAAABgAGAFsB&#10;AAC2AwAAAAA=&#10;">
                            <v:fill on="f" focussize="0,0"/>
                            <v:stroke weight="1.5pt" color="#000000" joinstyle="round" endarrow="block"/>
                            <v:imagedata o:title=""/>
                            <o:lock v:ext="edit" aspectratio="f"/>
                          </v:line>
                          <v:line id="直线 1428" o:spid="_x0000_s1026" o:spt="20" style="position:absolute;left:5423;top:1457;flip:y;height:0;width:567;" filled="f" stroked="t" coordsize="21600,21600" o:gfxdata="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MKGW8AAAA&#10;3AAAAA8AAAAAAAAAAQAgAAAAIgAAAGRycy9kb3ducmV2LnhtbFBLAQIUABQAAAAIAIdO4kAzLwWe&#10;OwAAADkAAAAQAAAAAAAAAAEAIAAAAAsBAABkcnMvc2hhcGV4bWwueG1sUEsFBgAAAAAGAAYAWwEA&#10;ALUDAAAAAA==&#10;">
                            <v:fill on="f" focussize="0,0"/>
                            <v:stroke weight="1.5pt" color="#000000" joinstyle="round" endarrow="block"/>
                            <v:imagedata o:title=""/>
                            <o:lock v:ext="edit" aspectratio="f"/>
                          </v:line>
                          <v:group id="组合 1429" o:spid="_x0000_s1026" o:spt="203" style="position:absolute;left:1215;top:555;height:728;width:1254;" coordorigin="1484,530" coordsize="1121,728" o:gfxdata="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rG1xvvwAAANwAAAAPAAAAAAAAAAEAIAAAACIAAABkcnMvZG93bnJldi54&#10;bWxQSwECFAAUAAAACACHTuJAMy8FnjsAAAA5AAAAFQAAAAAAAAABACAAAAAOAQAAZHJzL2dyb3Vw&#10;c2hhcGV4bWwueG1sUEsFBgAAAAAGAAYAYAEAAMsDAAAAAA==&#10;">
                            <o:lock v:ext="edit" aspectratio="f"/>
                            <v:line id="直线 1430" o:spid="_x0000_s1026" o:spt="20" style="position:absolute;left:2054;top:880;flip:y;height:378;width:1;" filled="f" stroked="t" coordsize="21600,21600" o:gfxdata="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lde7b4A&#10;AADcAAAADwAAAAAAAAABACAAAAAiAAAAZHJzL2Rvd25yZXYueG1sUEsBAhQAFAAAAAgAh07iQDMv&#10;BZ47AAAAOQAAABAAAAAAAAAAAQAgAAAADQEAAGRycy9zaGFwZXhtbC54bWxQSwUGAAAAAAYABgBb&#10;AQAAtwMAAAAA&#10;">
                              <v:fill on="f" focussize="0,0"/>
                              <v:stroke weight="1.5pt" color="#000000" joinstyle="round" dashstyle="1 1" endcap="square" endarrow="block"/>
                              <v:imagedata o:title=""/>
                              <o:lock v:ext="edit" aspectratio="f"/>
                            </v:line>
                            <v:shape id="文本框 1431" o:spid="_x0000_s1026" o:spt="202" type="#_x0000_t202" style="position:absolute;left:1484;top:530;height:298;width:1121;" fillcolor="#FFFFFF" filled="t" stroked="t" coordsize="21600,21600" o:gfxdata="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6EbT28AAAA&#10;3AAAAA8AAAAAAAAAAQAgAAAAIgAAAGRycy9kb3ducmV2LnhtbFBLAQIUABQAAAAIAIdO4kAzLwWe&#10;OwAAADkAAAAQAAAAAAAAAAEAIAAAAAsBAABkcnMvc2hhcGV4bWwueG1sUEsFBgAAAAAGAAYAWwEA&#10;ALUDAAAAAA==&#10;">
                              <v:fill on="t" focussize="0,0"/>
                              <v:stroke weight="1.5pt" color="#000000" joinstyle="miter" dashstyle="1 1" endcap="square"/>
                              <v:imagedata o:title=""/>
                              <o:lock v:ext="edit" aspectratio="f"/>
                              <v:textbox inset="0mm,0mm,0mm,0mm" style="mso-fit-shape-to-text:t;">
                                <w:txbxContent>
                                  <w:p w14:paraId="5B231AEA">
                                    <w:pPr>
                                      <w:jc w:val="center"/>
                                      <w:rPr>
                                        <w:sz w:val="24"/>
                                      </w:rPr>
                                    </w:pPr>
                                    <w:r>
                                      <w:rPr>
                                        <w:rFonts w:hint="eastAsia"/>
                                        <w:sz w:val="24"/>
                                      </w:rPr>
                                      <w:t>G、N、S</w:t>
                                    </w:r>
                                  </w:p>
                                </w:txbxContent>
                              </v:textbox>
                            </v:shape>
                          </v:group>
                          <v:group id="组合 1432" o:spid="_x0000_s1026" o:spt="203" style="position:absolute;left:4184;top:555;height:720;width:1254;" coordorigin="1738,530" coordsize="1121,728" o:gfxdata="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DFGvPxuQAAANwAAAAPAAAAAAAAAAEAIAAAACIAAABkcnMvZG93bnJldi54bWxQSwEC&#10;FAAUAAAACACHTuJAMy8FnjsAAAA5AAAAFQAAAAAAAAABACAAAAAIAQAAZHJzL2dyb3Vwc2hhcGV4&#10;bWwueG1sUEsFBgAAAAAGAAYAYAEAAMUDAAAAAA==&#10;">
                            <o:lock v:ext="edit" aspectratio="f"/>
                            <v:line id="直线 1433" o:spid="_x0000_s1026" o:spt="20" style="position:absolute;left:2215;top:880;flip:y;height:378;width:4;" filled="f" stroked="t" coordsize="21600,21600" o:gfxdata="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Iyp+/&#10;AAAA3AAAAA8AAAAAAAAAAQAgAAAAIgAAAGRycy9kb3ducmV2LnhtbFBLAQIUABQAAAAIAIdO4kAz&#10;LwWeOwAAADkAAAAQAAAAAAAAAAEAIAAAAA4BAABkcnMvc2hhcGV4bWwueG1sUEsFBgAAAAAGAAYA&#10;WwEAALgDAAAAAA==&#10;">
                              <v:fill on="f" focussize="0,0"/>
                              <v:stroke weight="1.5pt" color="#000000" joinstyle="round" dashstyle="1 1" endcap="square" endarrow="block"/>
                              <v:imagedata o:title=""/>
                              <o:lock v:ext="edit" aspectratio="f"/>
                            </v:line>
                            <v:shape id="文本框 1434" o:spid="_x0000_s1026" o:spt="202" type="#_x0000_t202" style="position:absolute;left:1738;top:530;height:302;width:1121;" fillcolor="#FFFFFF" filled="t" stroked="t" coordsize="21600,21600" o:gfxdata="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S0Y5S5AAAA3AAA&#10;AA8AAAAAAAAAAQAgAAAAIgAAAGRycy9kb3ducmV2LnhtbFBLAQIUABQAAAAIAIdO4kAzLwWeOwAA&#10;ADkAAAAQAAAAAAAAAAEAIAAAAAgBAABkcnMvc2hhcGV4bWwueG1sUEsFBgAAAAAGAAYAWwEAALID&#10;AAAAAA==&#10;">
                              <v:fill on="t" focussize="0,0"/>
                              <v:stroke weight="1.5pt" color="#000000" joinstyle="miter" dashstyle="1 1" endcap="square"/>
                              <v:imagedata o:title=""/>
                              <o:lock v:ext="edit" aspectratio="f"/>
                              <v:textbox inset="0mm,0mm,0mm,0mm" style="mso-fit-shape-to-text:t;">
                                <w:txbxContent>
                                  <w:p w14:paraId="40DB2252">
                                    <w:pPr>
                                      <w:jc w:val="center"/>
                                      <w:rPr>
                                        <w:sz w:val="24"/>
                                      </w:rPr>
                                    </w:pPr>
                                    <w:r>
                                      <w:rPr>
                                        <w:rFonts w:hint="eastAsia"/>
                                        <w:sz w:val="24"/>
                                      </w:rPr>
                                      <w:t>G、N</w:t>
                                    </w:r>
                                  </w:p>
                                </w:txbxContent>
                              </v:textbox>
                            </v:shape>
                          </v:group>
                          <v:group id="组合 1435" o:spid="_x0000_s1026" o:spt="203" style="position:absolute;left:2527;top:566;height:720;width:1254;" coordorigin="1484,530" coordsize="1121,728" o:gfxdata="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R+cyxvwAAANwAAAAPAAAAAAAAAAEAIAAAACIAAABkcnMvZG93bnJldi54&#10;bWxQSwECFAAUAAAACACHTuJAMy8FnjsAAAA5AAAAFQAAAAAAAAABACAAAAAOAQAAZHJzL2dyb3Vw&#10;c2hhcGV4bWwueG1sUEsFBgAAAAAGAAYAYAEAAMsDAAAAAA==&#10;">
                            <o:lock v:ext="edit" aspectratio="f"/>
                            <v:line id="直线 1436" o:spid="_x0000_s1026" o:spt="20" style="position:absolute;left:2054;top:880;flip:y;height:378;width:1;" filled="f" stroked="t" coordsize="21600,21600" o:gfxdata="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1zjO/&#10;AAAA3AAAAA8AAAAAAAAAAQAgAAAAIgAAAGRycy9kb3ducmV2LnhtbFBLAQIUABQAAAAIAIdO4kAz&#10;LwWeOwAAADkAAAAQAAAAAAAAAAEAIAAAAA4BAABkcnMvc2hhcGV4bWwueG1sUEsFBgAAAAAGAAYA&#10;WwEAALgDAAAAAA==&#10;">
                              <v:fill on="f" focussize="0,0"/>
                              <v:stroke weight="1.5pt" color="#000000" joinstyle="round" dashstyle="1 1" endcap="square" endarrow="block"/>
                              <v:imagedata o:title=""/>
                              <o:lock v:ext="edit" aspectratio="f"/>
                            </v:line>
                            <v:shape id="文本框 1437" o:spid="_x0000_s1026" o:spt="202" type="#_x0000_t202" style="position:absolute;left:1484;top:530;height:271;width:1121;" fillcolor="#FFFFFF" filled="t" stroked="t" coordsize="21600,21600" o:gfxdata="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m/eO8AAAA&#10;3AAAAA8AAAAAAAAAAQAgAAAAIgAAAGRycy9kb3ducmV2LnhtbFBLAQIUABQAAAAIAIdO4kAzLwWe&#10;OwAAADkAAAAQAAAAAAAAAAEAIAAAAAsBAABkcnMvc2hhcGV4bWwueG1sUEsFBgAAAAAGAAYAWwEA&#10;ALUDAAAAAA==&#10;">
                              <v:fill on="t" focussize="0,0"/>
                              <v:stroke weight="1.5pt" color="#000000" joinstyle="miter" dashstyle="1 1" endcap="square"/>
                              <v:imagedata o:title=""/>
                              <o:lock v:ext="edit" aspectratio="f"/>
                              <v:textbox inset="0mm,0mm,0mm,0mm" style="mso-fit-shape-to-text:t;">
                                <w:txbxContent>
                                  <w:p w14:paraId="47BD147D">
                                    <w:pPr>
                                      <w:jc w:val="center"/>
                                      <w:rPr>
                                        <w:sz w:val="24"/>
                                      </w:rPr>
                                    </w:pPr>
                                    <w:r>
                                      <w:rPr>
                                        <w:rFonts w:hint="eastAsia"/>
                                        <w:sz w:val="24"/>
                                      </w:rPr>
                                      <w:t>S</w:t>
                                    </w:r>
                                  </w:p>
                                </w:txbxContent>
                              </v:textbox>
                            </v:shape>
                          </v:group>
                          <v:line id="直线 1428" o:spid="_x0000_s1026" o:spt="20" style="position:absolute;left:6363;top:1586;flip:x;height:503;width:10;" filled="f" stroked="t" coordsize="21600,21600" o:gfxdata="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DVvri8AAAA&#10;3AAAAA8AAAAAAAAAAQAgAAAAIgAAAGRycy9kb3ducmV2LnhtbFBLAQIUABQAAAAIAIdO4kAzLwWe&#10;OwAAADkAAAAQAAAAAAAAAAEAIAAAAAsBAABkcnMvc2hhcGV4bWwueG1sUEsFBgAAAAAGAAYAWwEA&#10;ALUDAAAAAA==&#10;">
                            <v:fill on="f" focussize="0,0"/>
                            <v:stroke weight="1.5pt" color="#000000" joinstyle="round" endarrow="block"/>
                            <v:imagedata o:title=""/>
                            <o:lock v:ext="edit" aspectratio="f"/>
                          </v:line>
                          <v:shape id="文本框 1424" o:spid="_x0000_s1026" o:spt="202" type="#_x0000_t202" style="position:absolute;left:5973;top:2098;height:298;width:895;" fillcolor="#FFFFFF" filled="t" stroked="t" coordsize="21600,21600" o:gfxdata="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Farr4A&#10;AADcAAAADwAAAAAAAAABACAAAAAiAAAAZHJzL2Rvd25yZXYueG1sUEsBAhQAFAAAAAgAh07iQDMv&#10;BZ47AAAAOQAAABAAAAAAAAAAAQAgAAAADQEAAGRycy9zaGFwZXhtbC54bWxQSwUGAAAAAAYABgBb&#10;AQAAtwMAAAAA&#10;">
                            <v:fill on="t" focussize="0,0"/>
                            <v:stroke weight="1.5pt" color="#000000" joinstyle="miter"/>
                            <v:imagedata o:title=""/>
                            <o:lock v:ext="edit" aspectratio="f"/>
                            <v:textbox inset="0mm,0mm,0mm,0mm" style="mso-fit-shape-to-text:t;">
                              <w:txbxContent>
                                <w:p w14:paraId="436ED47D">
                                  <w:pPr>
                                    <w:jc w:val="center"/>
                                    <w:rPr>
                                      <w:rFonts w:hint="default" w:eastAsia="宋体"/>
                                      <w:b/>
                                      <w:bCs/>
                                      <w:sz w:val="24"/>
                                      <w:u w:val="single"/>
                                      <w:lang w:val="en-US" w:eastAsia="zh-CN"/>
                                    </w:rPr>
                                  </w:pPr>
                                  <w:r>
                                    <w:rPr>
                                      <w:rFonts w:hint="eastAsia"/>
                                      <w:b/>
                                      <w:bCs/>
                                      <w:sz w:val="24"/>
                                      <w:u w:val="single"/>
                                      <w:lang w:val="en-US" w:eastAsia="zh-CN"/>
                                    </w:rPr>
                                    <w:t>半成品</w:t>
                                  </w:r>
                                </w:p>
                              </w:txbxContent>
                            </v:textbox>
                          </v:shape>
                          <v:group id="组合 1429" o:spid="_x0000_s1026" o:spt="203" style="position:absolute;left:5770;top:538;height:728;width:1254;" coordorigin="1951,530" coordsize="1121,728" o:gfxdata="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EFTFvwAAANwAAAAPAAAAAAAAAAEAIAAAACIAAABkcnMvZG93bnJldi54&#10;bWxQSwECFAAUAAAACACHTuJAMy8FnjsAAAA5AAAAFQAAAAAAAAABACAAAAAOAQAAZHJzL2dyb3Vw&#10;c2hhcGV4bWwueG1sUEsFBgAAAAAGAAYAYAEAAMsDAAAAAA==&#10;">
                            <o:lock v:ext="edit" aspectratio="f"/>
                            <v:line id="直线 1430" o:spid="_x0000_s1026" o:spt="20" style="position:absolute;left:2523;top:880;flip:y;height:378;width:4;" filled="f" stroked="t" coordsize="21600,21600" o:gfxdata="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Cbau/&#10;AAAA3AAAAA8AAAAAAAAAAQAgAAAAIgAAAGRycy9kb3ducmV2LnhtbFBLAQIUABQAAAAIAIdO4kAz&#10;LwWeOwAAADkAAAAQAAAAAAAAAAEAIAAAAA4BAABkcnMvc2hhcGV4bWwueG1sUEsFBgAAAAAGAAYA&#10;WwEAALgDAAAAAA==&#10;">
                              <v:fill on="f" focussize="0,0"/>
                              <v:stroke weight="1.5pt" color="#000000" joinstyle="round" dashstyle="1 1" endcap="square" endarrow="block"/>
                              <v:imagedata o:title=""/>
                              <o:lock v:ext="edit" aspectratio="f"/>
                            </v:line>
                            <v:shape id="文本框 1431" o:spid="_x0000_s1026" o:spt="202" type="#_x0000_t202" style="position:absolute;left:1951;top:530;height:298;width:1121;" fillcolor="#FFFFFF" filled="t" stroked="t" coordsize="21600,21600" o:gfxdata="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rCb5K5AAAA3AAA&#10;AA8AAAAAAAAAAQAgAAAAIgAAAGRycy9kb3ducmV2LnhtbFBLAQIUABQAAAAIAIdO4kAzLwWeOwAA&#10;ADkAAAAQAAAAAAAAAAEAIAAAAAgBAABkcnMvc2hhcGV4bWwueG1sUEsFBgAAAAAGAAYAWwEAALID&#10;AAAAAA==&#10;">
                              <v:fill on="t" focussize="0,0"/>
                              <v:stroke weight="1.5pt" color="#000000" joinstyle="miter" dashstyle="1 1" endcap="square"/>
                              <v:imagedata o:title=""/>
                              <o:lock v:ext="edit" aspectratio="f"/>
                              <v:textbox inset="0mm,0mm,0mm,0mm" style="mso-fit-shape-to-text:t;">
                                <w:txbxContent>
                                  <w:p w14:paraId="6DAAFE96">
                                    <w:pPr>
                                      <w:jc w:val="center"/>
                                      <w:rPr>
                                        <w:sz w:val="24"/>
                                      </w:rPr>
                                    </w:pPr>
                                    <w:r>
                                      <w:rPr>
                                        <w:rFonts w:hint="eastAsia"/>
                                        <w:sz w:val="24"/>
                                      </w:rPr>
                                      <w:t>G、N、S</w:t>
                                    </w:r>
                                  </w:p>
                                </w:txbxContent>
                              </v:textbox>
                            </v:shape>
                          </v:group>
                        </v:group>
                      </v:group>
                      <w10:wrap type="none"/>
                      <w10:anchorlock/>
                    </v:group>
                  </w:pict>
                </mc:Fallback>
              </mc:AlternateContent>
            </w:r>
          </w:p>
          <w:p w14:paraId="4464CECE">
            <w:pPr>
              <w:pStyle w:val="32"/>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jc w:val="center"/>
              <w:textAlignment w:val="auto"/>
              <w:outlineLvl w:val="9"/>
              <w:rPr>
                <w:rFonts w:hint="eastAsia"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图4  三车间</w:t>
            </w:r>
            <w:r>
              <w:rPr>
                <w:rFonts w:hint="default" w:ascii="Times New Roman" w:hAnsi="Times New Roman" w:cs="Times New Roman" w:eastAsiaTheme="minorEastAsia"/>
                <w:color w:val="auto"/>
                <w:sz w:val="24"/>
                <w:szCs w:val="24"/>
                <w:lang w:val="en-US" w:eastAsia="zh-CN"/>
              </w:rPr>
              <w:t>生产工艺流程图及产污环节</w:t>
            </w:r>
          </w:p>
          <w:p w14:paraId="5954F585">
            <w:pPr>
              <w:keepNext w:val="0"/>
              <w:keepLines w:val="0"/>
              <w:pageBreakBefore w:val="0"/>
              <w:widowControl w:val="0"/>
              <w:kinsoku/>
              <w:wordWrap/>
              <w:overflowPunct/>
              <w:topLinePunct w:val="0"/>
              <w:autoSpaceDE/>
              <w:autoSpaceDN/>
              <w:bidi w:val="0"/>
              <w:adjustRightInd/>
              <w:spacing w:line="360" w:lineRule="auto"/>
              <w:ind w:firstLine="480" w:firstLineChars="200"/>
              <w:jc w:val="left"/>
              <w:textAlignment w:val="auto"/>
              <w:rPr>
                <w:rFonts w:hint="eastAsia"/>
                <w:color w:val="auto"/>
                <w:sz w:val="24"/>
              </w:rPr>
            </w:pPr>
            <w:r>
              <w:rPr>
                <w:rFonts w:hint="eastAsia"/>
                <w:color w:val="auto"/>
                <w:sz w:val="24"/>
              </w:rPr>
              <w:t>生产工艺流程简述：</w:t>
            </w:r>
          </w:p>
          <w:p w14:paraId="79F72FA1">
            <w:pPr>
              <w:keepNext w:val="0"/>
              <w:keepLines w:val="0"/>
              <w:pageBreakBefore w:val="0"/>
              <w:widowControl w:val="0"/>
              <w:kinsoku/>
              <w:wordWrap/>
              <w:overflowPunct/>
              <w:topLinePunct w:val="0"/>
              <w:autoSpaceDE/>
              <w:autoSpaceDN/>
              <w:bidi w:val="0"/>
              <w:adjustRightInd/>
              <w:spacing w:line="360" w:lineRule="auto"/>
              <w:ind w:firstLine="480" w:firstLineChars="200"/>
              <w:jc w:val="left"/>
              <w:textAlignment w:val="auto"/>
              <w:rPr>
                <w:color w:val="auto"/>
                <w:sz w:val="24"/>
              </w:rPr>
            </w:pPr>
            <w:r>
              <w:rPr>
                <w:rFonts w:hint="eastAsia"/>
                <w:color w:val="auto"/>
                <w:sz w:val="24"/>
              </w:rPr>
              <w:t>本项目三车间主要生产原木拼板，生产工序主要包括：开料、挑色、拼板等工序</w:t>
            </w:r>
            <w:r>
              <w:rPr>
                <w:color w:val="auto"/>
                <w:sz w:val="24"/>
              </w:rPr>
              <w:t>。</w:t>
            </w:r>
          </w:p>
          <w:p w14:paraId="2059BB84">
            <w:pPr>
              <w:pStyle w:val="46"/>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jc w:val="left"/>
              <w:textAlignment w:val="auto"/>
              <w:rPr>
                <w:b w:val="0"/>
                <w:bCs/>
                <w:color w:val="auto"/>
                <w:sz w:val="24"/>
                <w:szCs w:val="24"/>
              </w:rPr>
            </w:pPr>
            <w:r>
              <w:rPr>
                <w:rFonts w:hint="eastAsia"/>
                <w:b w:val="0"/>
                <w:bCs/>
                <w:color w:val="auto"/>
                <w:sz w:val="24"/>
                <w:szCs w:val="24"/>
              </w:rPr>
              <w:t>（1）开料：</w:t>
            </w:r>
            <w:r>
              <w:rPr>
                <w:b w:val="0"/>
                <w:bCs/>
                <w:color w:val="auto"/>
                <w:sz w:val="24"/>
                <w:szCs w:val="24"/>
              </w:rPr>
              <w:t>使用推台锯</w:t>
            </w:r>
            <w:r>
              <w:rPr>
                <w:rFonts w:hint="eastAsia"/>
                <w:b w:val="0"/>
                <w:bCs/>
                <w:color w:val="auto"/>
                <w:sz w:val="24"/>
                <w:szCs w:val="24"/>
              </w:rPr>
              <w:t>、</w:t>
            </w:r>
            <w:r>
              <w:rPr>
                <w:b w:val="0"/>
                <w:bCs/>
                <w:color w:val="auto"/>
                <w:sz w:val="24"/>
                <w:szCs w:val="24"/>
              </w:rPr>
              <w:t>截锯开料</w:t>
            </w:r>
            <w:r>
              <w:rPr>
                <w:rFonts w:hint="eastAsia"/>
                <w:b w:val="0"/>
                <w:bCs/>
                <w:color w:val="auto"/>
                <w:sz w:val="24"/>
                <w:szCs w:val="24"/>
              </w:rPr>
              <w:t>等</w:t>
            </w:r>
            <w:r>
              <w:rPr>
                <w:b w:val="0"/>
                <w:bCs/>
                <w:color w:val="auto"/>
                <w:sz w:val="24"/>
                <w:szCs w:val="24"/>
              </w:rPr>
              <w:t>设备对</w:t>
            </w:r>
            <w:r>
              <w:rPr>
                <w:rFonts w:hint="eastAsia"/>
                <w:b w:val="0"/>
                <w:bCs/>
                <w:color w:val="auto"/>
                <w:sz w:val="24"/>
                <w:szCs w:val="24"/>
              </w:rPr>
              <w:t>木材</w:t>
            </w:r>
            <w:r>
              <w:rPr>
                <w:b w:val="0"/>
                <w:bCs/>
                <w:color w:val="auto"/>
                <w:sz w:val="24"/>
                <w:szCs w:val="24"/>
              </w:rPr>
              <w:t>进行开料处理，该过程会产生粉尘</w:t>
            </w:r>
            <w:r>
              <w:rPr>
                <w:rFonts w:hint="eastAsia"/>
                <w:b w:val="0"/>
                <w:bCs/>
                <w:color w:val="auto"/>
                <w:sz w:val="24"/>
                <w:szCs w:val="24"/>
              </w:rPr>
              <w:t>、设备噪声及废边角料</w:t>
            </w:r>
            <w:r>
              <w:rPr>
                <w:b w:val="0"/>
                <w:bCs/>
                <w:color w:val="auto"/>
                <w:sz w:val="24"/>
                <w:szCs w:val="24"/>
              </w:rPr>
              <w:t>。</w:t>
            </w:r>
          </w:p>
          <w:p w14:paraId="1A62C717">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color w:val="auto"/>
                <w:sz w:val="24"/>
              </w:rPr>
            </w:pPr>
            <w:r>
              <w:rPr>
                <w:rFonts w:hint="eastAsia"/>
                <w:color w:val="auto"/>
                <w:sz w:val="24"/>
              </w:rPr>
              <w:t>（2）挑色：开料后的木料采用人工方式挑选合适的颜色进行排板，该过程会产生部分不合格木料。</w:t>
            </w:r>
          </w:p>
          <w:p w14:paraId="74845DEE">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color w:val="auto"/>
                <w:sz w:val="24"/>
              </w:rPr>
            </w:pPr>
            <w:r>
              <w:rPr>
                <w:rFonts w:hint="eastAsia"/>
                <w:color w:val="auto"/>
                <w:sz w:val="24"/>
              </w:rPr>
              <w:t>（3）拼板</w:t>
            </w:r>
            <w:r>
              <w:rPr>
                <w:rFonts w:hint="eastAsia"/>
                <w:b/>
                <w:bCs/>
                <w:color w:val="auto"/>
                <w:sz w:val="24"/>
                <w:u w:val="single"/>
                <w:lang w:val="en-US" w:eastAsia="zh-CN"/>
              </w:rPr>
              <w:t>热压</w:t>
            </w:r>
            <w:r>
              <w:rPr>
                <w:rFonts w:hint="eastAsia"/>
                <w:color w:val="auto"/>
                <w:sz w:val="24"/>
              </w:rPr>
              <w:t>：排板后进行人工涂胶</w:t>
            </w:r>
            <w:r>
              <w:rPr>
                <w:color w:val="auto"/>
                <w:sz w:val="24"/>
              </w:rPr>
              <w:t>，</w:t>
            </w:r>
            <w:r>
              <w:rPr>
                <w:rFonts w:hint="eastAsia"/>
                <w:color w:val="auto"/>
                <w:sz w:val="24"/>
              </w:rPr>
              <w:t>然后进行</w:t>
            </w:r>
            <w:r>
              <w:rPr>
                <w:color w:val="auto"/>
                <w:sz w:val="24"/>
              </w:rPr>
              <w:t>拼接，使用白乳胶对木板进行</w:t>
            </w:r>
            <w:r>
              <w:rPr>
                <w:rFonts w:hint="eastAsia"/>
                <w:color w:val="auto"/>
                <w:sz w:val="24"/>
              </w:rPr>
              <w:t>热压</w:t>
            </w:r>
            <w:r>
              <w:rPr>
                <w:color w:val="auto"/>
                <w:sz w:val="24"/>
              </w:rPr>
              <w:t>压合，该过程</w:t>
            </w:r>
            <w:r>
              <w:rPr>
                <w:rFonts w:hint="eastAsia"/>
                <w:b/>
                <w:bCs/>
                <w:color w:val="auto"/>
                <w:sz w:val="24"/>
                <w:u w:val="single"/>
                <w:lang w:val="en-US" w:eastAsia="zh-CN"/>
              </w:rPr>
              <w:t>二次密闭，</w:t>
            </w:r>
            <w:r>
              <w:rPr>
                <w:color w:val="auto"/>
                <w:sz w:val="24"/>
              </w:rPr>
              <w:t>会产生</w:t>
            </w:r>
            <w:r>
              <w:rPr>
                <w:rFonts w:hint="eastAsia"/>
                <w:color w:val="auto"/>
                <w:sz w:val="24"/>
              </w:rPr>
              <w:t>有机废气、设备噪声及废边角料</w:t>
            </w:r>
            <w:r>
              <w:rPr>
                <w:color w:val="auto"/>
                <w:sz w:val="24"/>
              </w:rPr>
              <w:t>。</w:t>
            </w:r>
          </w:p>
          <w:p w14:paraId="3E568A44">
            <w:pPr>
              <w:keepNext w:val="0"/>
              <w:keepLines w:val="0"/>
              <w:pageBreakBefore w:val="0"/>
              <w:widowControl w:val="0"/>
              <w:kinsoku/>
              <w:wordWrap/>
              <w:overflowPunct/>
              <w:topLinePunct w:val="0"/>
              <w:autoSpaceDE/>
              <w:autoSpaceDN/>
              <w:bidi w:val="0"/>
              <w:adjustRightInd/>
              <w:spacing w:line="360" w:lineRule="auto"/>
              <w:ind w:firstLine="480" w:firstLineChars="200"/>
              <w:jc w:val="left"/>
              <w:textAlignment w:val="auto"/>
              <w:rPr>
                <w:rFonts w:hint="eastAsia"/>
                <w:color w:val="auto"/>
                <w:sz w:val="24"/>
                <w:highlight w:val="none"/>
                <w:lang w:val="en-US" w:eastAsia="zh-CN"/>
              </w:rPr>
            </w:pPr>
            <w:r>
              <w:rPr>
                <w:rFonts w:hint="eastAsia"/>
                <w:color w:val="auto"/>
                <w:sz w:val="24"/>
                <w:highlight w:val="none"/>
                <w:lang w:val="en-US" w:eastAsia="zh-CN"/>
              </w:rPr>
              <w:t>（4）砂光：采用砂光机对拼接后的木板表面进行砂光去除木材表面的毛刺，降低表面粗糙度，同时平整木材表面，清除机械或手工加工时表面留下的各种加工痕迹，该过程会产生粉尘、设备噪声及废边角料。</w:t>
            </w:r>
          </w:p>
          <w:p w14:paraId="48C15749">
            <w:pPr>
              <w:keepNext w:val="0"/>
              <w:keepLines w:val="0"/>
              <w:pageBreakBefore w:val="0"/>
              <w:widowControl w:val="0"/>
              <w:kinsoku/>
              <w:wordWrap/>
              <w:overflowPunct/>
              <w:topLinePunct w:val="0"/>
              <w:autoSpaceDE/>
              <w:autoSpaceDN/>
              <w:bidi w:val="0"/>
              <w:adjustRightInd/>
              <w:snapToGrid w:val="0"/>
              <w:spacing w:line="360" w:lineRule="auto"/>
              <w:ind w:firstLine="482" w:firstLineChars="200"/>
              <w:jc w:val="left"/>
              <w:textAlignment w:val="auto"/>
              <w:rPr>
                <w:color w:val="auto"/>
                <w:sz w:val="24"/>
              </w:rPr>
            </w:pPr>
            <w:r>
              <w:rPr>
                <w:rFonts w:hint="eastAsia"/>
                <w:b/>
                <w:bCs/>
                <w:color w:val="auto"/>
                <w:sz w:val="24"/>
                <w:u w:val="single"/>
              </w:rPr>
              <w:t>（</w:t>
            </w:r>
            <w:r>
              <w:rPr>
                <w:rFonts w:hint="eastAsia"/>
                <w:b/>
                <w:bCs/>
                <w:color w:val="auto"/>
                <w:sz w:val="24"/>
                <w:u w:val="single"/>
                <w:lang w:val="en-US" w:eastAsia="zh-CN"/>
              </w:rPr>
              <w:t>5</w:t>
            </w:r>
            <w:r>
              <w:rPr>
                <w:rFonts w:hint="eastAsia"/>
                <w:b/>
                <w:bCs/>
                <w:color w:val="auto"/>
                <w:sz w:val="24"/>
                <w:u w:val="single"/>
              </w:rPr>
              <w:t>）</w:t>
            </w:r>
            <w:r>
              <w:rPr>
                <w:rFonts w:hint="eastAsia"/>
                <w:b/>
                <w:bCs/>
                <w:color w:val="auto"/>
                <w:sz w:val="24"/>
                <w:u w:val="single"/>
                <w:lang w:val="en-US" w:eastAsia="zh-CN"/>
              </w:rPr>
              <w:t>半</w:t>
            </w:r>
            <w:r>
              <w:rPr>
                <w:rFonts w:hint="eastAsia"/>
                <w:b/>
                <w:bCs/>
                <w:color w:val="auto"/>
                <w:sz w:val="24"/>
                <w:u w:val="single"/>
              </w:rPr>
              <w:t>成品：精砂后的木板即为</w:t>
            </w:r>
            <w:r>
              <w:rPr>
                <w:rFonts w:hint="eastAsia"/>
                <w:b/>
                <w:bCs/>
                <w:color w:val="auto"/>
                <w:sz w:val="24"/>
                <w:u w:val="single"/>
                <w:lang w:val="en-US" w:eastAsia="zh-CN"/>
              </w:rPr>
              <w:t>半</w:t>
            </w:r>
            <w:r>
              <w:rPr>
                <w:rFonts w:hint="eastAsia"/>
                <w:b/>
                <w:bCs/>
                <w:color w:val="auto"/>
                <w:sz w:val="24"/>
                <w:u w:val="single"/>
              </w:rPr>
              <w:t>成品</w:t>
            </w:r>
            <w:r>
              <w:rPr>
                <w:rFonts w:hint="eastAsia"/>
                <w:b/>
                <w:bCs/>
                <w:color w:val="auto"/>
                <w:sz w:val="24"/>
                <w:u w:val="single"/>
                <w:lang w:eastAsia="zh-CN"/>
              </w:rPr>
              <w:t>，</w:t>
            </w:r>
            <w:r>
              <w:rPr>
                <w:rFonts w:hint="eastAsia"/>
                <w:b/>
                <w:bCs/>
                <w:color w:val="auto"/>
                <w:sz w:val="24"/>
                <w:u w:val="single"/>
                <w:lang w:val="en-US" w:eastAsia="zh-CN"/>
              </w:rPr>
              <w:t>用于一车间加工</w:t>
            </w:r>
            <w:r>
              <w:rPr>
                <w:rFonts w:hint="eastAsia"/>
                <w:color w:val="auto"/>
                <w:sz w:val="24"/>
              </w:rPr>
              <w:t>。</w:t>
            </w:r>
          </w:p>
          <w:p w14:paraId="7E40DAF0">
            <w:pPr>
              <w:pStyle w:val="46"/>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eastAsia" w:ascii="Times New Roman" w:hAnsi="Arial Unicode MS" w:eastAsia="宋体" w:cs="Times New Roman"/>
                <w:b/>
                <w:color w:val="auto"/>
                <w:kern w:val="2"/>
                <w:sz w:val="24"/>
                <w:szCs w:val="24"/>
                <w:lang w:val="en-US" w:eastAsia="zh-CN" w:bidi="ar-SA"/>
              </w:rPr>
            </w:pPr>
            <w:r>
              <w:rPr>
                <w:rFonts w:hint="eastAsia" w:ascii="Times New Roman" w:hAnsi="Arial Unicode MS" w:eastAsia="宋体" w:cs="Times New Roman"/>
                <w:b/>
                <w:color w:val="auto"/>
                <w:kern w:val="2"/>
                <w:sz w:val="24"/>
                <w:szCs w:val="24"/>
                <w:lang w:val="en-US" w:eastAsia="zh-CN" w:bidi="ar-SA"/>
              </w:rPr>
              <w:t>本项目产污环节一览表</w:t>
            </w:r>
          </w:p>
          <w:tbl>
            <w:tblPr>
              <w:tblStyle w:val="25"/>
              <w:tblW w:w="83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4"/>
              <w:gridCol w:w="774"/>
              <w:gridCol w:w="1629"/>
              <w:gridCol w:w="1549"/>
              <w:gridCol w:w="1888"/>
              <w:gridCol w:w="2181"/>
            </w:tblGrid>
            <w:tr w14:paraId="60B34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767" w:type="dxa"/>
                  <w:gridSpan w:val="3"/>
                  <w:vAlign w:val="center"/>
                </w:tcPr>
                <w:p w14:paraId="0106BE4C">
                  <w:pPr>
                    <w:jc w:val="center"/>
                    <w:rPr>
                      <w:b/>
                      <w:bCs/>
                      <w:color w:val="auto"/>
                      <w:szCs w:val="21"/>
                    </w:rPr>
                  </w:pPr>
                  <w:r>
                    <w:rPr>
                      <w:b/>
                      <w:bCs/>
                      <w:color w:val="auto"/>
                      <w:szCs w:val="21"/>
                    </w:rPr>
                    <w:t>类别</w:t>
                  </w:r>
                </w:p>
              </w:tc>
              <w:tc>
                <w:tcPr>
                  <w:tcW w:w="1549" w:type="dxa"/>
                  <w:vAlign w:val="center"/>
                </w:tcPr>
                <w:p w14:paraId="60A9275D">
                  <w:pPr>
                    <w:jc w:val="center"/>
                    <w:rPr>
                      <w:b/>
                      <w:bCs/>
                      <w:color w:val="auto"/>
                      <w:szCs w:val="21"/>
                    </w:rPr>
                  </w:pPr>
                  <w:r>
                    <w:rPr>
                      <w:b/>
                      <w:bCs/>
                      <w:color w:val="auto"/>
                      <w:szCs w:val="21"/>
                    </w:rPr>
                    <w:t>产生工序</w:t>
                  </w:r>
                </w:p>
              </w:tc>
              <w:tc>
                <w:tcPr>
                  <w:tcW w:w="1888" w:type="dxa"/>
                  <w:vAlign w:val="center"/>
                </w:tcPr>
                <w:p w14:paraId="4E82C412">
                  <w:pPr>
                    <w:jc w:val="center"/>
                    <w:rPr>
                      <w:b/>
                      <w:bCs/>
                      <w:color w:val="auto"/>
                      <w:szCs w:val="21"/>
                    </w:rPr>
                  </w:pPr>
                  <w:r>
                    <w:rPr>
                      <w:b/>
                      <w:bCs/>
                      <w:color w:val="auto"/>
                      <w:szCs w:val="21"/>
                    </w:rPr>
                    <w:t>主要污染物</w:t>
                  </w:r>
                </w:p>
              </w:tc>
              <w:tc>
                <w:tcPr>
                  <w:tcW w:w="2181" w:type="dxa"/>
                  <w:vAlign w:val="center"/>
                </w:tcPr>
                <w:p w14:paraId="16F33DDA">
                  <w:pPr>
                    <w:jc w:val="center"/>
                    <w:rPr>
                      <w:b/>
                      <w:bCs/>
                      <w:color w:val="auto"/>
                      <w:szCs w:val="21"/>
                    </w:rPr>
                  </w:pPr>
                  <w:r>
                    <w:rPr>
                      <w:b/>
                      <w:bCs/>
                      <w:color w:val="auto"/>
                      <w:szCs w:val="21"/>
                    </w:rPr>
                    <w:t>治理措施</w:t>
                  </w:r>
                </w:p>
              </w:tc>
            </w:tr>
            <w:tr w14:paraId="7E372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364" w:type="dxa"/>
                  <w:vMerge w:val="restart"/>
                  <w:vAlign w:val="center"/>
                </w:tcPr>
                <w:p w14:paraId="2F07E0E2">
                  <w:pPr>
                    <w:jc w:val="center"/>
                    <w:rPr>
                      <w:color w:val="auto"/>
                      <w:szCs w:val="21"/>
                    </w:rPr>
                  </w:pPr>
                  <w:r>
                    <w:rPr>
                      <w:color w:val="auto"/>
                      <w:szCs w:val="21"/>
                    </w:rPr>
                    <w:t>废气</w:t>
                  </w:r>
                </w:p>
              </w:tc>
              <w:tc>
                <w:tcPr>
                  <w:tcW w:w="774" w:type="dxa"/>
                  <w:vMerge w:val="restart"/>
                  <w:vAlign w:val="center"/>
                </w:tcPr>
                <w:p w14:paraId="280B078F">
                  <w:pPr>
                    <w:jc w:val="center"/>
                    <w:rPr>
                      <w:color w:val="auto"/>
                      <w:szCs w:val="21"/>
                    </w:rPr>
                  </w:pPr>
                  <w:r>
                    <w:rPr>
                      <w:rFonts w:hint="eastAsia"/>
                      <w:color w:val="auto"/>
                      <w:szCs w:val="21"/>
                    </w:rPr>
                    <w:t>一车间</w:t>
                  </w:r>
                </w:p>
              </w:tc>
              <w:tc>
                <w:tcPr>
                  <w:tcW w:w="1629" w:type="dxa"/>
                  <w:tcBorders>
                    <w:bottom w:val="single" w:color="000000" w:sz="4" w:space="0"/>
                  </w:tcBorders>
                  <w:vAlign w:val="center"/>
                </w:tcPr>
                <w:p w14:paraId="255000B1">
                  <w:pPr>
                    <w:jc w:val="center"/>
                    <w:rPr>
                      <w:rFonts w:hint="eastAsia"/>
                      <w:b/>
                      <w:bCs/>
                      <w:color w:val="auto"/>
                      <w:szCs w:val="21"/>
                      <w:u w:val="single"/>
                    </w:rPr>
                  </w:pPr>
                  <w:r>
                    <w:rPr>
                      <w:rFonts w:hint="eastAsia"/>
                      <w:b/>
                      <w:bCs/>
                      <w:color w:val="auto"/>
                      <w:szCs w:val="21"/>
                      <w:u w:val="single"/>
                      <w:lang w:val="en-US" w:eastAsia="zh-CN"/>
                    </w:rPr>
                    <w:t>开料</w:t>
                  </w:r>
                  <w:r>
                    <w:rPr>
                      <w:rFonts w:hint="eastAsia"/>
                      <w:b/>
                      <w:bCs/>
                      <w:color w:val="auto"/>
                      <w:szCs w:val="21"/>
                      <w:u w:val="single"/>
                    </w:rPr>
                    <w:t>、砂光、</w:t>
                  </w:r>
                  <w:r>
                    <w:rPr>
                      <w:rFonts w:hint="eastAsia"/>
                      <w:b/>
                      <w:bCs/>
                      <w:color w:val="auto"/>
                      <w:szCs w:val="21"/>
                      <w:u w:val="single"/>
                      <w:lang w:val="en-US" w:eastAsia="zh-CN"/>
                    </w:rPr>
                    <w:t>铣型、排钻、打孔、</w:t>
                  </w:r>
                  <w:r>
                    <w:rPr>
                      <w:rFonts w:hint="eastAsia"/>
                      <w:b/>
                      <w:bCs/>
                      <w:color w:val="auto"/>
                      <w:szCs w:val="21"/>
                      <w:u w:val="single"/>
                    </w:rPr>
                    <w:t>打磨</w:t>
                  </w:r>
                </w:p>
              </w:tc>
              <w:tc>
                <w:tcPr>
                  <w:tcW w:w="1549" w:type="dxa"/>
                  <w:tcBorders>
                    <w:bottom w:val="single" w:color="000000" w:sz="4" w:space="0"/>
                  </w:tcBorders>
                  <w:vAlign w:val="center"/>
                </w:tcPr>
                <w:p w14:paraId="6258B2DE">
                  <w:pPr>
                    <w:jc w:val="center"/>
                    <w:rPr>
                      <w:b/>
                      <w:bCs/>
                      <w:color w:val="auto"/>
                      <w:szCs w:val="21"/>
                      <w:u w:val="single"/>
                    </w:rPr>
                  </w:pPr>
                  <w:r>
                    <w:rPr>
                      <w:rFonts w:hint="eastAsia"/>
                      <w:b/>
                      <w:bCs/>
                      <w:color w:val="auto"/>
                      <w:szCs w:val="21"/>
                      <w:u w:val="single"/>
                      <w:lang w:val="en-US" w:eastAsia="zh-CN"/>
                    </w:rPr>
                    <w:t>开料</w:t>
                  </w:r>
                  <w:r>
                    <w:rPr>
                      <w:rFonts w:hint="eastAsia"/>
                      <w:b/>
                      <w:bCs/>
                      <w:color w:val="auto"/>
                      <w:szCs w:val="21"/>
                      <w:u w:val="single"/>
                    </w:rPr>
                    <w:t>、砂光、</w:t>
                  </w:r>
                  <w:r>
                    <w:rPr>
                      <w:rFonts w:hint="eastAsia"/>
                      <w:b/>
                      <w:bCs/>
                      <w:color w:val="auto"/>
                      <w:szCs w:val="21"/>
                      <w:u w:val="single"/>
                      <w:lang w:val="en-US" w:eastAsia="zh-CN"/>
                    </w:rPr>
                    <w:t>铣型、排钻、打孔、</w:t>
                  </w:r>
                  <w:r>
                    <w:rPr>
                      <w:rFonts w:hint="eastAsia"/>
                      <w:b/>
                      <w:bCs/>
                      <w:color w:val="auto"/>
                      <w:szCs w:val="21"/>
                      <w:u w:val="single"/>
                    </w:rPr>
                    <w:t>打磨</w:t>
                  </w:r>
                </w:p>
              </w:tc>
              <w:tc>
                <w:tcPr>
                  <w:tcW w:w="1888" w:type="dxa"/>
                  <w:tcBorders>
                    <w:bottom w:val="single" w:color="000000" w:sz="4" w:space="0"/>
                  </w:tcBorders>
                  <w:vAlign w:val="center"/>
                </w:tcPr>
                <w:p w14:paraId="4E9C645C">
                  <w:pPr>
                    <w:jc w:val="center"/>
                    <w:rPr>
                      <w:color w:val="auto"/>
                      <w:szCs w:val="21"/>
                    </w:rPr>
                  </w:pPr>
                  <w:r>
                    <w:rPr>
                      <w:color w:val="auto"/>
                      <w:szCs w:val="21"/>
                    </w:rPr>
                    <w:t>颗粒物</w:t>
                  </w:r>
                </w:p>
              </w:tc>
              <w:tc>
                <w:tcPr>
                  <w:tcW w:w="2181" w:type="dxa"/>
                  <w:tcBorders>
                    <w:bottom w:val="single" w:color="000000" w:sz="4" w:space="0"/>
                  </w:tcBorders>
                  <w:vAlign w:val="center"/>
                </w:tcPr>
                <w:p w14:paraId="6AE1D915">
                  <w:pPr>
                    <w:jc w:val="center"/>
                    <w:rPr>
                      <w:rFonts w:hint="default" w:eastAsia="宋体"/>
                      <w:color w:val="auto"/>
                      <w:szCs w:val="21"/>
                      <w:lang w:val="en-US" w:eastAsia="zh-CN"/>
                    </w:rPr>
                  </w:pPr>
                  <w:r>
                    <w:rPr>
                      <w:color w:val="auto"/>
                      <w:szCs w:val="21"/>
                    </w:rPr>
                    <w:t>集气罩+</w:t>
                  </w:r>
                  <w:r>
                    <w:rPr>
                      <w:rFonts w:hint="eastAsia"/>
                      <w:b/>
                      <w:bCs/>
                      <w:color w:val="auto"/>
                      <w:szCs w:val="21"/>
                      <w:u w:val="single"/>
                      <w:lang w:val="en-US" w:eastAsia="zh-CN"/>
                    </w:rPr>
                    <w:t>中央除尘器</w:t>
                  </w:r>
                  <w:r>
                    <w:rPr>
                      <w:color w:val="auto"/>
                      <w:szCs w:val="21"/>
                    </w:rPr>
                    <w:t>+15m排气筒（DA001）</w:t>
                  </w:r>
                </w:p>
              </w:tc>
            </w:tr>
            <w:tr w14:paraId="18905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364" w:type="dxa"/>
                  <w:vMerge w:val="continue"/>
                  <w:vAlign w:val="center"/>
                </w:tcPr>
                <w:p w14:paraId="29311BC9">
                  <w:pPr>
                    <w:jc w:val="center"/>
                    <w:rPr>
                      <w:color w:val="auto"/>
                      <w:szCs w:val="21"/>
                    </w:rPr>
                  </w:pPr>
                </w:p>
              </w:tc>
              <w:tc>
                <w:tcPr>
                  <w:tcW w:w="774" w:type="dxa"/>
                  <w:vMerge w:val="continue"/>
                  <w:vAlign w:val="center"/>
                </w:tcPr>
                <w:p w14:paraId="63CB3331">
                  <w:pPr>
                    <w:jc w:val="center"/>
                    <w:rPr>
                      <w:rFonts w:hint="eastAsia"/>
                      <w:color w:val="auto"/>
                      <w:szCs w:val="21"/>
                    </w:rPr>
                  </w:pPr>
                </w:p>
              </w:tc>
              <w:tc>
                <w:tcPr>
                  <w:tcW w:w="1629" w:type="dxa"/>
                  <w:tcBorders>
                    <w:bottom w:val="single" w:color="000000" w:sz="4" w:space="0"/>
                  </w:tcBorders>
                  <w:vAlign w:val="center"/>
                </w:tcPr>
                <w:p w14:paraId="39F847FE">
                  <w:pPr>
                    <w:jc w:val="center"/>
                    <w:rPr>
                      <w:rFonts w:hint="eastAsia"/>
                      <w:b/>
                      <w:bCs/>
                      <w:color w:val="auto"/>
                      <w:szCs w:val="21"/>
                      <w:u w:val="single"/>
                      <w:lang w:val="en-US" w:eastAsia="zh-CN"/>
                    </w:rPr>
                  </w:pPr>
                  <w:r>
                    <w:rPr>
                      <w:rFonts w:hint="eastAsia"/>
                      <w:b/>
                      <w:bCs/>
                      <w:color w:val="auto"/>
                      <w:szCs w:val="21"/>
                      <w:u w:val="single"/>
                    </w:rPr>
                    <w:t>油磨粉尘</w:t>
                  </w:r>
                </w:p>
              </w:tc>
              <w:tc>
                <w:tcPr>
                  <w:tcW w:w="1549" w:type="dxa"/>
                  <w:tcBorders>
                    <w:bottom w:val="single" w:color="000000" w:sz="4" w:space="0"/>
                  </w:tcBorders>
                  <w:vAlign w:val="center"/>
                </w:tcPr>
                <w:p w14:paraId="65E3B632">
                  <w:pPr>
                    <w:jc w:val="center"/>
                    <w:rPr>
                      <w:rFonts w:hint="eastAsia"/>
                      <w:b/>
                      <w:bCs/>
                      <w:color w:val="auto"/>
                      <w:szCs w:val="21"/>
                      <w:u w:val="single"/>
                      <w:lang w:val="en-US" w:eastAsia="zh-CN"/>
                    </w:rPr>
                  </w:pPr>
                  <w:r>
                    <w:rPr>
                      <w:rFonts w:hint="eastAsia"/>
                      <w:b/>
                      <w:bCs/>
                      <w:color w:val="auto"/>
                      <w:szCs w:val="21"/>
                      <w:u w:val="single"/>
                    </w:rPr>
                    <w:t>油磨</w:t>
                  </w:r>
                </w:p>
              </w:tc>
              <w:tc>
                <w:tcPr>
                  <w:tcW w:w="1888" w:type="dxa"/>
                  <w:tcBorders>
                    <w:bottom w:val="single" w:color="000000" w:sz="4" w:space="0"/>
                  </w:tcBorders>
                  <w:vAlign w:val="center"/>
                </w:tcPr>
                <w:p w14:paraId="198B8A7B">
                  <w:pPr>
                    <w:jc w:val="center"/>
                    <w:rPr>
                      <w:rFonts w:hint="eastAsia" w:eastAsia="宋体"/>
                      <w:color w:val="auto"/>
                      <w:szCs w:val="21"/>
                      <w:lang w:val="en-US" w:eastAsia="zh-CN"/>
                    </w:rPr>
                  </w:pPr>
                  <w:r>
                    <w:rPr>
                      <w:rFonts w:hint="eastAsia"/>
                      <w:color w:val="auto"/>
                      <w:szCs w:val="21"/>
                      <w:lang w:val="en-US" w:eastAsia="zh-CN"/>
                    </w:rPr>
                    <w:t>颗粒物</w:t>
                  </w:r>
                </w:p>
              </w:tc>
              <w:tc>
                <w:tcPr>
                  <w:tcW w:w="2181" w:type="dxa"/>
                  <w:tcBorders>
                    <w:bottom w:val="single" w:color="000000" w:sz="4" w:space="0"/>
                  </w:tcBorders>
                  <w:vAlign w:val="center"/>
                </w:tcPr>
                <w:p w14:paraId="4F0C716F">
                  <w:pPr>
                    <w:jc w:val="center"/>
                    <w:rPr>
                      <w:color w:val="auto"/>
                      <w:szCs w:val="21"/>
                    </w:rPr>
                  </w:pPr>
                  <w:r>
                    <w:rPr>
                      <w:rFonts w:hint="eastAsia"/>
                      <w:b/>
                      <w:bCs/>
                      <w:color w:val="auto"/>
                      <w:szCs w:val="21"/>
                      <w:highlight w:val="none"/>
                      <w:u w:val="single"/>
                      <w:lang w:val="en-US" w:eastAsia="zh-CN"/>
                    </w:rPr>
                    <w:t>经干式打磨柜自带除尘器处理后无组织排放于车间内，处理收集的油磨粉尘作危险废物处理</w:t>
                  </w:r>
                </w:p>
              </w:tc>
            </w:tr>
            <w:tr w14:paraId="4506C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364" w:type="dxa"/>
                  <w:vMerge w:val="continue"/>
                  <w:vAlign w:val="center"/>
                </w:tcPr>
                <w:p w14:paraId="1FC9277E">
                  <w:pPr>
                    <w:jc w:val="center"/>
                    <w:rPr>
                      <w:color w:val="auto"/>
                      <w:szCs w:val="21"/>
                    </w:rPr>
                  </w:pPr>
                </w:p>
              </w:tc>
              <w:tc>
                <w:tcPr>
                  <w:tcW w:w="774" w:type="dxa"/>
                  <w:vMerge w:val="continue"/>
                  <w:tcBorders>
                    <w:bottom w:val="single" w:color="000000" w:sz="4" w:space="0"/>
                  </w:tcBorders>
                  <w:vAlign w:val="center"/>
                </w:tcPr>
                <w:p w14:paraId="2E34307F">
                  <w:pPr>
                    <w:jc w:val="center"/>
                    <w:rPr>
                      <w:color w:val="auto"/>
                      <w:szCs w:val="21"/>
                    </w:rPr>
                  </w:pPr>
                </w:p>
              </w:tc>
              <w:tc>
                <w:tcPr>
                  <w:tcW w:w="1629" w:type="dxa"/>
                  <w:tcBorders>
                    <w:bottom w:val="single" w:color="000000" w:sz="4" w:space="0"/>
                  </w:tcBorders>
                  <w:vAlign w:val="center"/>
                </w:tcPr>
                <w:p w14:paraId="34A0D97A">
                  <w:pPr>
                    <w:jc w:val="center"/>
                    <w:rPr>
                      <w:b/>
                      <w:bCs/>
                      <w:color w:val="auto"/>
                      <w:szCs w:val="21"/>
                      <w:u w:val="single"/>
                    </w:rPr>
                  </w:pPr>
                  <w:r>
                    <w:rPr>
                      <w:rFonts w:hint="eastAsia"/>
                      <w:b/>
                      <w:bCs/>
                      <w:color w:val="auto"/>
                      <w:szCs w:val="21"/>
                      <w:u w:val="single"/>
                      <w:lang w:val="en-US" w:eastAsia="zh-CN"/>
                    </w:rPr>
                    <w:t>拼板</w:t>
                  </w:r>
                  <w:r>
                    <w:rPr>
                      <w:rFonts w:hint="eastAsia"/>
                      <w:b/>
                      <w:bCs/>
                      <w:color w:val="auto"/>
                      <w:szCs w:val="21"/>
                      <w:u w:val="single"/>
                    </w:rPr>
                    <w:t>、</w:t>
                  </w:r>
                  <w:r>
                    <w:rPr>
                      <w:rFonts w:hint="eastAsia"/>
                      <w:b/>
                      <w:bCs/>
                      <w:color w:val="auto"/>
                      <w:szCs w:val="21"/>
                      <w:u w:val="single"/>
                      <w:lang w:val="en-US" w:eastAsia="zh-CN"/>
                    </w:rPr>
                    <w:t>冷压、贴皮</w:t>
                  </w:r>
                  <w:r>
                    <w:rPr>
                      <w:rFonts w:hint="eastAsia"/>
                      <w:b/>
                      <w:bCs/>
                      <w:color w:val="auto"/>
                      <w:szCs w:val="21"/>
                      <w:u w:val="single"/>
                    </w:rPr>
                    <w:t>热压、</w:t>
                  </w:r>
                  <w:r>
                    <w:rPr>
                      <w:rFonts w:hint="eastAsia"/>
                      <w:b/>
                      <w:bCs/>
                      <w:color w:val="auto"/>
                      <w:szCs w:val="21"/>
                      <w:u w:val="single"/>
                      <w:lang w:val="en-US" w:eastAsia="zh-CN"/>
                    </w:rPr>
                    <w:t>封边、</w:t>
                  </w:r>
                  <w:r>
                    <w:rPr>
                      <w:rFonts w:hint="eastAsia"/>
                      <w:b/>
                      <w:bCs/>
                      <w:color w:val="auto"/>
                      <w:szCs w:val="21"/>
                      <w:u w:val="single"/>
                    </w:rPr>
                    <w:t>调漆、喷漆</w:t>
                  </w:r>
                  <w:r>
                    <w:rPr>
                      <w:rFonts w:hint="eastAsia"/>
                      <w:b/>
                      <w:bCs/>
                      <w:color w:val="auto"/>
                      <w:szCs w:val="21"/>
                      <w:u w:val="single"/>
                      <w:lang w:eastAsia="zh-CN"/>
                    </w:rPr>
                    <w:t>、</w:t>
                  </w:r>
                  <w:r>
                    <w:rPr>
                      <w:rFonts w:hint="eastAsia"/>
                      <w:b/>
                      <w:bCs/>
                      <w:color w:val="auto"/>
                      <w:szCs w:val="21"/>
                      <w:u w:val="single"/>
                      <w:lang w:val="en-US" w:eastAsia="zh-CN"/>
                    </w:rPr>
                    <w:t>晾干</w:t>
                  </w:r>
                  <w:r>
                    <w:rPr>
                      <w:rFonts w:hint="eastAsia"/>
                      <w:b/>
                      <w:bCs/>
                      <w:color w:val="auto"/>
                      <w:szCs w:val="21"/>
                      <w:u w:val="single"/>
                    </w:rPr>
                    <w:t>、修色废气</w:t>
                  </w:r>
                </w:p>
              </w:tc>
              <w:tc>
                <w:tcPr>
                  <w:tcW w:w="1549" w:type="dxa"/>
                  <w:tcBorders>
                    <w:bottom w:val="single" w:color="000000" w:sz="4" w:space="0"/>
                  </w:tcBorders>
                  <w:vAlign w:val="center"/>
                </w:tcPr>
                <w:p w14:paraId="219AEA62">
                  <w:pPr>
                    <w:jc w:val="center"/>
                    <w:rPr>
                      <w:b/>
                      <w:bCs/>
                      <w:color w:val="auto"/>
                      <w:szCs w:val="21"/>
                      <w:u w:val="single"/>
                    </w:rPr>
                  </w:pPr>
                  <w:r>
                    <w:rPr>
                      <w:rFonts w:hint="eastAsia"/>
                      <w:b/>
                      <w:bCs/>
                      <w:color w:val="auto"/>
                      <w:szCs w:val="21"/>
                      <w:u w:val="single"/>
                      <w:lang w:val="en-US" w:eastAsia="zh-CN"/>
                    </w:rPr>
                    <w:t>拼板</w:t>
                  </w:r>
                  <w:r>
                    <w:rPr>
                      <w:rFonts w:hint="eastAsia"/>
                      <w:b/>
                      <w:bCs/>
                      <w:color w:val="auto"/>
                      <w:szCs w:val="21"/>
                      <w:u w:val="single"/>
                    </w:rPr>
                    <w:t>、</w:t>
                  </w:r>
                  <w:r>
                    <w:rPr>
                      <w:rFonts w:hint="eastAsia"/>
                      <w:b/>
                      <w:bCs/>
                      <w:color w:val="auto"/>
                      <w:szCs w:val="21"/>
                      <w:u w:val="single"/>
                      <w:lang w:val="en-US" w:eastAsia="zh-CN"/>
                    </w:rPr>
                    <w:t>冷压、贴皮</w:t>
                  </w:r>
                  <w:r>
                    <w:rPr>
                      <w:rFonts w:hint="eastAsia"/>
                      <w:b/>
                      <w:bCs/>
                      <w:color w:val="auto"/>
                      <w:szCs w:val="21"/>
                      <w:u w:val="single"/>
                    </w:rPr>
                    <w:t>热压、</w:t>
                  </w:r>
                  <w:r>
                    <w:rPr>
                      <w:rFonts w:hint="eastAsia"/>
                      <w:b/>
                      <w:bCs/>
                      <w:color w:val="auto"/>
                      <w:szCs w:val="21"/>
                      <w:u w:val="single"/>
                      <w:lang w:val="en-US" w:eastAsia="zh-CN"/>
                    </w:rPr>
                    <w:t>封边、</w:t>
                  </w:r>
                  <w:r>
                    <w:rPr>
                      <w:rFonts w:hint="eastAsia"/>
                      <w:b/>
                      <w:bCs/>
                      <w:color w:val="auto"/>
                      <w:szCs w:val="21"/>
                      <w:u w:val="single"/>
                    </w:rPr>
                    <w:t>调漆、喷漆</w:t>
                  </w:r>
                  <w:r>
                    <w:rPr>
                      <w:rFonts w:hint="eastAsia"/>
                      <w:b/>
                      <w:bCs/>
                      <w:color w:val="auto"/>
                      <w:szCs w:val="21"/>
                      <w:u w:val="single"/>
                      <w:lang w:eastAsia="zh-CN"/>
                    </w:rPr>
                    <w:t>、</w:t>
                  </w:r>
                  <w:r>
                    <w:rPr>
                      <w:rFonts w:hint="eastAsia"/>
                      <w:b/>
                      <w:bCs/>
                      <w:color w:val="auto"/>
                      <w:szCs w:val="21"/>
                      <w:u w:val="single"/>
                      <w:lang w:val="en-US" w:eastAsia="zh-CN"/>
                    </w:rPr>
                    <w:t>晾干</w:t>
                  </w:r>
                  <w:r>
                    <w:rPr>
                      <w:rFonts w:hint="eastAsia"/>
                      <w:b/>
                      <w:bCs/>
                      <w:color w:val="auto"/>
                      <w:szCs w:val="21"/>
                      <w:u w:val="single"/>
                    </w:rPr>
                    <w:t>、修色</w:t>
                  </w:r>
                </w:p>
              </w:tc>
              <w:tc>
                <w:tcPr>
                  <w:tcW w:w="1888" w:type="dxa"/>
                  <w:tcBorders>
                    <w:bottom w:val="single" w:color="000000" w:sz="4" w:space="0"/>
                  </w:tcBorders>
                  <w:vAlign w:val="center"/>
                </w:tcPr>
                <w:p w14:paraId="1A30DB0E">
                  <w:pPr>
                    <w:widowControl/>
                    <w:jc w:val="center"/>
                    <w:textAlignment w:val="center"/>
                    <w:rPr>
                      <w:color w:val="auto"/>
                      <w:szCs w:val="21"/>
                    </w:rPr>
                  </w:pPr>
                  <w:r>
                    <w:rPr>
                      <w:rFonts w:hint="eastAsia"/>
                      <w:color w:val="auto"/>
                      <w:szCs w:val="21"/>
                    </w:rPr>
                    <w:t>颗粒物、甲苯、二甲苯、非甲烷总烃</w:t>
                  </w:r>
                </w:p>
              </w:tc>
              <w:tc>
                <w:tcPr>
                  <w:tcW w:w="2181" w:type="dxa"/>
                  <w:tcBorders>
                    <w:bottom w:val="single" w:color="000000" w:sz="4" w:space="0"/>
                  </w:tcBorders>
                  <w:vAlign w:val="center"/>
                </w:tcPr>
                <w:p w14:paraId="42243254">
                  <w:pPr>
                    <w:jc w:val="center"/>
                    <w:rPr>
                      <w:color w:val="auto"/>
                      <w:szCs w:val="21"/>
                    </w:rPr>
                  </w:pPr>
                  <w:r>
                    <w:rPr>
                      <w:rFonts w:hint="eastAsia"/>
                      <w:color w:val="auto"/>
                      <w:kern w:val="0"/>
                      <w:szCs w:val="21"/>
                    </w:rPr>
                    <w:t>密闭喷漆房（过滤棉吸附）、集气罩+活性炭吸附</w:t>
                  </w:r>
                  <w:r>
                    <w:rPr>
                      <w:rFonts w:hint="eastAsia"/>
                      <w:color w:val="auto"/>
                      <w:kern w:val="0"/>
                      <w:szCs w:val="21"/>
                      <w:lang w:eastAsia="zh-CN"/>
                    </w:rPr>
                    <w:t>、</w:t>
                  </w:r>
                  <w:r>
                    <w:rPr>
                      <w:rFonts w:hint="eastAsia"/>
                      <w:color w:val="auto"/>
                      <w:kern w:val="0"/>
                      <w:szCs w:val="21"/>
                    </w:rPr>
                    <w:t>脱附+</w:t>
                  </w:r>
                  <w:r>
                    <w:rPr>
                      <w:rFonts w:hint="eastAsia"/>
                      <w:color w:val="auto"/>
                      <w:kern w:val="0"/>
                      <w:szCs w:val="21"/>
                      <w:lang w:val="en-US" w:eastAsia="zh-CN"/>
                    </w:rPr>
                    <w:t>催化燃烧</w:t>
                  </w:r>
                  <w:r>
                    <w:rPr>
                      <w:color w:val="auto"/>
                      <w:szCs w:val="21"/>
                    </w:rPr>
                    <w:t>+15m排气筒（DA00</w:t>
                  </w:r>
                  <w:r>
                    <w:rPr>
                      <w:rFonts w:hint="eastAsia"/>
                      <w:color w:val="auto"/>
                      <w:szCs w:val="21"/>
                    </w:rPr>
                    <w:t>4</w:t>
                  </w:r>
                  <w:r>
                    <w:rPr>
                      <w:color w:val="auto"/>
                      <w:szCs w:val="21"/>
                    </w:rPr>
                    <w:t>）</w:t>
                  </w:r>
                </w:p>
              </w:tc>
            </w:tr>
            <w:tr w14:paraId="3FAAC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4" w:type="dxa"/>
                  <w:vMerge w:val="continue"/>
                  <w:vAlign w:val="center"/>
                </w:tcPr>
                <w:p w14:paraId="59328C44">
                  <w:pPr>
                    <w:jc w:val="center"/>
                    <w:rPr>
                      <w:color w:val="auto"/>
                      <w:szCs w:val="21"/>
                    </w:rPr>
                  </w:pPr>
                </w:p>
              </w:tc>
              <w:tc>
                <w:tcPr>
                  <w:tcW w:w="774" w:type="dxa"/>
                  <w:vMerge w:val="restart"/>
                  <w:vAlign w:val="center"/>
                </w:tcPr>
                <w:p w14:paraId="36B4F481">
                  <w:pPr>
                    <w:jc w:val="center"/>
                    <w:rPr>
                      <w:color w:val="auto"/>
                      <w:szCs w:val="21"/>
                    </w:rPr>
                  </w:pPr>
                  <w:r>
                    <w:rPr>
                      <w:rFonts w:hint="eastAsia"/>
                      <w:color w:val="auto"/>
                      <w:szCs w:val="21"/>
                    </w:rPr>
                    <w:t>二车间</w:t>
                  </w:r>
                </w:p>
              </w:tc>
              <w:tc>
                <w:tcPr>
                  <w:tcW w:w="1629" w:type="dxa"/>
                  <w:vAlign w:val="center"/>
                </w:tcPr>
                <w:p w14:paraId="602E0A4C">
                  <w:pPr>
                    <w:jc w:val="center"/>
                    <w:rPr>
                      <w:color w:val="auto"/>
                      <w:szCs w:val="21"/>
                    </w:rPr>
                  </w:pPr>
                  <w:r>
                    <w:rPr>
                      <w:rFonts w:hint="eastAsia"/>
                      <w:color w:val="auto"/>
                      <w:szCs w:val="21"/>
                    </w:rPr>
                    <w:t>砂光粉尘</w:t>
                  </w:r>
                </w:p>
              </w:tc>
              <w:tc>
                <w:tcPr>
                  <w:tcW w:w="1549" w:type="dxa"/>
                  <w:vAlign w:val="center"/>
                </w:tcPr>
                <w:p w14:paraId="3E736066">
                  <w:pPr>
                    <w:jc w:val="center"/>
                    <w:rPr>
                      <w:color w:val="auto"/>
                      <w:szCs w:val="21"/>
                    </w:rPr>
                  </w:pPr>
                  <w:r>
                    <w:rPr>
                      <w:rFonts w:hint="eastAsia"/>
                      <w:color w:val="auto"/>
                      <w:szCs w:val="21"/>
                    </w:rPr>
                    <w:t>砂光</w:t>
                  </w:r>
                </w:p>
              </w:tc>
              <w:tc>
                <w:tcPr>
                  <w:tcW w:w="1888" w:type="dxa"/>
                  <w:vAlign w:val="center"/>
                </w:tcPr>
                <w:p w14:paraId="782722FA">
                  <w:pPr>
                    <w:jc w:val="center"/>
                    <w:rPr>
                      <w:rFonts w:hint="eastAsia"/>
                      <w:color w:val="auto"/>
                      <w:szCs w:val="21"/>
                    </w:rPr>
                  </w:pPr>
                  <w:r>
                    <w:rPr>
                      <w:color w:val="auto"/>
                      <w:szCs w:val="21"/>
                    </w:rPr>
                    <w:t>颗粒物</w:t>
                  </w:r>
                </w:p>
              </w:tc>
              <w:tc>
                <w:tcPr>
                  <w:tcW w:w="2181" w:type="dxa"/>
                  <w:vAlign w:val="center"/>
                </w:tcPr>
                <w:p w14:paraId="0E18F5B4">
                  <w:pPr>
                    <w:jc w:val="center"/>
                    <w:rPr>
                      <w:color w:val="auto"/>
                      <w:szCs w:val="21"/>
                    </w:rPr>
                  </w:pPr>
                  <w:r>
                    <w:rPr>
                      <w:color w:val="auto"/>
                      <w:szCs w:val="21"/>
                    </w:rPr>
                    <w:t>集气罩+</w:t>
                  </w:r>
                  <w:r>
                    <w:rPr>
                      <w:rFonts w:hint="eastAsia"/>
                      <w:b/>
                      <w:bCs/>
                      <w:color w:val="auto"/>
                      <w:szCs w:val="21"/>
                      <w:u w:val="single"/>
                      <w:lang w:val="en-US" w:eastAsia="zh-CN"/>
                    </w:rPr>
                    <w:t>中央除尘器</w:t>
                  </w:r>
                  <w:r>
                    <w:rPr>
                      <w:color w:val="auto"/>
                      <w:szCs w:val="21"/>
                    </w:rPr>
                    <w:t>+15m排气筒（DA00</w:t>
                  </w:r>
                  <w:r>
                    <w:rPr>
                      <w:rFonts w:hint="eastAsia"/>
                      <w:color w:val="auto"/>
                      <w:szCs w:val="21"/>
                    </w:rPr>
                    <w:t>2</w:t>
                  </w:r>
                  <w:r>
                    <w:rPr>
                      <w:color w:val="auto"/>
                      <w:szCs w:val="21"/>
                    </w:rPr>
                    <w:t>）</w:t>
                  </w:r>
                </w:p>
              </w:tc>
            </w:tr>
            <w:tr w14:paraId="04AAB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364" w:type="dxa"/>
                  <w:vMerge w:val="continue"/>
                  <w:vAlign w:val="center"/>
                </w:tcPr>
                <w:p w14:paraId="618576E1">
                  <w:pPr>
                    <w:jc w:val="center"/>
                    <w:rPr>
                      <w:color w:val="auto"/>
                      <w:szCs w:val="21"/>
                    </w:rPr>
                  </w:pPr>
                </w:p>
              </w:tc>
              <w:tc>
                <w:tcPr>
                  <w:tcW w:w="774" w:type="dxa"/>
                  <w:vMerge w:val="continue"/>
                  <w:vAlign w:val="center"/>
                </w:tcPr>
                <w:p w14:paraId="5C1B9415">
                  <w:pPr>
                    <w:jc w:val="center"/>
                    <w:rPr>
                      <w:color w:val="auto"/>
                      <w:szCs w:val="21"/>
                    </w:rPr>
                  </w:pPr>
                </w:p>
              </w:tc>
              <w:tc>
                <w:tcPr>
                  <w:tcW w:w="1629" w:type="dxa"/>
                  <w:vAlign w:val="center"/>
                </w:tcPr>
                <w:p w14:paraId="078FAE4A">
                  <w:pPr>
                    <w:jc w:val="center"/>
                    <w:rPr>
                      <w:color w:val="auto"/>
                      <w:szCs w:val="21"/>
                    </w:rPr>
                  </w:pPr>
                  <w:r>
                    <w:rPr>
                      <w:rFonts w:hint="eastAsia"/>
                      <w:b/>
                      <w:bCs/>
                      <w:color w:val="auto"/>
                      <w:szCs w:val="21"/>
                      <w:u w:val="single"/>
                      <w:lang w:val="en-US" w:eastAsia="zh-CN"/>
                    </w:rPr>
                    <w:t>贴皮热压</w:t>
                  </w:r>
                  <w:r>
                    <w:rPr>
                      <w:rFonts w:hint="eastAsia"/>
                      <w:color w:val="auto"/>
                      <w:szCs w:val="21"/>
                      <w:lang w:val="en-US" w:eastAsia="zh-CN"/>
                    </w:rPr>
                    <w:t>、</w:t>
                  </w:r>
                  <w:r>
                    <w:rPr>
                      <w:rFonts w:hint="eastAsia"/>
                      <w:color w:val="auto"/>
                      <w:szCs w:val="21"/>
                    </w:rPr>
                    <w:t>涂漆废气</w:t>
                  </w:r>
                </w:p>
              </w:tc>
              <w:tc>
                <w:tcPr>
                  <w:tcW w:w="1549" w:type="dxa"/>
                  <w:vAlign w:val="center"/>
                </w:tcPr>
                <w:p w14:paraId="007F4EA1">
                  <w:pPr>
                    <w:jc w:val="center"/>
                    <w:rPr>
                      <w:color w:val="auto"/>
                      <w:szCs w:val="21"/>
                    </w:rPr>
                  </w:pPr>
                  <w:r>
                    <w:rPr>
                      <w:rFonts w:hint="eastAsia"/>
                      <w:b/>
                      <w:bCs/>
                      <w:color w:val="auto"/>
                      <w:szCs w:val="21"/>
                      <w:u w:val="single"/>
                      <w:lang w:val="en-US" w:eastAsia="zh-CN"/>
                    </w:rPr>
                    <w:t>贴皮热压</w:t>
                  </w:r>
                  <w:r>
                    <w:rPr>
                      <w:rFonts w:hint="eastAsia"/>
                      <w:color w:val="auto"/>
                      <w:szCs w:val="21"/>
                      <w:lang w:val="en-US" w:eastAsia="zh-CN"/>
                    </w:rPr>
                    <w:t>、</w:t>
                  </w:r>
                  <w:r>
                    <w:rPr>
                      <w:rFonts w:hint="eastAsia"/>
                      <w:color w:val="auto"/>
                      <w:szCs w:val="21"/>
                    </w:rPr>
                    <w:t>涂漆</w:t>
                  </w:r>
                </w:p>
              </w:tc>
              <w:tc>
                <w:tcPr>
                  <w:tcW w:w="1888" w:type="dxa"/>
                  <w:vAlign w:val="center"/>
                </w:tcPr>
                <w:p w14:paraId="65E9B003">
                  <w:pPr>
                    <w:widowControl/>
                    <w:jc w:val="center"/>
                    <w:textAlignment w:val="center"/>
                    <w:rPr>
                      <w:rFonts w:hint="eastAsia"/>
                      <w:color w:val="auto"/>
                      <w:szCs w:val="21"/>
                    </w:rPr>
                  </w:pPr>
                  <w:r>
                    <w:rPr>
                      <w:rFonts w:hint="eastAsia"/>
                      <w:color w:val="auto"/>
                      <w:szCs w:val="21"/>
                    </w:rPr>
                    <w:t>非甲烷总烃</w:t>
                  </w:r>
                </w:p>
              </w:tc>
              <w:tc>
                <w:tcPr>
                  <w:tcW w:w="2181" w:type="dxa"/>
                  <w:vAlign w:val="center"/>
                </w:tcPr>
                <w:p w14:paraId="7334C9AE">
                  <w:pPr>
                    <w:jc w:val="center"/>
                    <w:rPr>
                      <w:color w:val="auto"/>
                      <w:szCs w:val="21"/>
                    </w:rPr>
                  </w:pPr>
                  <w:r>
                    <w:rPr>
                      <w:rFonts w:hint="eastAsia"/>
                      <w:color w:val="auto"/>
                      <w:kern w:val="0"/>
                      <w:szCs w:val="21"/>
                    </w:rPr>
                    <w:t>设备集气管道+活性炭吸附</w:t>
                  </w:r>
                  <w:r>
                    <w:rPr>
                      <w:rFonts w:hint="eastAsia"/>
                      <w:color w:val="auto"/>
                      <w:kern w:val="0"/>
                      <w:szCs w:val="21"/>
                      <w:lang w:eastAsia="zh-CN"/>
                    </w:rPr>
                    <w:t>、</w:t>
                  </w:r>
                  <w:r>
                    <w:rPr>
                      <w:rFonts w:hint="eastAsia"/>
                      <w:color w:val="auto"/>
                      <w:kern w:val="0"/>
                      <w:szCs w:val="21"/>
                    </w:rPr>
                    <w:t>脱附+</w:t>
                  </w:r>
                  <w:r>
                    <w:rPr>
                      <w:rFonts w:hint="eastAsia"/>
                      <w:color w:val="auto"/>
                      <w:kern w:val="0"/>
                      <w:szCs w:val="21"/>
                      <w:lang w:val="en-US" w:eastAsia="zh-CN"/>
                    </w:rPr>
                    <w:t>催化燃烧</w:t>
                  </w:r>
                  <w:r>
                    <w:rPr>
                      <w:color w:val="auto"/>
                      <w:szCs w:val="21"/>
                    </w:rPr>
                    <w:t>+15m排气筒（DA00</w:t>
                  </w:r>
                  <w:r>
                    <w:rPr>
                      <w:rFonts w:hint="eastAsia"/>
                      <w:color w:val="auto"/>
                      <w:szCs w:val="21"/>
                    </w:rPr>
                    <w:t>4</w:t>
                  </w:r>
                  <w:r>
                    <w:rPr>
                      <w:color w:val="auto"/>
                      <w:szCs w:val="21"/>
                    </w:rPr>
                    <w:t>）</w:t>
                  </w:r>
                </w:p>
              </w:tc>
            </w:tr>
            <w:tr w14:paraId="2C6FB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4" w:type="dxa"/>
                  <w:vMerge w:val="continue"/>
                  <w:vAlign w:val="center"/>
                </w:tcPr>
                <w:p w14:paraId="7E30960C">
                  <w:pPr>
                    <w:jc w:val="center"/>
                    <w:rPr>
                      <w:color w:val="auto"/>
                      <w:szCs w:val="21"/>
                    </w:rPr>
                  </w:pPr>
                </w:p>
              </w:tc>
              <w:tc>
                <w:tcPr>
                  <w:tcW w:w="774" w:type="dxa"/>
                  <w:vMerge w:val="restart"/>
                  <w:vAlign w:val="center"/>
                </w:tcPr>
                <w:p w14:paraId="604A742B">
                  <w:pPr>
                    <w:jc w:val="center"/>
                    <w:rPr>
                      <w:color w:val="auto"/>
                      <w:szCs w:val="21"/>
                    </w:rPr>
                  </w:pPr>
                  <w:r>
                    <w:rPr>
                      <w:rFonts w:hint="eastAsia"/>
                      <w:color w:val="auto"/>
                      <w:szCs w:val="21"/>
                    </w:rPr>
                    <w:t>三车间</w:t>
                  </w:r>
                </w:p>
              </w:tc>
              <w:tc>
                <w:tcPr>
                  <w:tcW w:w="1629" w:type="dxa"/>
                  <w:vAlign w:val="center"/>
                </w:tcPr>
                <w:p w14:paraId="1B46CAA1">
                  <w:pPr>
                    <w:jc w:val="center"/>
                    <w:rPr>
                      <w:b/>
                      <w:bCs/>
                      <w:color w:val="auto"/>
                      <w:szCs w:val="21"/>
                      <w:u w:val="single"/>
                    </w:rPr>
                  </w:pPr>
                  <w:r>
                    <w:rPr>
                      <w:rFonts w:hint="eastAsia"/>
                      <w:b/>
                      <w:bCs/>
                      <w:color w:val="auto"/>
                      <w:szCs w:val="21"/>
                      <w:u w:val="single"/>
                      <w:lang w:val="en-US" w:eastAsia="zh-CN"/>
                    </w:rPr>
                    <w:t>开料、</w:t>
                  </w:r>
                  <w:r>
                    <w:rPr>
                      <w:rFonts w:hint="eastAsia"/>
                      <w:b/>
                      <w:bCs/>
                      <w:color w:val="auto"/>
                      <w:szCs w:val="21"/>
                      <w:u w:val="single"/>
                    </w:rPr>
                    <w:t>砂光粉尘</w:t>
                  </w:r>
                </w:p>
              </w:tc>
              <w:tc>
                <w:tcPr>
                  <w:tcW w:w="1549" w:type="dxa"/>
                  <w:vAlign w:val="center"/>
                </w:tcPr>
                <w:p w14:paraId="1B201249">
                  <w:pPr>
                    <w:jc w:val="center"/>
                    <w:rPr>
                      <w:b/>
                      <w:bCs/>
                      <w:color w:val="auto"/>
                      <w:szCs w:val="21"/>
                      <w:u w:val="single"/>
                    </w:rPr>
                  </w:pPr>
                  <w:r>
                    <w:rPr>
                      <w:rFonts w:hint="eastAsia"/>
                      <w:b/>
                      <w:bCs/>
                      <w:color w:val="auto"/>
                      <w:szCs w:val="21"/>
                      <w:u w:val="single"/>
                      <w:lang w:val="en-US" w:eastAsia="zh-CN"/>
                    </w:rPr>
                    <w:t>开料、</w:t>
                  </w:r>
                  <w:r>
                    <w:rPr>
                      <w:rFonts w:hint="eastAsia"/>
                      <w:b/>
                      <w:bCs/>
                      <w:color w:val="auto"/>
                      <w:szCs w:val="21"/>
                      <w:u w:val="single"/>
                    </w:rPr>
                    <w:t>砂光</w:t>
                  </w:r>
                </w:p>
              </w:tc>
              <w:tc>
                <w:tcPr>
                  <w:tcW w:w="1888" w:type="dxa"/>
                  <w:vAlign w:val="center"/>
                </w:tcPr>
                <w:p w14:paraId="02CF97D8">
                  <w:pPr>
                    <w:jc w:val="center"/>
                    <w:rPr>
                      <w:rFonts w:hint="eastAsia"/>
                      <w:color w:val="auto"/>
                      <w:szCs w:val="21"/>
                    </w:rPr>
                  </w:pPr>
                  <w:r>
                    <w:rPr>
                      <w:color w:val="auto"/>
                      <w:szCs w:val="21"/>
                    </w:rPr>
                    <w:t>颗粒物</w:t>
                  </w:r>
                </w:p>
              </w:tc>
              <w:tc>
                <w:tcPr>
                  <w:tcW w:w="2181" w:type="dxa"/>
                  <w:vAlign w:val="center"/>
                </w:tcPr>
                <w:p w14:paraId="090AC133">
                  <w:pPr>
                    <w:jc w:val="center"/>
                    <w:rPr>
                      <w:color w:val="auto"/>
                      <w:szCs w:val="21"/>
                    </w:rPr>
                  </w:pPr>
                  <w:r>
                    <w:rPr>
                      <w:color w:val="auto"/>
                      <w:szCs w:val="21"/>
                    </w:rPr>
                    <w:t>集气罩+</w:t>
                  </w:r>
                  <w:r>
                    <w:rPr>
                      <w:rFonts w:hint="eastAsia"/>
                      <w:b/>
                      <w:bCs/>
                      <w:color w:val="auto"/>
                      <w:szCs w:val="21"/>
                      <w:u w:val="single"/>
                      <w:lang w:val="en-US" w:eastAsia="zh-CN"/>
                    </w:rPr>
                    <w:t>中央除尘器</w:t>
                  </w:r>
                  <w:r>
                    <w:rPr>
                      <w:color w:val="auto"/>
                      <w:szCs w:val="21"/>
                    </w:rPr>
                    <w:t>+15m排气筒（DA00</w:t>
                  </w:r>
                  <w:r>
                    <w:rPr>
                      <w:rFonts w:hint="eastAsia"/>
                      <w:color w:val="auto"/>
                      <w:szCs w:val="21"/>
                    </w:rPr>
                    <w:t>3</w:t>
                  </w:r>
                  <w:r>
                    <w:rPr>
                      <w:color w:val="auto"/>
                      <w:szCs w:val="21"/>
                    </w:rPr>
                    <w:t>）</w:t>
                  </w:r>
                </w:p>
              </w:tc>
            </w:tr>
            <w:tr w14:paraId="516C9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4" w:type="dxa"/>
                  <w:vMerge w:val="continue"/>
                  <w:vAlign w:val="center"/>
                </w:tcPr>
                <w:p w14:paraId="4B11982E">
                  <w:pPr>
                    <w:jc w:val="center"/>
                    <w:rPr>
                      <w:color w:val="auto"/>
                      <w:szCs w:val="21"/>
                    </w:rPr>
                  </w:pPr>
                </w:p>
              </w:tc>
              <w:tc>
                <w:tcPr>
                  <w:tcW w:w="774" w:type="dxa"/>
                  <w:vMerge w:val="continue"/>
                  <w:vAlign w:val="center"/>
                </w:tcPr>
                <w:p w14:paraId="35B63C26">
                  <w:pPr>
                    <w:jc w:val="center"/>
                    <w:rPr>
                      <w:color w:val="auto"/>
                      <w:szCs w:val="21"/>
                    </w:rPr>
                  </w:pPr>
                </w:p>
              </w:tc>
              <w:tc>
                <w:tcPr>
                  <w:tcW w:w="1629" w:type="dxa"/>
                  <w:vAlign w:val="center"/>
                </w:tcPr>
                <w:p w14:paraId="4BF47028">
                  <w:pPr>
                    <w:jc w:val="center"/>
                    <w:rPr>
                      <w:color w:val="auto"/>
                      <w:szCs w:val="21"/>
                    </w:rPr>
                  </w:pPr>
                  <w:r>
                    <w:rPr>
                      <w:rFonts w:hint="eastAsia"/>
                      <w:b/>
                      <w:bCs/>
                      <w:color w:val="auto"/>
                      <w:szCs w:val="21"/>
                      <w:u w:val="single"/>
                      <w:lang w:val="en-US" w:eastAsia="zh-CN"/>
                    </w:rPr>
                    <w:t>拼板热压</w:t>
                  </w:r>
                  <w:r>
                    <w:rPr>
                      <w:rFonts w:hint="eastAsia"/>
                      <w:color w:val="auto"/>
                      <w:szCs w:val="21"/>
                    </w:rPr>
                    <w:t>废气</w:t>
                  </w:r>
                </w:p>
              </w:tc>
              <w:tc>
                <w:tcPr>
                  <w:tcW w:w="1549" w:type="dxa"/>
                  <w:vAlign w:val="center"/>
                </w:tcPr>
                <w:p w14:paraId="1B5FD2A7">
                  <w:pPr>
                    <w:jc w:val="center"/>
                    <w:rPr>
                      <w:color w:val="auto"/>
                      <w:szCs w:val="21"/>
                    </w:rPr>
                  </w:pPr>
                  <w:r>
                    <w:rPr>
                      <w:rFonts w:hint="eastAsia"/>
                      <w:b/>
                      <w:bCs/>
                      <w:color w:val="auto"/>
                      <w:szCs w:val="21"/>
                      <w:u w:val="single"/>
                      <w:lang w:val="en-US" w:eastAsia="zh-CN"/>
                    </w:rPr>
                    <w:t>拼板热压</w:t>
                  </w:r>
                </w:p>
              </w:tc>
              <w:tc>
                <w:tcPr>
                  <w:tcW w:w="1888" w:type="dxa"/>
                  <w:vAlign w:val="center"/>
                </w:tcPr>
                <w:p w14:paraId="48331E85">
                  <w:pPr>
                    <w:widowControl/>
                    <w:jc w:val="center"/>
                    <w:textAlignment w:val="center"/>
                    <w:rPr>
                      <w:rFonts w:hint="eastAsia"/>
                      <w:color w:val="auto"/>
                      <w:szCs w:val="21"/>
                    </w:rPr>
                  </w:pPr>
                  <w:r>
                    <w:rPr>
                      <w:rFonts w:hint="eastAsia"/>
                      <w:color w:val="auto"/>
                      <w:szCs w:val="21"/>
                    </w:rPr>
                    <w:t>非甲烷总烃</w:t>
                  </w:r>
                </w:p>
              </w:tc>
              <w:tc>
                <w:tcPr>
                  <w:tcW w:w="2181" w:type="dxa"/>
                  <w:vAlign w:val="center"/>
                </w:tcPr>
                <w:p w14:paraId="29398EA7">
                  <w:pPr>
                    <w:jc w:val="center"/>
                    <w:rPr>
                      <w:color w:val="auto"/>
                      <w:szCs w:val="21"/>
                    </w:rPr>
                  </w:pPr>
                  <w:r>
                    <w:rPr>
                      <w:rFonts w:hint="eastAsia"/>
                      <w:color w:val="auto"/>
                      <w:kern w:val="0"/>
                      <w:szCs w:val="21"/>
                    </w:rPr>
                    <w:t>设备集气管道+活性炭吸附</w:t>
                  </w:r>
                  <w:r>
                    <w:rPr>
                      <w:rFonts w:hint="eastAsia"/>
                      <w:color w:val="auto"/>
                      <w:kern w:val="0"/>
                      <w:szCs w:val="21"/>
                      <w:lang w:eastAsia="zh-CN"/>
                    </w:rPr>
                    <w:t>、</w:t>
                  </w:r>
                  <w:r>
                    <w:rPr>
                      <w:rFonts w:hint="eastAsia"/>
                      <w:color w:val="auto"/>
                      <w:kern w:val="0"/>
                      <w:szCs w:val="21"/>
                    </w:rPr>
                    <w:t>脱附+</w:t>
                  </w:r>
                  <w:r>
                    <w:rPr>
                      <w:rFonts w:hint="eastAsia"/>
                      <w:color w:val="auto"/>
                      <w:kern w:val="0"/>
                      <w:szCs w:val="21"/>
                      <w:lang w:val="en-US" w:eastAsia="zh-CN"/>
                    </w:rPr>
                    <w:t>催化燃烧</w:t>
                  </w:r>
                  <w:r>
                    <w:rPr>
                      <w:color w:val="auto"/>
                      <w:szCs w:val="21"/>
                    </w:rPr>
                    <w:t>+15m排气筒（DA00</w:t>
                  </w:r>
                  <w:r>
                    <w:rPr>
                      <w:rFonts w:hint="eastAsia"/>
                      <w:color w:val="auto"/>
                      <w:szCs w:val="21"/>
                    </w:rPr>
                    <w:t>4</w:t>
                  </w:r>
                  <w:r>
                    <w:rPr>
                      <w:color w:val="auto"/>
                      <w:szCs w:val="21"/>
                    </w:rPr>
                    <w:t>）</w:t>
                  </w:r>
                </w:p>
              </w:tc>
            </w:tr>
            <w:tr w14:paraId="57319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4" w:type="dxa"/>
                  <w:vMerge w:val="continue"/>
                  <w:vAlign w:val="center"/>
                </w:tcPr>
                <w:p w14:paraId="3560B8E0">
                  <w:pPr>
                    <w:jc w:val="center"/>
                    <w:rPr>
                      <w:color w:val="auto"/>
                      <w:szCs w:val="21"/>
                    </w:rPr>
                  </w:pPr>
                </w:p>
              </w:tc>
              <w:tc>
                <w:tcPr>
                  <w:tcW w:w="774" w:type="dxa"/>
                  <w:vAlign w:val="center"/>
                </w:tcPr>
                <w:p w14:paraId="2465478A">
                  <w:pPr>
                    <w:jc w:val="center"/>
                    <w:rPr>
                      <w:color w:val="auto"/>
                      <w:szCs w:val="21"/>
                    </w:rPr>
                  </w:pPr>
                  <w:r>
                    <w:rPr>
                      <w:rFonts w:hint="eastAsia"/>
                      <w:color w:val="auto"/>
                      <w:szCs w:val="21"/>
                    </w:rPr>
                    <w:t>危废暂存间</w:t>
                  </w:r>
                </w:p>
              </w:tc>
              <w:tc>
                <w:tcPr>
                  <w:tcW w:w="1629" w:type="dxa"/>
                  <w:vAlign w:val="center"/>
                </w:tcPr>
                <w:p w14:paraId="0AAD753D">
                  <w:pPr>
                    <w:jc w:val="center"/>
                    <w:rPr>
                      <w:rFonts w:hint="eastAsia"/>
                      <w:color w:val="auto"/>
                      <w:szCs w:val="21"/>
                    </w:rPr>
                  </w:pPr>
                  <w:r>
                    <w:rPr>
                      <w:rFonts w:hint="eastAsia"/>
                      <w:color w:val="auto"/>
                      <w:szCs w:val="21"/>
                      <w:lang w:val="en-US" w:eastAsia="zh-CN"/>
                    </w:rPr>
                    <w:t>危废暂存间</w:t>
                  </w:r>
                  <w:r>
                    <w:rPr>
                      <w:rFonts w:hint="eastAsia"/>
                      <w:color w:val="auto"/>
                      <w:szCs w:val="21"/>
                      <w:lang w:eastAsia="zh-CN"/>
                    </w:rPr>
                    <w:t>废气</w:t>
                  </w:r>
                </w:p>
              </w:tc>
              <w:tc>
                <w:tcPr>
                  <w:tcW w:w="1549" w:type="dxa"/>
                  <w:vAlign w:val="center"/>
                </w:tcPr>
                <w:p w14:paraId="79BC3A10">
                  <w:pPr>
                    <w:jc w:val="center"/>
                    <w:rPr>
                      <w:rFonts w:hint="eastAsia" w:eastAsia="宋体"/>
                      <w:color w:val="auto"/>
                      <w:szCs w:val="21"/>
                      <w:lang w:val="en-US" w:eastAsia="zh-CN"/>
                    </w:rPr>
                  </w:pPr>
                  <w:r>
                    <w:rPr>
                      <w:rFonts w:hint="eastAsia"/>
                      <w:color w:val="auto"/>
                      <w:szCs w:val="21"/>
                      <w:lang w:val="en-US" w:eastAsia="zh-CN"/>
                    </w:rPr>
                    <w:t>/</w:t>
                  </w:r>
                </w:p>
              </w:tc>
              <w:tc>
                <w:tcPr>
                  <w:tcW w:w="1888" w:type="dxa"/>
                  <w:vAlign w:val="center"/>
                </w:tcPr>
                <w:p w14:paraId="35F7E6B4">
                  <w:pPr>
                    <w:widowControl/>
                    <w:jc w:val="center"/>
                    <w:textAlignment w:val="center"/>
                    <w:rPr>
                      <w:rFonts w:hint="eastAsia"/>
                      <w:color w:val="auto"/>
                      <w:szCs w:val="21"/>
                    </w:rPr>
                  </w:pPr>
                  <w:r>
                    <w:rPr>
                      <w:rFonts w:hint="eastAsia"/>
                      <w:color w:val="auto"/>
                      <w:szCs w:val="21"/>
                    </w:rPr>
                    <w:t>非甲烷总烃</w:t>
                  </w:r>
                </w:p>
              </w:tc>
              <w:tc>
                <w:tcPr>
                  <w:tcW w:w="2181" w:type="dxa"/>
                  <w:vAlign w:val="center"/>
                </w:tcPr>
                <w:p w14:paraId="4939C4AD">
                  <w:pPr>
                    <w:jc w:val="center"/>
                    <w:rPr>
                      <w:rFonts w:hint="eastAsia" w:eastAsia="宋体"/>
                      <w:color w:val="auto"/>
                      <w:kern w:val="0"/>
                      <w:szCs w:val="21"/>
                      <w:lang w:val="en-US" w:eastAsia="zh-CN"/>
                    </w:rPr>
                  </w:pPr>
                  <w:r>
                    <w:rPr>
                      <w:rFonts w:hint="eastAsia"/>
                      <w:b/>
                      <w:bCs/>
                      <w:color w:val="auto"/>
                      <w:kern w:val="0"/>
                      <w:szCs w:val="21"/>
                      <w:u w:val="single"/>
                      <w:lang w:val="en-US" w:eastAsia="zh-CN"/>
                    </w:rPr>
                    <w:t>集气管道+活性炭吸附、脱附+催化燃烧+15m排气筒（DA004）</w:t>
                  </w:r>
                </w:p>
              </w:tc>
            </w:tr>
            <w:tr w14:paraId="46E22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364" w:type="dxa"/>
                  <w:vMerge w:val="restart"/>
                  <w:vAlign w:val="center"/>
                </w:tcPr>
                <w:p w14:paraId="20BF7726">
                  <w:pPr>
                    <w:jc w:val="center"/>
                    <w:rPr>
                      <w:color w:val="auto"/>
                      <w:szCs w:val="21"/>
                    </w:rPr>
                  </w:pPr>
                  <w:r>
                    <w:rPr>
                      <w:color w:val="auto"/>
                      <w:szCs w:val="21"/>
                    </w:rPr>
                    <w:t>废水</w:t>
                  </w:r>
                </w:p>
              </w:tc>
              <w:tc>
                <w:tcPr>
                  <w:tcW w:w="2403" w:type="dxa"/>
                  <w:gridSpan w:val="2"/>
                  <w:vAlign w:val="center"/>
                </w:tcPr>
                <w:p w14:paraId="056B59C2">
                  <w:pPr>
                    <w:jc w:val="center"/>
                    <w:rPr>
                      <w:color w:val="auto"/>
                      <w:szCs w:val="21"/>
                    </w:rPr>
                  </w:pPr>
                  <w:r>
                    <w:rPr>
                      <w:color w:val="auto"/>
                      <w:szCs w:val="21"/>
                    </w:rPr>
                    <w:t>生活污水</w:t>
                  </w:r>
                </w:p>
              </w:tc>
              <w:tc>
                <w:tcPr>
                  <w:tcW w:w="1549" w:type="dxa"/>
                  <w:vAlign w:val="center"/>
                </w:tcPr>
                <w:p w14:paraId="064CCE1B">
                  <w:pPr>
                    <w:jc w:val="center"/>
                    <w:rPr>
                      <w:color w:val="auto"/>
                      <w:szCs w:val="21"/>
                    </w:rPr>
                  </w:pPr>
                  <w:r>
                    <w:rPr>
                      <w:color w:val="auto"/>
                      <w:szCs w:val="21"/>
                    </w:rPr>
                    <w:t>职工生活</w:t>
                  </w:r>
                </w:p>
              </w:tc>
              <w:tc>
                <w:tcPr>
                  <w:tcW w:w="1888" w:type="dxa"/>
                  <w:vMerge w:val="restart"/>
                  <w:vAlign w:val="center"/>
                </w:tcPr>
                <w:p w14:paraId="37525631">
                  <w:pPr>
                    <w:jc w:val="center"/>
                    <w:rPr>
                      <w:color w:val="auto"/>
                      <w:szCs w:val="21"/>
                    </w:rPr>
                  </w:pPr>
                  <w:r>
                    <w:rPr>
                      <w:color w:val="auto"/>
                      <w:szCs w:val="21"/>
                    </w:rPr>
                    <w:t>pH值、COD、BOD</w:t>
                  </w:r>
                  <w:r>
                    <w:rPr>
                      <w:color w:val="auto"/>
                      <w:szCs w:val="21"/>
                      <w:vertAlign w:val="subscript"/>
                    </w:rPr>
                    <w:t>5</w:t>
                  </w:r>
                  <w:r>
                    <w:rPr>
                      <w:color w:val="auto"/>
                      <w:szCs w:val="21"/>
                    </w:rPr>
                    <w:t>、SS、NH</w:t>
                  </w:r>
                  <w:r>
                    <w:rPr>
                      <w:color w:val="auto"/>
                      <w:szCs w:val="21"/>
                      <w:vertAlign w:val="subscript"/>
                    </w:rPr>
                    <w:t>3</w:t>
                  </w:r>
                  <w:r>
                    <w:rPr>
                      <w:color w:val="auto"/>
                      <w:szCs w:val="21"/>
                    </w:rPr>
                    <w:t>-N</w:t>
                  </w:r>
                </w:p>
              </w:tc>
              <w:tc>
                <w:tcPr>
                  <w:tcW w:w="2181" w:type="dxa"/>
                  <w:vMerge w:val="restart"/>
                  <w:vAlign w:val="center"/>
                </w:tcPr>
                <w:p w14:paraId="63426D36">
                  <w:pPr>
                    <w:jc w:val="center"/>
                    <w:rPr>
                      <w:rFonts w:hint="eastAsia" w:eastAsia="宋体"/>
                      <w:color w:val="auto"/>
                      <w:szCs w:val="21"/>
                      <w:lang w:val="en-US" w:eastAsia="zh-CN"/>
                    </w:rPr>
                  </w:pPr>
                  <w:r>
                    <w:rPr>
                      <w:rFonts w:hint="eastAsia"/>
                      <w:color w:val="auto"/>
                      <w:szCs w:val="21"/>
                    </w:rPr>
                    <w:t>经</w:t>
                  </w:r>
                  <w:r>
                    <w:rPr>
                      <w:rFonts w:hint="eastAsia"/>
                      <w:color w:val="auto"/>
                      <w:szCs w:val="21"/>
                      <w:lang w:val="en-US" w:eastAsia="zh-CN"/>
                    </w:rPr>
                    <w:t>厂区自建</w:t>
                  </w:r>
                  <w:r>
                    <w:rPr>
                      <w:rFonts w:hint="eastAsia"/>
                      <w:color w:val="auto"/>
                      <w:szCs w:val="21"/>
                    </w:rPr>
                    <w:t>化粪池</w:t>
                  </w:r>
                  <w:r>
                    <w:rPr>
                      <w:rFonts w:hint="eastAsia"/>
                      <w:color w:val="auto"/>
                      <w:szCs w:val="21"/>
                      <w:lang w:eastAsia="zh-CN"/>
                    </w:rPr>
                    <w:t>（</w:t>
                  </w:r>
                  <w:r>
                    <w:rPr>
                      <w:rFonts w:hint="eastAsia"/>
                      <w:color w:val="auto"/>
                      <w:lang w:val="en-US" w:eastAsia="zh-CN"/>
                    </w:rPr>
                    <w:t>12m</w:t>
                  </w:r>
                  <w:r>
                    <w:rPr>
                      <w:rFonts w:hint="eastAsia"/>
                      <w:color w:val="auto"/>
                      <w:vertAlign w:val="superscript"/>
                      <w:lang w:val="en-US" w:eastAsia="zh-CN"/>
                    </w:rPr>
                    <w:t>3</w:t>
                  </w:r>
                  <w:r>
                    <w:rPr>
                      <w:rFonts w:hint="eastAsia"/>
                      <w:color w:val="auto"/>
                      <w:szCs w:val="21"/>
                      <w:lang w:eastAsia="zh-CN"/>
                    </w:rPr>
                    <w:t>）</w:t>
                  </w:r>
                  <w:r>
                    <w:rPr>
                      <w:rFonts w:hint="eastAsia"/>
                      <w:color w:val="auto"/>
                      <w:szCs w:val="21"/>
                    </w:rPr>
                    <w:t>处理后通过厂区废水总排口进入清丰中州水务有限公司第二污水处理厂</w:t>
                  </w:r>
                </w:p>
              </w:tc>
            </w:tr>
            <w:tr w14:paraId="47713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364" w:type="dxa"/>
                  <w:vMerge w:val="continue"/>
                  <w:vAlign w:val="center"/>
                </w:tcPr>
                <w:p w14:paraId="2B6B974E">
                  <w:pPr>
                    <w:jc w:val="center"/>
                    <w:rPr>
                      <w:color w:val="auto"/>
                      <w:szCs w:val="21"/>
                    </w:rPr>
                  </w:pPr>
                </w:p>
              </w:tc>
              <w:tc>
                <w:tcPr>
                  <w:tcW w:w="2403" w:type="dxa"/>
                  <w:gridSpan w:val="2"/>
                  <w:vAlign w:val="center"/>
                </w:tcPr>
                <w:p w14:paraId="4104E2FB">
                  <w:pPr>
                    <w:jc w:val="center"/>
                    <w:rPr>
                      <w:rFonts w:hint="eastAsia" w:eastAsia="宋体"/>
                      <w:b/>
                      <w:bCs/>
                      <w:color w:val="auto"/>
                      <w:szCs w:val="21"/>
                      <w:u w:val="single"/>
                      <w:lang w:val="en-US" w:eastAsia="zh-CN"/>
                    </w:rPr>
                  </w:pPr>
                  <w:r>
                    <w:rPr>
                      <w:rFonts w:hint="eastAsia"/>
                      <w:b/>
                      <w:bCs/>
                      <w:color w:val="auto"/>
                      <w:szCs w:val="21"/>
                      <w:u w:val="single"/>
                      <w:lang w:val="en-US" w:eastAsia="zh-CN"/>
                    </w:rPr>
                    <w:t>制备废水</w:t>
                  </w:r>
                </w:p>
              </w:tc>
              <w:tc>
                <w:tcPr>
                  <w:tcW w:w="1549" w:type="dxa"/>
                  <w:vAlign w:val="center"/>
                </w:tcPr>
                <w:p w14:paraId="3650FEFD">
                  <w:pPr>
                    <w:jc w:val="center"/>
                    <w:rPr>
                      <w:rFonts w:hint="eastAsia" w:eastAsia="宋体"/>
                      <w:b/>
                      <w:bCs/>
                      <w:color w:val="auto"/>
                      <w:szCs w:val="21"/>
                      <w:u w:val="single"/>
                      <w:lang w:val="en-US" w:eastAsia="zh-CN"/>
                    </w:rPr>
                  </w:pPr>
                  <w:r>
                    <w:rPr>
                      <w:rFonts w:hint="eastAsia"/>
                      <w:b/>
                      <w:bCs/>
                      <w:color w:val="auto"/>
                      <w:szCs w:val="21"/>
                      <w:u w:val="single"/>
                      <w:lang w:val="en-US" w:eastAsia="zh-CN"/>
                    </w:rPr>
                    <w:t>制备废水</w:t>
                  </w:r>
                </w:p>
              </w:tc>
              <w:tc>
                <w:tcPr>
                  <w:tcW w:w="1888" w:type="dxa"/>
                  <w:vMerge w:val="continue"/>
                  <w:vAlign w:val="center"/>
                </w:tcPr>
                <w:p w14:paraId="68764F82">
                  <w:pPr>
                    <w:jc w:val="center"/>
                    <w:rPr>
                      <w:color w:val="auto"/>
                      <w:szCs w:val="21"/>
                    </w:rPr>
                  </w:pPr>
                </w:p>
              </w:tc>
              <w:tc>
                <w:tcPr>
                  <w:tcW w:w="2181" w:type="dxa"/>
                  <w:vMerge w:val="continue"/>
                  <w:vAlign w:val="center"/>
                </w:tcPr>
                <w:p w14:paraId="563645A3">
                  <w:pPr>
                    <w:jc w:val="center"/>
                    <w:rPr>
                      <w:rFonts w:hint="eastAsia"/>
                      <w:color w:val="auto"/>
                      <w:szCs w:val="21"/>
                    </w:rPr>
                  </w:pPr>
                </w:p>
              </w:tc>
            </w:tr>
            <w:tr w14:paraId="10856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364" w:type="dxa"/>
                  <w:vMerge w:val="restart"/>
                  <w:vAlign w:val="center"/>
                </w:tcPr>
                <w:p w14:paraId="41125A15">
                  <w:pPr>
                    <w:jc w:val="center"/>
                    <w:rPr>
                      <w:color w:val="auto"/>
                      <w:szCs w:val="21"/>
                    </w:rPr>
                  </w:pPr>
                  <w:r>
                    <w:rPr>
                      <w:color w:val="auto"/>
                      <w:szCs w:val="21"/>
                    </w:rPr>
                    <w:t>固废</w:t>
                  </w:r>
                </w:p>
              </w:tc>
              <w:tc>
                <w:tcPr>
                  <w:tcW w:w="2403" w:type="dxa"/>
                  <w:gridSpan w:val="2"/>
                  <w:vAlign w:val="top"/>
                </w:tcPr>
                <w:p w14:paraId="6F8EF3D5">
                  <w:pPr>
                    <w:jc w:val="center"/>
                    <w:rPr>
                      <w:color w:val="auto"/>
                      <w:szCs w:val="21"/>
                    </w:rPr>
                  </w:pPr>
                  <w:r>
                    <w:rPr>
                      <w:rFonts w:hint="eastAsia"/>
                      <w:color w:val="auto"/>
                      <w:szCs w:val="21"/>
                    </w:rPr>
                    <w:t>废边角料和碎屑</w:t>
                  </w:r>
                </w:p>
              </w:tc>
              <w:tc>
                <w:tcPr>
                  <w:tcW w:w="1549" w:type="dxa"/>
                  <w:vAlign w:val="center"/>
                </w:tcPr>
                <w:p w14:paraId="3FFBA8DD">
                  <w:pPr>
                    <w:jc w:val="center"/>
                    <w:rPr>
                      <w:color w:val="auto"/>
                      <w:szCs w:val="21"/>
                    </w:rPr>
                  </w:pPr>
                  <w:r>
                    <w:rPr>
                      <w:rFonts w:hint="eastAsia"/>
                      <w:color w:val="auto"/>
                      <w:szCs w:val="21"/>
                    </w:rPr>
                    <w:t>木材加工</w:t>
                  </w:r>
                </w:p>
              </w:tc>
              <w:tc>
                <w:tcPr>
                  <w:tcW w:w="1888" w:type="dxa"/>
                  <w:vAlign w:val="center"/>
                </w:tcPr>
                <w:p w14:paraId="421FD8FF">
                  <w:pPr>
                    <w:jc w:val="center"/>
                    <w:rPr>
                      <w:color w:val="auto"/>
                      <w:szCs w:val="21"/>
                    </w:rPr>
                  </w:pPr>
                  <w:r>
                    <w:rPr>
                      <w:rFonts w:hint="eastAsia"/>
                      <w:color w:val="auto"/>
                      <w:szCs w:val="21"/>
                    </w:rPr>
                    <w:t>木材、木屑</w:t>
                  </w:r>
                </w:p>
              </w:tc>
              <w:tc>
                <w:tcPr>
                  <w:tcW w:w="2181" w:type="dxa"/>
                  <w:vAlign w:val="center"/>
                </w:tcPr>
                <w:p w14:paraId="670045DF">
                  <w:pPr>
                    <w:jc w:val="center"/>
                    <w:rPr>
                      <w:color w:val="auto"/>
                      <w:szCs w:val="21"/>
                    </w:rPr>
                  </w:pPr>
                  <w:r>
                    <w:rPr>
                      <w:rFonts w:hint="eastAsia"/>
                      <w:color w:val="auto"/>
                      <w:szCs w:val="21"/>
                    </w:rPr>
                    <w:t>收集后外售</w:t>
                  </w:r>
                </w:p>
              </w:tc>
            </w:tr>
            <w:tr w14:paraId="5649D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364" w:type="dxa"/>
                  <w:vMerge w:val="continue"/>
                  <w:vAlign w:val="center"/>
                </w:tcPr>
                <w:p w14:paraId="49449987">
                  <w:pPr>
                    <w:jc w:val="center"/>
                    <w:rPr>
                      <w:color w:val="auto"/>
                      <w:szCs w:val="21"/>
                    </w:rPr>
                  </w:pPr>
                </w:p>
              </w:tc>
              <w:tc>
                <w:tcPr>
                  <w:tcW w:w="2403" w:type="dxa"/>
                  <w:gridSpan w:val="2"/>
                  <w:vAlign w:val="top"/>
                </w:tcPr>
                <w:p w14:paraId="315D0F3C">
                  <w:pPr>
                    <w:jc w:val="center"/>
                    <w:rPr>
                      <w:color w:val="auto"/>
                      <w:szCs w:val="21"/>
                    </w:rPr>
                  </w:pPr>
                  <w:r>
                    <w:rPr>
                      <w:rFonts w:hint="eastAsia"/>
                      <w:color w:val="auto"/>
                      <w:szCs w:val="21"/>
                    </w:rPr>
                    <w:t>除尘器收尘</w:t>
                  </w:r>
                </w:p>
              </w:tc>
              <w:tc>
                <w:tcPr>
                  <w:tcW w:w="1549" w:type="dxa"/>
                  <w:vAlign w:val="center"/>
                </w:tcPr>
                <w:p w14:paraId="1E15CBE8">
                  <w:pPr>
                    <w:jc w:val="center"/>
                    <w:rPr>
                      <w:color w:val="auto"/>
                      <w:szCs w:val="21"/>
                    </w:rPr>
                  </w:pPr>
                  <w:r>
                    <w:rPr>
                      <w:rFonts w:hint="eastAsia"/>
                      <w:color w:val="auto"/>
                      <w:szCs w:val="21"/>
                    </w:rPr>
                    <w:t>除尘器</w:t>
                  </w:r>
                </w:p>
              </w:tc>
              <w:tc>
                <w:tcPr>
                  <w:tcW w:w="1888" w:type="dxa"/>
                  <w:vAlign w:val="center"/>
                </w:tcPr>
                <w:p w14:paraId="361EC4D7">
                  <w:pPr>
                    <w:jc w:val="center"/>
                    <w:rPr>
                      <w:color w:val="auto"/>
                      <w:szCs w:val="21"/>
                    </w:rPr>
                  </w:pPr>
                  <w:r>
                    <w:rPr>
                      <w:rFonts w:hint="eastAsia"/>
                      <w:color w:val="auto"/>
                      <w:szCs w:val="21"/>
                    </w:rPr>
                    <w:t>木材、木屑</w:t>
                  </w:r>
                </w:p>
              </w:tc>
              <w:tc>
                <w:tcPr>
                  <w:tcW w:w="2181" w:type="dxa"/>
                  <w:vAlign w:val="center"/>
                </w:tcPr>
                <w:p w14:paraId="0C7F235C">
                  <w:pPr>
                    <w:jc w:val="center"/>
                    <w:rPr>
                      <w:color w:val="auto"/>
                      <w:szCs w:val="21"/>
                    </w:rPr>
                  </w:pPr>
                  <w:r>
                    <w:rPr>
                      <w:rFonts w:hint="eastAsia"/>
                      <w:color w:val="auto"/>
                      <w:szCs w:val="21"/>
                    </w:rPr>
                    <w:t>收集后外售</w:t>
                  </w:r>
                </w:p>
              </w:tc>
            </w:tr>
            <w:tr w14:paraId="226E3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364" w:type="dxa"/>
                  <w:vMerge w:val="continue"/>
                  <w:vAlign w:val="center"/>
                </w:tcPr>
                <w:p w14:paraId="03B94258">
                  <w:pPr>
                    <w:jc w:val="center"/>
                    <w:rPr>
                      <w:color w:val="auto"/>
                      <w:szCs w:val="21"/>
                    </w:rPr>
                  </w:pPr>
                </w:p>
              </w:tc>
              <w:tc>
                <w:tcPr>
                  <w:tcW w:w="2403" w:type="dxa"/>
                  <w:gridSpan w:val="2"/>
                  <w:vAlign w:val="top"/>
                </w:tcPr>
                <w:p w14:paraId="3C2D7BB6">
                  <w:pPr>
                    <w:jc w:val="center"/>
                    <w:rPr>
                      <w:rFonts w:hint="default" w:eastAsia="宋体"/>
                      <w:color w:val="auto"/>
                      <w:szCs w:val="21"/>
                      <w:lang w:val="en-US" w:eastAsia="zh-CN"/>
                    </w:rPr>
                  </w:pPr>
                  <w:r>
                    <w:rPr>
                      <w:rFonts w:hint="eastAsia"/>
                      <w:color w:val="auto"/>
                      <w:szCs w:val="21"/>
                      <w:lang w:val="en-US" w:eastAsia="zh-CN"/>
                    </w:rPr>
                    <w:t>打磨废砂纸</w:t>
                  </w:r>
                </w:p>
              </w:tc>
              <w:tc>
                <w:tcPr>
                  <w:tcW w:w="1549" w:type="dxa"/>
                  <w:vAlign w:val="center"/>
                </w:tcPr>
                <w:p w14:paraId="2E19E675">
                  <w:pPr>
                    <w:jc w:val="center"/>
                    <w:rPr>
                      <w:rFonts w:hint="default" w:eastAsia="宋体"/>
                      <w:color w:val="auto"/>
                      <w:szCs w:val="21"/>
                      <w:lang w:val="en-US" w:eastAsia="zh-CN"/>
                    </w:rPr>
                  </w:pPr>
                  <w:r>
                    <w:rPr>
                      <w:rFonts w:hint="eastAsia"/>
                      <w:color w:val="auto"/>
                      <w:szCs w:val="21"/>
                      <w:lang w:val="en-US" w:eastAsia="zh-CN"/>
                    </w:rPr>
                    <w:t>打磨</w:t>
                  </w:r>
                </w:p>
              </w:tc>
              <w:tc>
                <w:tcPr>
                  <w:tcW w:w="1888" w:type="dxa"/>
                  <w:vAlign w:val="center"/>
                </w:tcPr>
                <w:p w14:paraId="05EA7533">
                  <w:pPr>
                    <w:jc w:val="center"/>
                    <w:rPr>
                      <w:rFonts w:hint="eastAsia"/>
                      <w:color w:val="auto"/>
                      <w:szCs w:val="21"/>
                    </w:rPr>
                  </w:pPr>
                  <w:r>
                    <w:rPr>
                      <w:rFonts w:hint="eastAsia"/>
                      <w:color w:val="auto"/>
                      <w:szCs w:val="21"/>
                      <w:lang w:val="en-US" w:eastAsia="zh-CN"/>
                    </w:rPr>
                    <w:t>废砂纸</w:t>
                  </w:r>
                </w:p>
              </w:tc>
              <w:tc>
                <w:tcPr>
                  <w:tcW w:w="2181" w:type="dxa"/>
                  <w:vAlign w:val="center"/>
                </w:tcPr>
                <w:p w14:paraId="6A8F4687">
                  <w:pPr>
                    <w:jc w:val="center"/>
                    <w:rPr>
                      <w:rFonts w:hint="default" w:eastAsia="宋体"/>
                      <w:color w:val="auto"/>
                      <w:szCs w:val="21"/>
                      <w:lang w:val="en-US" w:eastAsia="zh-CN"/>
                    </w:rPr>
                  </w:pPr>
                  <w:r>
                    <w:rPr>
                      <w:rFonts w:hint="eastAsia"/>
                      <w:color w:val="auto"/>
                      <w:lang w:val="en-US" w:eastAsia="zh-CN"/>
                    </w:rPr>
                    <w:t>收集后外售</w:t>
                  </w:r>
                </w:p>
              </w:tc>
            </w:tr>
            <w:tr w14:paraId="2DE61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364" w:type="dxa"/>
                  <w:vMerge w:val="continue"/>
                  <w:vAlign w:val="center"/>
                </w:tcPr>
                <w:p w14:paraId="0D1A1290">
                  <w:pPr>
                    <w:jc w:val="center"/>
                    <w:rPr>
                      <w:color w:val="auto"/>
                      <w:szCs w:val="21"/>
                    </w:rPr>
                  </w:pPr>
                </w:p>
              </w:tc>
              <w:tc>
                <w:tcPr>
                  <w:tcW w:w="2403" w:type="dxa"/>
                  <w:gridSpan w:val="2"/>
                  <w:vAlign w:val="top"/>
                </w:tcPr>
                <w:p w14:paraId="651BC3B9">
                  <w:pPr>
                    <w:jc w:val="center"/>
                    <w:rPr>
                      <w:rFonts w:hint="default"/>
                      <w:color w:val="auto"/>
                      <w:szCs w:val="21"/>
                      <w:lang w:val="en-US" w:eastAsia="zh-CN"/>
                    </w:rPr>
                  </w:pPr>
                  <w:r>
                    <w:rPr>
                      <w:rFonts w:hint="eastAsia"/>
                      <w:b/>
                      <w:bCs/>
                      <w:color w:val="auto"/>
                      <w:szCs w:val="21"/>
                      <w:u w:val="single"/>
                      <w:lang w:val="en-US" w:eastAsia="zh-CN"/>
                    </w:rPr>
                    <w:t>饮水机RO膜</w:t>
                  </w:r>
                </w:p>
              </w:tc>
              <w:tc>
                <w:tcPr>
                  <w:tcW w:w="1549" w:type="dxa"/>
                  <w:vAlign w:val="center"/>
                </w:tcPr>
                <w:p w14:paraId="7A3D49DD">
                  <w:pPr>
                    <w:jc w:val="center"/>
                    <w:rPr>
                      <w:rFonts w:hint="default"/>
                      <w:b/>
                      <w:bCs/>
                      <w:color w:val="auto"/>
                      <w:szCs w:val="21"/>
                      <w:u w:val="single"/>
                      <w:lang w:val="en-US" w:eastAsia="zh-CN"/>
                    </w:rPr>
                  </w:pPr>
                  <w:r>
                    <w:rPr>
                      <w:rFonts w:hint="eastAsia"/>
                      <w:b/>
                      <w:bCs/>
                      <w:color w:val="auto"/>
                      <w:szCs w:val="21"/>
                      <w:u w:val="single"/>
                      <w:lang w:val="en-US" w:eastAsia="zh-CN"/>
                    </w:rPr>
                    <w:t>制备水</w:t>
                  </w:r>
                </w:p>
              </w:tc>
              <w:tc>
                <w:tcPr>
                  <w:tcW w:w="1888" w:type="dxa"/>
                  <w:vAlign w:val="center"/>
                </w:tcPr>
                <w:p w14:paraId="6D5128F3">
                  <w:pPr>
                    <w:jc w:val="center"/>
                    <w:rPr>
                      <w:rFonts w:hint="default"/>
                      <w:b/>
                      <w:bCs/>
                      <w:color w:val="auto"/>
                      <w:szCs w:val="21"/>
                      <w:u w:val="single"/>
                      <w:lang w:val="en-US" w:eastAsia="zh-CN"/>
                    </w:rPr>
                  </w:pPr>
                  <w:r>
                    <w:rPr>
                      <w:rFonts w:hint="eastAsia"/>
                      <w:b/>
                      <w:bCs/>
                      <w:color w:val="auto"/>
                      <w:szCs w:val="21"/>
                      <w:u w:val="single"/>
                      <w:lang w:val="en-US" w:eastAsia="zh-CN"/>
                    </w:rPr>
                    <w:t>/</w:t>
                  </w:r>
                </w:p>
              </w:tc>
              <w:tc>
                <w:tcPr>
                  <w:tcW w:w="2181" w:type="dxa"/>
                  <w:vAlign w:val="center"/>
                </w:tcPr>
                <w:p w14:paraId="625D158E">
                  <w:pPr>
                    <w:jc w:val="center"/>
                    <w:rPr>
                      <w:rFonts w:hint="default"/>
                      <w:b/>
                      <w:bCs/>
                      <w:color w:val="auto"/>
                      <w:u w:val="single"/>
                      <w:lang w:val="en-US" w:eastAsia="zh-CN"/>
                    </w:rPr>
                  </w:pPr>
                  <w:r>
                    <w:rPr>
                      <w:rFonts w:hint="eastAsia"/>
                      <w:b/>
                      <w:bCs/>
                      <w:color w:val="auto"/>
                      <w:u w:val="single"/>
                      <w:lang w:val="en-US" w:eastAsia="zh-CN"/>
                    </w:rPr>
                    <w:t>由厂家回收</w:t>
                  </w:r>
                </w:p>
              </w:tc>
            </w:tr>
            <w:tr w14:paraId="7BDA5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364" w:type="dxa"/>
                  <w:vMerge w:val="continue"/>
                  <w:vAlign w:val="center"/>
                </w:tcPr>
                <w:p w14:paraId="37E6012A">
                  <w:pPr>
                    <w:jc w:val="center"/>
                    <w:rPr>
                      <w:color w:val="auto"/>
                      <w:szCs w:val="21"/>
                    </w:rPr>
                  </w:pPr>
                </w:p>
              </w:tc>
              <w:tc>
                <w:tcPr>
                  <w:tcW w:w="2403" w:type="dxa"/>
                  <w:gridSpan w:val="2"/>
                  <w:vAlign w:val="center"/>
                </w:tcPr>
                <w:p w14:paraId="63CC30B9">
                  <w:pPr>
                    <w:jc w:val="center"/>
                    <w:rPr>
                      <w:color w:val="auto"/>
                      <w:szCs w:val="21"/>
                    </w:rPr>
                  </w:pPr>
                  <w:r>
                    <w:rPr>
                      <w:rFonts w:hint="eastAsia"/>
                      <w:color w:val="auto"/>
                      <w:szCs w:val="21"/>
                    </w:rPr>
                    <w:t>废包装桶</w:t>
                  </w:r>
                </w:p>
              </w:tc>
              <w:tc>
                <w:tcPr>
                  <w:tcW w:w="1549" w:type="dxa"/>
                  <w:vAlign w:val="center"/>
                </w:tcPr>
                <w:p w14:paraId="37BF7CB4">
                  <w:pPr>
                    <w:jc w:val="center"/>
                    <w:rPr>
                      <w:color w:val="auto"/>
                      <w:szCs w:val="21"/>
                    </w:rPr>
                  </w:pPr>
                  <w:r>
                    <w:rPr>
                      <w:rFonts w:hint="eastAsia"/>
                      <w:color w:val="auto"/>
                      <w:szCs w:val="21"/>
                    </w:rPr>
                    <w:t>原料区</w:t>
                  </w:r>
                </w:p>
              </w:tc>
              <w:tc>
                <w:tcPr>
                  <w:tcW w:w="1888" w:type="dxa"/>
                  <w:vAlign w:val="center"/>
                </w:tcPr>
                <w:p w14:paraId="0A1F4681">
                  <w:pPr>
                    <w:jc w:val="center"/>
                    <w:rPr>
                      <w:color w:val="auto"/>
                      <w:szCs w:val="21"/>
                    </w:rPr>
                  </w:pPr>
                  <w:r>
                    <w:rPr>
                      <w:rFonts w:hint="eastAsia"/>
                      <w:color w:val="auto"/>
                      <w:szCs w:val="21"/>
                    </w:rPr>
                    <w:t>漆料、胶黏剂</w:t>
                  </w:r>
                </w:p>
              </w:tc>
              <w:tc>
                <w:tcPr>
                  <w:tcW w:w="2181" w:type="dxa"/>
                  <w:vMerge w:val="restart"/>
                  <w:vAlign w:val="center"/>
                </w:tcPr>
                <w:p w14:paraId="653F7A87">
                  <w:pPr>
                    <w:jc w:val="center"/>
                    <w:rPr>
                      <w:color w:val="auto"/>
                      <w:szCs w:val="21"/>
                    </w:rPr>
                  </w:pPr>
                  <w:r>
                    <w:rPr>
                      <w:rFonts w:hint="eastAsia"/>
                      <w:color w:val="auto"/>
                      <w:szCs w:val="21"/>
                    </w:rPr>
                    <w:t>在危废暂存间暂存，定期交由</w:t>
                  </w:r>
                  <w:r>
                    <w:rPr>
                      <w:color w:val="auto"/>
                      <w:szCs w:val="21"/>
                    </w:rPr>
                    <w:t>有资质</w:t>
                  </w:r>
                  <w:r>
                    <w:rPr>
                      <w:rFonts w:hint="eastAsia"/>
                      <w:color w:val="auto"/>
                      <w:szCs w:val="21"/>
                    </w:rPr>
                    <w:t>的</w:t>
                  </w:r>
                  <w:r>
                    <w:rPr>
                      <w:color w:val="auto"/>
                      <w:szCs w:val="21"/>
                    </w:rPr>
                    <w:t>单位外运处置</w:t>
                  </w:r>
                </w:p>
              </w:tc>
            </w:tr>
            <w:tr w14:paraId="23E9F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364" w:type="dxa"/>
                  <w:vMerge w:val="continue"/>
                  <w:vAlign w:val="center"/>
                </w:tcPr>
                <w:p w14:paraId="4A5B0FBA">
                  <w:pPr>
                    <w:jc w:val="center"/>
                    <w:rPr>
                      <w:color w:val="auto"/>
                      <w:szCs w:val="21"/>
                    </w:rPr>
                  </w:pPr>
                </w:p>
              </w:tc>
              <w:tc>
                <w:tcPr>
                  <w:tcW w:w="2403" w:type="dxa"/>
                  <w:gridSpan w:val="2"/>
                  <w:vAlign w:val="center"/>
                </w:tcPr>
                <w:p w14:paraId="0F965963">
                  <w:pPr>
                    <w:jc w:val="center"/>
                    <w:rPr>
                      <w:rFonts w:hint="default" w:eastAsia="宋体"/>
                      <w:color w:val="auto"/>
                      <w:szCs w:val="21"/>
                      <w:lang w:val="en-US" w:eastAsia="zh-CN"/>
                    </w:rPr>
                  </w:pPr>
                  <w:r>
                    <w:rPr>
                      <w:rFonts w:hint="eastAsia"/>
                      <w:color w:val="auto"/>
                      <w:szCs w:val="21"/>
                      <w:lang w:val="en-US" w:eastAsia="zh-CN"/>
                    </w:rPr>
                    <w:t>废机油、废液压油</w:t>
                  </w:r>
                </w:p>
              </w:tc>
              <w:tc>
                <w:tcPr>
                  <w:tcW w:w="1549" w:type="dxa"/>
                  <w:vMerge w:val="restart"/>
                  <w:vAlign w:val="center"/>
                </w:tcPr>
                <w:p w14:paraId="0CD77DF9">
                  <w:pPr>
                    <w:jc w:val="center"/>
                    <w:rPr>
                      <w:rFonts w:hint="default" w:eastAsia="宋体"/>
                      <w:color w:val="auto"/>
                      <w:szCs w:val="21"/>
                      <w:lang w:val="en-US" w:eastAsia="zh-CN"/>
                    </w:rPr>
                  </w:pPr>
                  <w:r>
                    <w:rPr>
                      <w:rFonts w:hint="eastAsia"/>
                      <w:color w:val="auto"/>
                      <w:szCs w:val="21"/>
                      <w:lang w:val="en-US" w:eastAsia="zh-CN"/>
                    </w:rPr>
                    <w:t>生产设备</w:t>
                  </w:r>
                </w:p>
              </w:tc>
              <w:tc>
                <w:tcPr>
                  <w:tcW w:w="1888" w:type="dxa"/>
                  <w:vAlign w:val="center"/>
                </w:tcPr>
                <w:p w14:paraId="3C7E0133">
                  <w:pPr>
                    <w:jc w:val="center"/>
                    <w:rPr>
                      <w:rFonts w:hint="default"/>
                      <w:color w:val="auto"/>
                      <w:szCs w:val="21"/>
                      <w:lang w:val="en-US"/>
                    </w:rPr>
                  </w:pPr>
                  <w:r>
                    <w:rPr>
                      <w:rFonts w:hint="eastAsia"/>
                      <w:color w:val="auto"/>
                      <w:szCs w:val="21"/>
                      <w:lang w:val="en-US" w:eastAsia="zh-CN"/>
                    </w:rPr>
                    <w:t>废机油、废液压油</w:t>
                  </w:r>
                </w:p>
              </w:tc>
              <w:tc>
                <w:tcPr>
                  <w:tcW w:w="2181" w:type="dxa"/>
                  <w:vMerge w:val="continue"/>
                  <w:vAlign w:val="center"/>
                </w:tcPr>
                <w:p w14:paraId="2E50BBF3">
                  <w:pPr>
                    <w:jc w:val="center"/>
                    <w:rPr>
                      <w:rFonts w:hint="eastAsia"/>
                      <w:color w:val="auto"/>
                      <w:szCs w:val="21"/>
                    </w:rPr>
                  </w:pPr>
                </w:p>
              </w:tc>
            </w:tr>
            <w:tr w14:paraId="544D2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364" w:type="dxa"/>
                  <w:vMerge w:val="continue"/>
                  <w:vAlign w:val="center"/>
                </w:tcPr>
                <w:p w14:paraId="0810630D">
                  <w:pPr>
                    <w:jc w:val="center"/>
                    <w:rPr>
                      <w:color w:val="auto"/>
                      <w:szCs w:val="21"/>
                    </w:rPr>
                  </w:pPr>
                </w:p>
              </w:tc>
              <w:tc>
                <w:tcPr>
                  <w:tcW w:w="2403" w:type="dxa"/>
                  <w:gridSpan w:val="2"/>
                  <w:vAlign w:val="center"/>
                </w:tcPr>
                <w:p w14:paraId="3FBF5042">
                  <w:pPr>
                    <w:jc w:val="center"/>
                    <w:rPr>
                      <w:rFonts w:hint="default"/>
                      <w:color w:val="auto"/>
                      <w:szCs w:val="21"/>
                      <w:lang w:val="en-US" w:eastAsia="zh-CN"/>
                    </w:rPr>
                  </w:pPr>
                  <w:r>
                    <w:rPr>
                      <w:rFonts w:hint="eastAsia"/>
                      <w:color w:val="auto"/>
                      <w:szCs w:val="21"/>
                      <w:lang w:val="en-US" w:eastAsia="zh-CN"/>
                    </w:rPr>
                    <w:t>废机油桶、废液压油桶</w:t>
                  </w:r>
                </w:p>
              </w:tc>
              <w:tc>
                <w:tcPr>
                  <w:tcW w:w="1549" w:type="dxa"/>
                  <w:vMerge w:val="continue"/>
                  <w:vAlign w:val="center"/>
                </w:tcPr>
                <w:p w14:paraId="5BB2E490">
                  <w:pPr>
                    <w:jc w:val="center"/>
                    <w:rPr>
                      <w:rFonts w:hint="eastAsia"/>
                      <w:color w:val="auto"/>
                      <w:szCs w:val="21"/>
                      <w:lang w:val="en-US" w:eastAsia="zh-CN"/>
                    </w:rPr>
                  </w:pPr>
                </w:p>
              </w:tc>
              <w:tc>
                <w:tcPr>
                  <w:tcW w:w="1888" w:type="dxa"/>
                  <w:vAlign w:val="center"/>
                </w:tcPr>
                <w:p w14:paraId="2E0EB22D">
                  <w:pPr>
                    <w:jc w:val="center"/>
                    <w:rPr>
                      <w:rFonts w:hint="eastAsia"/>
                      <w:color w:val="auto"/>
                      <w:szCs w:val="21"/>
                      <w:lang w:val="en-US" w:eastAsia="zh-CN"/>
                    </w:rPr>
                  </w:pPr>
                  <w:r>
                    <w:rPr>
                      <w:rFonts w:hint="eastAsia"/>
                      <w:color w:val="auto"/>
                      <w:szCs w:val="21"/>
                      <w:lang w:val="en-US" w:eastAsia="zh-CN"/>
                    </w:rPr>
                    <w:t>废机油桶、废液压油桶</w:t>
                  </w:r>
                </w:p>
              </w:tc>
              <w:tc>
                <w:tcPr>
                  <w:tcW w:w="2181" w:type="dxa"/>
                  <w:vMerge w:val="continue"/>
                  <w:vAlign w:val="center"/>
                </w:tcPr>
                <w:p w14:paraId="5C3DF4A9">
                  <w:pPr>
                    <w:jc w:val="center"/>
                    <w:rPr>
                      <w:rFonts w:hint="eastAsia"/>
                      <w:color w:val="auto"/>
                      <w:szCs w:val="21"/>
                    </w:rPr>
                  </w:pPr>
                </w:p>
              </w:tc>
            </w:tr>
            <w:tr w14:paraId="67A17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364" w:type="dxa"/>
                  <w:vMerge w:val="continue"/>
                  <w:vAlign w:val="center"/>
                </w:tcPr>
                <w:p w14:paraId="15DF6013">
                  <w:pPr>
                    <w:jc w:val="center"/>
                    <w:rPr>
                      <w:color w:val="auto"/>
                      <w:szCs w:val="21"/>
                    </w:rPr>
                  </w:pPr>
                </w:p>
              </w:tc>
              <w:tc>
                <w:tcPr>
                  <w:tcW w:w="2403" w:type="dxa"/>
                  <w:gridSpan w:val="2"/>
                  <w:tcBorders>
                    <w:bottom w:val="single" w:color="000000" w:sz="4" w:space="0"/>
                  </w:tcBorders>
                  <w:vAlign w:val="center"/>
                </w:tcPr>
                <w:p w14:paraId="180CBBF9">
                  <w:pPr>
                    <w:jc w:val="center"/>
                    <w:rPr>
                      <w:rFonts w:hint="eastAsia" w:eastAsia="宋体"/>
                      <w:b/>
                      <w:bCs/>
                      <w:color w:val="auto"/>
                      <w:szCs w:val="21"/>
                      <w:u w:val="single"/>
                      <w:lang w:val="en-US" w:eastAsia="zh-CN"/>
                    </w:rPr>
                  </w:pPr>
                  <w:r>
                    <w:rPr>
                      <w:rFonts w:hint="eastAsia"/>
                      <w:b/>
                      <w:bCs/>
                      <w:color w:val="auto"/>
                      <w:szCs w:val="21"/>
                      <w:u w:val="single"/>
                      <w:lang w:val="en-US" w:eastAsia="zh-CN"/>
                    </w:rPr>
                    <w:t>油磨粉尘</w:t>
                  </w:r>
                </w:p>
              </w:tc>
              <w:tc>
                <w:tcPr>
                  <w:tcW w:w="1549" w:type="dxa"/>
                  <w:tcBorders>
                    <w:bottom w:val="single" w:color="000000" w:sz="4" w:space="0"/>
                  </w:tcBorders>
                  <w:vAlign w:val="center"/>
                </w:tcPr>
                <w:p w14:paraId="3AB047C7">
                  <w:pPr>
                    <w:jc w:val="center"/>
                    <w:rPr>
                      <w:rFonts w:hint="eastAsia" w:eastAsia="宋体"/>
                      <w:b/>
                      <w:bCs/>
                      <w:color w:val="auto"/>
                      <w:szCs w:val="21"/>
                      <w:u w:val="single"/>
                      <w:lang w:val="en-US" w:eastAsia="zh-CN"/>
                    </w:rPr>
                  </w:pPr>
                  <w:r>
                    <w:rPr>
                      <w:rFonts w:hint="eastAsia"/>
                      <w:b/>
                      <w:bCs/>
                      <w:color w:val="auto"/>
                      <w:szCs w:val="21"/>
                      <w:u w:val="single"/>
                      <w:lang w:val="en-US" w:eastAsia="zh-CN"/>
                    </w:rPr>
                    <w:t>废气治理设施</w:t>
                  </w:r>
                </w:p>
              </w:tc>
              <w:tc>
                <w:tcPr>
                  <w:tcW w:w="1888" w:type="dxa"/>
                  <w:tcBorders>
                    <w:bottom w:val="single" w:color="000000" w:sz="4" w:space="0"/>
                  </w:tcBorders>
                  <w:vAlign w:val="center"/>
                </w:tcPr>
                <w:p w14:paraId="0789CB00">
                  <w:pPr>
                    <w:jc w:val="center"/>
                    <w:rPr>
                      <w:rFonts w:hint="eastAsia" w:eastAsia="宋体"/>
                      <w:b/>
                      <w:bCs/>
                      <w:color w:val="auto"/>
                      <w:szCs w:val="21"/>
                      <w:u w:val="single"/>
                      <w:lang w:val="en-US" w:eastAsia="zh-CN"/>
                    </w:rPr>
                  </w:pPr>
                  <w:r>
                    <w:rPr>
                      <w:rFonts w:hint="eastAsia"/>
                      <w:b/>
                      <w:bCs/>
                      <w:color w:val="auto"/>
                      <w:szCs w:val="21"/>
                      <w:u w:val="single"/>
                      <w:lang w:val="en-US" w:eastAsia="zh-CN"/>
                    </w:rPr>
                    <w:t>含漆料粉尘</w:t>
                  </w:r>
                </w:p>
              </w:tc>
              <w:tc>
                <w:tcPr>
                  <w:tcW w:w="2181" w:type="dxa"/>
                  <w:vMerge w:val="continue"/>
                  <w:vAlign w:val="center"/>
                </w:tcPr>
                <w:p w14:paraId="33AC0F41">
                  <w:pPr>
                    <w:jc w:val="center"/>
                    <w:rPr>
                      <w:color w:val="auto"/>
                      <w:szCs w:val="21"/>
                    </w:rPr>
                  </w:pPr>
                </w:p>
              </w:tc>
            </w:tr>
            <w:tr w14:paraId="02760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364" w:type="dxa"/>
                  <w:vMerge w:val="continue"/>
                  <w:vAlign w:val="center"/>
                </w:tcPr>
                <w:p w14:paraId="2523F4A2">
                  <w:pPr>
                    <w:jc w:val="center"/>
                    <w:rPr>
                      <w:color w:val="auto"/>
                      <w:szCs w:val="21"/>
                    </w:rPr>
                  </w:pPr>
                </w:p>
              </w:tc>
              <w:tc>
                <w:tcPr>
                  <w:tcW w:w="2403" w:type="dxa"/>
                  <w:gridSpan w:val="2"/>
                  <w:tcBorders>
                    <w:bottom w:val="single" w:color="000000" w:sz="4" w:space="0"/>
                  </w:tcBorders>
                  <w:vAlign w:val="center"/>
                </w:tcPr>
                <w:p w14:paraId="3F522400">
                  <w:pPr>
                    <w:jc w:val="center"/>
                    <w:rPr>
                      <w:color w:val="auto"/>
                      <w:szCs w:val="21"/>
                    </w:rPr>
                  </w:pPr>
                  <w:r>
                    <w:rPr>
                      <w:rFonts w:hint="eastAsia"/>
                      <w:color w:val="auto"/>
                      <w:szCs w:val="21"/>
                    </w:rPr>
                    <w:t>废过滤棉（含漆渣）</w:t>
                  </w:r>
                </w:p>
              </w:tc>
              <w:tc>
                <w:tcPr>
                  <w:tcW w:w="1549" w:type="dxa"/>
                  <w:tcBorders>
                    <w:bottom w:val="single" w:color="000000" w:sz="4" w:space="0"/>
                  </w:tcBorders>
                  <w:vAlign w:val="center"/>
                </w:tcPr>
                <w:p w14:paraId="207E96B3">
                  <w:pPr>
                    <w:jc w:val="center"/>
                    <w:rPr>
                      <w:color w:val="auto"/>
                      <w:szCs w:val="21"/>
                    </w:rPr>
                  </w:pPr>
                  <w:r>
                    <w:rPr>
                      <w:rFonts w:hint="eastAsia"/>
                      <w:color w:val="auto"/>
                      <w:szCs w:val="21"/>
                    </w:rPr>
                    <w:t>废气治理设施</w:t>
                  </w:r>
                </w:p>
              </w:tc>
              <w:tc>
                <w:tcPr>
                  <w:tcW w:w="1888" w:type="dxa"/>
                  <w:tcBorders>
                    <w:bottom w:val="single" w:color="000000" w:sz="4" w:space="0"/>
                  </w:tcBorders>
                  <w:vAlign w:val="center"/>
                </w:tcPr>
                <w:p w14:paraId="54D72AF4">
                  <w:pPr>
                    <w:jc w:val="center"/>
                    <w:rPr>
                      <w:color w:val="auto"/>
                      <w:szCs w:val="21"/>
                    </w:rPr>
                  </w:pPr>
                  <w:r>
                    <w:rPr>
                      <w:rFonts w:hint="eastAsia"/>
                      <w:bCs/>
                      <w:color w:val="auto"/>
                      <w:szCs w:val="21"/>
                    </w:rPr>
                    <w:t>漆料</w:t>
                  </w:r>
                </w:p>
              </w:tc>
              <w:tc>
                <w:tcPr>
                  <w:tcW w:w="2181" w:type="dxa"/>
                  <w:vMerge w:val="continue"/>
                  <w:vAlign w:val="center"/>
                </w:tcPr>
                <w:p w14:paraId="57121FDD">
                  <w:pPr>
                    <w:jc w:val="center"/>
                    <w:rPr>
                      <w:color w:val="auto"/>
                      <w:szCs w:val="21"/>
                    </w:rPr>
                  </w:pPr>
                </w:p>
              </w:tc>
            </w:tr>
            <w:tr w14:paraId="40999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364" w:type="dxa"/>
                  <w:vMerge w:val="continue"/>
                  <w:vAlign w:val="center"/>
                </w:tcPr>
                <w:p w14:paraId="3EC557EF">
                  <w:pPr>
                    <w:jc w:val="center"/>
                    <w:rPr>
                      <w:color w:val="auto"/>
                      <w:szCs w:val="21"/>
                    </w:rPr>
                  </w:pPr>
                </w:p>
              </w:tc>
              <w:tc>
                <w:tcPr>
                  <w:tcW w:w="2403" w:type="dxa"/>
                  <w:gridSpan w:val="2"/>
                  <w:vAlign w:val="center"/>
                </w:tcPr>
                <w:p w14:paraId="71146D85">
                  <w:pPr>
                    <w:jc w:val="center"/>
                    <w:rPr>
                      <w:rFonts w:hint="default" w:eastAsia="宋体"/>
                      <w:color w:val="auto"/>
                      <w:szCs w:val="21"/>
                      <w:lang w:val="en-US" w:eastAsia="zh-CN"/>
                    </w:rPr>
                  </w:pPr>
                  <w:r>
                    <w:rPr>
                      <w:rFonts w:hint="eastAsia"/>
                      <w:color w:val="auto"/>
                      <w:szCs w:val="21"/>
                    </w:rPr>
                    <w:t>废活性炭</w:t>
                  </w:r>
                </w:p>
              </w:tc>
              <w:tc>
                <w:tcPr>
                  <w:tcW w:w="1549" w:type="dxa"/>
                  <w:vAlign w:val="center"/>
                </w:tcPr>
                <w:p w14:paraId="50E8C882">
                  <w:pPr>
                    <w:jc w:val="center"/>
                    <w:rPr>
                      <w:color w:val="auto"/>
                      <w:szCs w:val="21"/>
                    </w:rPr>
                  </w:pPr>
                  <w:r>
                    <w:rPr>
                      <w:rFonts w:hint="eastAsia"/>
                      <w:color w:val="auto"/>
                      <w:szCs w:val="21"/>
                    </w:rPr>
                    <w:t>废气治理设施</w:t>
                  </w:r>
                </w:p>
              </w:tc>
              <w:tc>
                <w:tcPr>
                  <w:tcW w:w="1888" w:type="dxa"/>
                  <w:vAlign w:val="center"/>
                </w:tcPr>
                <w:p w14:paraId="4AF462CE">
                  <w:pPr>
                    <w:jc w:val="center"/>
                    <w:rPr>
                      <w:color w:val="auto"/>
                      <w:szCs w:val="21"/>
                    </w:rPr>
                  </w:pPr>
                  <w:r>
                    <w:rPr>
                      <w:rFonts w:hint="eastAsia"/>
                      <w:color w:val="auto"/>
                      <w:szCs w:val="21"/>
                    </w:rPr>
                    <w:t>挥发性有机物、</w:t>
                  </w:r>
                  <w:r>
                    <w:rPr>
                      <w:rFonts w:hint="eastAsia"/>
                      <w:bCs/>
                      <w:color w:val="auto"/>
                      <w:szCs w:val="21"/>
                    </w:rPr>
                    <w:t>漆料</w:t>
                  </w:r>
                </w:p>
              </w:tc>
              <w:tc>
                <w:tcPr>
                  <w:tcW w:w="2181" w:type="dxa"/>
                  <w:vMerge w:val="continue"/>
                  <w:vAlign w:val="center"/>
                </w:tcPr>
                <w:p w14:paraId="2FE1A4EA">
                  <w:pPr>
                    <w:jc w:val="center"/>
                    <w:rPr>
                      <w:color w:val="auto"/>
                      <w:szCs w:val="21"/>
                    </w:rPr>
                  </w:pPr>
                </w:p>
              </w:tc>
            </w:tr>
            <w:tr w14:paraId="04D4A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364" w:type="dxa"/>
                  <w:vMerge w:val="continue"/>
                  <w:vAlign w:val="center"/>
                </w:tcPr>
                <w:p w14:paraId="1A7F76D9">
                  <w:pPr>
                    <w:jc w:val="center"/>
                    <w:rPr>
                      <w:color w:val="auto"/>
                      <w:szCs w:val="21"/>
                    </w:rPr>
                  </w:pPr>
                </w:p>
              </w:tc>
              <w:tc>
                <w:tcPr>
                  <w:tcW w:w="2403" w:type="dxa"/>
                  <w:gridSpan w:val="2"/>
                  <w:vAlign w:val="center"/>
                </w:tcPr>
                <w:p w14:paraId="0490A19E">
                  <w:pPr>
                    <w:jc w:val="center"/>
                    <w:rPr>
                      <w:rFonts w:hint="eastAsia"/>
                      <w:color w:val="auto"/>
                      <w:szCs w:val="21"/>
                    </w:rPr>
                  </w:pPr>
                  <w:r>
                    <w:rPr>
                      <w:rFonts w:hint="eastAsia"/>
                      <w:color w:val="auto"/>
                      <w:szCs w:val="21"/>
                      <w:lang w:val="en-US" w:eastAsia="zh-CN"/>
                    </w:rPr>
                    <w:t>废催化剂</w:t>
                  </w:r>
                </w:p>
              </w:tc>
              <w:tc>
                <w:tcPr>
                  <w:tcW w:w="1549" w:type="dxa"/>
                  <w:vAlign w:val="center"/>
                </w:tcPr>
                <w:p w14:paraId="200B05CB">
                  <w:pPr>
                    <w:jc w:val="center"/>
                    <w:rPr>
                      <w:rFonts w:hint="eastAsia"/>
                      <w:color w:val="auto"/>
                      <w:szCs w:val="21"/>
                    </w:rPr>
                  </w:pPr>
                  <w:r>
                    <w:rPr>
                      <w:rFonts w:hint="eastAsia"/>
                      <w:color w:val="auto"/>
                      <w:szCs w:val="21"/>
                    </w:rPr>
                    <w:t>废气治理设施</w:t>
                  </w:r>
                </w:p>
              </w:tc>
              <w:tc>
                <w:tcPr>
                  <w:tcW w:w="1888" w:type="dxa"/>
                  <w:vAlign w:val="center"/>
                </w:tcPr>
                <w:p w14:paraId="4CC0AEF7">
                  <w:pPr>
                    <w:jc w:val="center"/>
                    <w:rPr>
                      <w:rFonts w:hint="eastAsia"/>
                      <w:color w:val="auto"/>
                      <w:szCs w:val="21"/>
                    </w:rPr>
                  </w:pPr>
                  <w:r>
                    <w:rPr>
                      <w:rFonts w:hint="eastAsia"/>
                      <w:color w:val="auto"/>
                      <w:szCs w:val="21"/>
                    </w:rPr>
                    <w:t>Pt、Pd</w:t>
                  </w:r>
                  <w:r>
                    <w:rPr>
                      <w:rFonts w:hint="eastAsia"/>
                      <w:color w:val="auto"/>
                      <w:szCs w:val="21"/>
                      <w:lang w:val="en-US" w:eastAsia="zh-CN"/>
                    </w:rPr>
                    <w:t>等</w:t>
                  </w:r>
                  <w:r>
                    <w:rPr>
                      <w:rFonts w:hint="eastAsia"/>
                      <w:color w:val="auto"/>
                      <w:szCs w:val="21"/>
                    </w:rPr>
                    <w:t>贵金属</w:t>
                  </w:r>
                </w:p>
              </w:tc>
              <w:tc>
                <w:tcPr>
                  <w:tcW w:w="2181" w:type="dxa"/>
                  <w:vMerge w:val="continue"/>
                  <w:vAlign w:val="center"/>
                </w:tcPr>
                <w:p w14:paraId="736E0DD0">
                  <w:pPr>
                    <w:jc w:val="center"/>
                    <w:rPr>
                      <w:color w:val="auto"/>
                      <w:szCs w:val="21"/>
                    </w:rPr>
                  </w:pPr>
                </w:p>
              </w:tc>
            </w:tr>
            <w:tr w14:paraId="0AA75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4" w:type="dxa"/>
                  <w:vMerge w:val="continue"/>
                  <w:vAlign w:val="center"/>
                </w:tcPr>
                <w:p w14:paraId="393CBA63">
                  <w:pPr>
                    <w:jc w:val="center"/>
                    <w:rPr>
                      <w:color w:val="auto"/>
                      <w:szCs w:val="21"/>
                    </w:rPr>
                  </w:pPr>
                </w:p>
              </w:tc>
              <w:tc>
                <w:tcPr>
                  <w:tcW w:w="2403" w:type="dxa"/>
                  <w:gridSpan w:val="2"/>
                  <w:vAlign w:val="center"/>
                </w:tcPr>
                <w:p w14:paraId="79B19045">
                  <w:pPr>
                    <w:jc w:val="center"/>
                    <w:rPr>
                      <w:color w:val="auto"/>
                      <w:szCs w:val="21"/>
                    </w:rPr>
                  </w:pPr>
                  <w:r>
                    <w:rPr>
                      <w:rFonts w:hint="eastAsia"/>
                      <w:color w:val="auto"/>
                      <w:szCs w:val="21"/>
                    </w:rPr>
                    <w:t>废UV灯管</w:t>
                  </w:r>
                </w:p>
              </w:tc>
              <w:tc>
                <w:tcPr>
                  <w:tcW w:w="1549" w:type="dxa"/>
                  <w:vAlign w:val="center"/>
                </w:tcPr>
                <w:p w14:paraId="01121560">
                  <w:pPr>
                    <w:jc w:val="center"/>
                    <w:rPr>
                      <w:color w:val="auto"/>
                      <w:szCs w:val="21"/>
                    </w:rPr>
                  </w:pPr>
                  <w:r>
                    <w:rPr>
                      <w:rFonts w:hint="eastAsia"/>
                      <w:color w:val="auto"/>
                      <w:szCs w:val="21"/>
                    </w:rPr>
                    <w:t>UV辊涂</w:t>
                  </w:r>
                  <w:r>
                    <w:rPr>
                      <w:rFonts w:hint="eastAsia"/>
                      <w:color w:val="auto"/>
                      <w:szCs w:val="21"/>
                      <w:lang w:val="en-US" w:eastAsia="zh-CN"/>
                    </w:rPr>
                    <w:t>线</w:t>
                  </w:r>
                </w:p>
              </w:tc>
              <w:tc>
                <w:tcPr>
                  <w:tcW w:w="1888" w:type="dxa"/>
                  <w:vAlign w:val="center"/>
                </w:tcPr>
                <w:p w14:paraId="332084C9">
                  <w:pPr>
                    <w:jc w:val="center"/>
                    <w:rPr>
                      <w:color w:val="auto"/>
                      <w:szCs w:val="21"/>
                    </w:rPr>
                  </w:pPr>
                  <w:r>
                    <w:rPr>
                      <w:rFonts w:hint="eastAsia"/>
                      <w:color w:val="auto"/>
                      <w:szCs w:val="21"/>
                    </w:rPr>
                    <w:t>含汞灯管</w:t>
                  </w:r>
                </w:p>
              </w:tc>
              <w:tc>
                <w:tcPr>
                  <w:tcW w:w="2181" w:type="dxa"/>
                  <w:vMerge w:val="continue"/>
                  <w:vAlign w:val="center"/>
                </w:tcPr>
                <w:p w14:paraId="72A3DB7E">
                  <w:pPr>
                    <w:jc w:val="center"/>
                    <w:rPr>
                      <w:color w:val="auto"/>
                      <w:szCs w:val="21"/>
                    </w:rPr>
                  </w:pPr>
                </w:p>
              </w:tc>
            </w:tr>
            <w:tr w14:paraId="204CF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364" w:type="dxa"/>
                  <w:vMerge w:val="continue"/>
                  <w:vAlign w:val="center"/>
                </w:tcPr>
                <w:p w14:paraId="475936C3">
                  <w:pPr>
                    <w:jc w:val="center"/>
                    <w:rPr>
                      <w:color w:val="auto"/>
                      <w:szCs w:val="21"/>
                    </w:rPr>
                  </w:pPr>
                </w:p>
              </w:tc>
              <w:tc>
                <w:tcPr>
                  <w:tcW w:w="2403" w:type="dxa"/>
                  <w:gridSpan w:val="2"/>
                  <w:vAlign w:val="center"/>
                </w:tcPr>
                <w:p w14:paraId="13B06E7B">
                  <w:pPr>
                    <w:jc w:val="center"/>
                    <w:rPr>
                      <w:rFonts w:hint="eastAsia"/>
                      <w:color w:val="auto"/>
                      <w:szCs w:val="21"/>
                    </w:rPr>
                  </w:pPr>
                  <w:r>
                    <w:rPr>
                      <w:rFonts w:hint="eastAsia"/>
                      <w:color w:val="auto"/>
                      <w:szCs w:val="21"/>
                    </w:rPr>
                    <w:t>生活垃圾</w:t>
                  </w:r>
                </w:p>
              </w:tc>
              <w:tc>
                <w:tcPr>
                  <w:tcW w:w="1549" w:type="dxa"/>
                  <w:vAlign w:val="center"/>
                </w:tcPr>
                <w:p w14:paraId="1C98EABB">
                  <w:pPr>
                    <w:jc w:val="center"/>
                    <w:rPr>
                      <w:rFonts w:hint="eastAsia"/>
                      <w:color w:val="auto"/>
                      <w:szCs w:val="21"/>
                    </w:rPr>
                  </w:pPr>
                  <w:r>
                    <w:rPr>
                      <w:rFonts w:hint="eastAsia"/>
                      <w:color w:val="auto"/>
                      <w:szCs w:val="21"/>
                    </w:rPr>
                    <w:t>员工生活办公</w:t>
                  </w:r>
                </w:p>
              </w:tc>
              <w:tc>
                <w:tcPr>
                  <w:tcW w:w="1888" w:type="dxa"/>
                  <w:vAlign w:val="center"/>
                </w:tcPr>
                <w:p w14:paraId="25B3C3F8">
                  <w:pPr>
                    <w:jc w:val="center"/>
                    <w:rPr>
                      <w:bCs/>
                      <w:color w:val="auto"/>
                      <w:szCs w:val="21"/>
                    </w:rPr>
                  </w:pPr>
                  <w:r>
                    <w:rPr>
                      <w:rFonts w:hint="eastAsia"/>
                      <w:bCs/>
                      <w:color w:val="auto"/>
                      <w:szCs w:val="21"/>
                    </w:rPr>
                    <w:t>/</w:t>
                  </w:r>
                </w:p>
              </w:tc>
              <w:tc>
                <w:tcPr>
                  <w:tcW w:w="2181" w:type="dxa"/>
                  <w:vAlign w:val="center"/>
                </w:tcPr>
                <w:p w14:paraId="76F8D91D">
                  <w:pPr>
                    <w:jc w:val="center"/>
                    <w:rPr>
                      <w:color w:val="auto"/>
                      <w:szCs w:val="21"/>
                    </w:rPr>
                  </w:pPr>
                  <w:r>
                    <w:rPr>
                      <w:rFonts w:hint="eastAsia"/>
                      <w:color w:val="auto"/>
                      <w:szCs w:val="21"/>
                    </w:rPr>
                    <w:t>交由环卫部门处置</w:t>
                  </w:r>
                </w:p>
              </w:tc>
            </w:tr>
          </w:tbl>
          <w:p w14:paraId="60823ADB">
            <w:pPr>
              <w:pStyle w:val="2"/>
              <w:rPr>
                <w:rFonts w:hint="eastAsia"/>
                <w:color w:val="auto"/>
                <w:sz w:val="24"/>
                <w:szCs w:val="24"/>
              </w:rPr>
            </w:pPr>
          </w:p>
        </w:tc>
      </w:tr>
      <w:tr w14:paraId="683E3C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457" w:type="dxa"/>
            <w:vAlign w:val="center"/>
          </w:tcPr>
          <w:p w14:paraId="14367D6D">
            <w:pPr>
              <w:pStyle w:val="21"/>
              <w:adjustRightInd w:val="0"/>
              <w:snapToGrid w:val="0"/>
              <w:spacing w:before="0" w:beforeAutospacing="0" w:after="0" w:afterAutospacing="0"/>
              <w:jc w:val="center"/>
              <w:rPr>
                <w:rFonts w:cs="宋体"/>
                <w:color w:val="auto"/>
                <w:sz w:val="21"/>
                <w:szCs w:val="21"/>
              </w:rPr>
            </w:pPr>
            <w:r>
              <w:rPr>
                <w:rFonts w:hint="eastAsia" w:cs="宋体"/>
                <w:b/>
                <w:color w:val="auto"/>
                <w:kern w:val="2"/>
                <w:szCs w:val="24"/>
              </w:rPr>
              <w:t>与项目有关的原有环境污染问题</w:t>
            </w:r>
          </w:p>
        </w:tc>
        <w:tc>
          <w:tcPr>
            <w:tcW w:w="8830" w:type="dxa"/>
            <w:vAlign w:val="top"/>
          </w:tcPr>
          <w:p w14:paraId="5CC3FEF5">
            <w:pPr>
              <w:spacing w:line="360" w:lineRule="auto"/>
              <w:ind w:firstLine="480" w:firstLineChars="200"/>
              <w:rPr>
                <w:rFonts w:hint="eastAsia"/>
                <w:bCs/>
                <w:color w:val="auto"/>
                <w:sz w:val="24"/>
                <w:lang w:val="en-US" w:eastAsia="zh-CN"/>
              </w:rPr>
            </w:pPr>
            <w:r>
              <w:rPr>
                <w:rFonts w:hint="eastAsia"/>
                <w:bCs/>
                <w:color w:val="auto"/>
                <w:sz w:val="24"/>
              </w:rPr>
              <w:t>本项目租赁清丰中顺家具有限公司西侧两车间进行生产</w:t>
            </w:r>
            <w:r>
              <w:rPr>
                <w:rFonts w:hint="eastAsia"/>
                <w:bCs/>
                <w:color w:val="auto"/>
                <w:sz w:val="24"/>
                <w:lang w:eastAsia="zh-CN"/>
              </w:rPr>
              <w:t>，</w:t>
            </w:r>
            <w:r>
              <w:rPr>
                <w:rFonts w:hint="eastAsia"/>
                <w:bCs/>
                <w:color w:val="auto"/>
                <w:sz w:val="24"/>
                <w:lang w:val="en-US" w:eastAsia="zh-CN"/>
              </w:rPr>
              <w:t>车间原为空置状态，建设以来，未进行过任何生产经营活动，不涉及原有环境污染问题。</w:t>
            </w:r>
          </w:p>
          <w:p w14:paraId="294141CF">
            <w:pPr>
              <w:spacing w:line="360" w:lineRule="auto"/>
              <w:ind w:firstLine="482" w:firstLineChars="200"/>
              <w:rPr>
                <w:rFonts w:hint="default" w:ascii="Times New Roman" w:hAnsi="Times New Roman" w:eastAsia="宋体" w:cs="Times New Roman"/>
                <w:b/>
                <w:bCs w:val="0"/>
                <w:color w:val="auto"/>
                <w:sz w:val="24"/>
                <w:u w:val="single"/>
                <w:lang w:val="en-US" w:eastAsia="zh-CN"/>
              </w:rPr>
            </w:pPr>
            <w:r>
              <w:rPr>
                <w:rFonts w:hint="eastAsia" w:cs="Times New Roman"/>
                <w:b/>
                <w:bCs w:val="0"/>
                <w:color w:val="auto"/>
                <w:sz w:val="24"/>
                <w:u w:val="single"/>
                <w:lang w:val="en-US" w:eastAsia="zh-CN"/>
              </w:rPr>
              <w:t>2016年11月16日，清丰中顺家具有限公司年产3万件(套)家具项目通过清丰县发展和改革委员会备案（豫濮清集制造[2016]25935）符合国家产业政策，同意投资建设。中顺家具公司于</w:t>
            </w:r>
            <w:r>
              <w:rPr>
                <w:rFonts w:hint="eastAsia" w:cs="Times New Roman"/>
                <w:b/>
                <w:bCs w:val="0"/>
                <w:color w:val="auto"/>
                <w:sz w:val="24"/>
                <w:highlight w:val="none"/>
                <w:u w:val="single"/>
                <w:lang w:val="en-US" w:eastAsia="zh-CN"/>
              </w:rPr>
              <w:t>2017年9月</w:t>
            </w:r>
            <w:r>
              <w:rPr>
                <w:rFonts w:hint="eastAsia" w:cs="Times New Roman"/>
                <w:b/>
                <w:bCs w:val="0"/>
                <w:color w:val="auto"/>
                <w:sz w:val="24"/>
                <w:u w:val="single"/>
                <w:lang w:val="en-US" w:eastAsia="zh-CN"/>
              </w:rPr>
              <w:t>委托河南源通环保工程有限公司编制《清丰中顺家具有限公司年产3万件（套）家具环境影响报告书》，并提交至清丰县环境保护局审查；清丰县环境保护局于2017年9月28日以“清环书审[2017]49号”对该项目进行审批。2018年8月，该项目各生产设备和环保设施运行正常，具备竣工环保验收条件，河南申越检测技术有限公司对该项目全厂环保设施进行了验收监测，河南含德众行环保科技有限公司根据《关于发布建设项目竣工环境保护验收技术指南 污染影响类的公告》，生态环境部公告2018年第9号，组织编制完成了《清丰中顺家具有限公司年产3万件(套)家具项目竣工环境保护验收报告》。2018年9月29日，清丰中顺家具有限公司针对该项目验收情况组织了专家评审会，并通过评审。</w:t>
            </w:r>
          </w:p>
          <w:p w14:paraId="7F612E60">
            <w:pPr>
              <w:spacing w:line="360" w:lineRule="auto"/>
              <w:ind w:firstLine="482" w:firstLineChars="200"/>
              <w:rPr>
                <w:rFonts w:hint="eastAsia" w:ascii="Times New Roman" w:hAnsi="Times New Roman" w:eastAsia="宋体" w:cs="Times New Roman"/>
                <w:b/>
                <w:bCs w:val="0"/>
                <w:color w:val="auto"/>
                <w:sz w:val="24"/>
                <w:u w:val="single"/>
                <w:lang w:val="en-US" w:eastAsia="zh-CN"/>
              </w:rPr>
            </w:pPr>
            <w:r>
              <w:rPr>
                <w:rFonts w:hint="eastAsia" w:cs="Times New Roman"/>
                <w:b/>
                <w:bCs w:val="0"/>
                <w:color w:val="auto"/>
                <w:sz w:val="24"/>
                <w:u w:val="single"/>
                <w:lang w:val="en-US" w:eastAsia="zh-CN"/>
              </w:rPr>
              <w:t>中顺家具建成后并未在西侧两车间进行生产，</w:t>
            </w:r>
            <w:r>
              <w:rPr>
                <w:rFonts w:hint="eastAsia" w:ascii="Times New Roman" w:hAnsi="Times New Roman" w:eastAsia="宋体" w:cs="Times New Roman"/>
                <w:b/>
                <w:bCs w:val="0"/>
                <w:color w:val="auto"/>
                <w:sz w:val="24"/>
                <w:u w:val="single"/>
                <w:lang w:val="en-US" w:eastAsia="zh-CN"/>
              </w:rPr>
              <w:t>本项目生产设备均利用中顺家具原有设备，新增环保设备及风机，目前项目内只进行设备存放，尚未生产。</w:t>
            </w:r>
          </w:p>
          <w:p w14:paraId="500ADC08">
            <w:pPr>
              <w:rPr>
                <w:rFonts w:hint="eastAsia" w:ascii="Times New Roman" w:hAnsi="Times New Roman" w:eastAsia="宋体" w:cs="Times New Roman"/>
                <w:b/>
                <w:bCs w:val="0"/>
                <w:color w:val="auto"/>
                <w:sz w:val="24"/>
                <w:u w:val="single"/>
                <w:lang w:val="en-US" w:eastAsia="zh-CN"/>
              </w:rPr>
            </w:pPr>
          </w:p>
          <w:p w14:paraId="1FCD9B71">
            <w:pPr>
              <w:pStyle w:val="2"/>
              <w:rPr>
                <w:rFonts w:hint="eastAsia"/>
                <w:color w:val="auto"/>
              </w:rPr>
            </w:pPr>
          </w:p>
          <w:p w14:paraId="47BE498B">
            <w:pPr>
              <w:rPr>
                <w:rFonts w:hint="eastAsia"/>
                <w:color w:val="auto"/>
              </w:rPr>
            </w:pPr>
          </w:p>
          <w:p w14:paraId="6CD1DF75">
            <w:pPr>
              <w:pStyle w:val="2"/>
              <w:rPr>
                <w:rFonts w:hint="eastAsia"/>
                <w:color w:val="auto"/>
              </w:rPr>
            </w:pPr>
          </w:p>
          <w:p w14:paraId="3F51AF13">
            <w:pPr>
              <w:rPr>
                <w:rFonts w:hint="eastAsia"/>
                <w:color w:val="auto"/>
              </w:rPr>
            </w:pPr>
          </w:p>
          <w:p w14:paraId="5F701247">
            <w:pPr>
              <w:pStyle w:val="2"/>
              <w:rPr>
                <w:rFonts w:hint="eastAsia"/>
                <w:color w:val="auto"/>
              </w:rPr>
            </w:pPr>
          </w:p>
          <w:p w14:paraId="234BE419">
            <w:pPr>
              <w:rPr>
                <w:rFonts w:hint="eastAsia"/>
                <w:color w:val="auto"/>
              </w:rPr>
            </w:pPr>
          </w:p>
          <w:p w14:paraId="13B04B68">
            <w:pPr>
              <w:pStyle w:val="2"/>
              <w:rPr>
                <w:rFonts w:hint="eastAsia"/>
                <w:color w:val="auto"/>
              </w:rPr>
            </w:pPr>
          </w:p>
          <w:p w14:paraId="2F400DB7">
            <w:pPr>
              <w:rPr>
                <w:rFonts w:hint="eastAsia"/>
                <w:color w:val="auto"/>
              </w:rPr>
            </w:pPr>
          </w:p>
          <w:p w14:paraId="7ED0566A">
            <w:pPr>
              <w:pStyle w:val="2"/>
              <w:rPr>
                <w:rFonts w:hint="eastAsia"/>
                <w:color w:val="auto"/>
              </w:rPr>
            </w:pPr>
          </w:p>
        </w:tc>
      </w:tr>
    </w:tbl>
    <w:p w14:paraId="0BC3DCE1">
      <w:pPr>
        <w:pStyle w:val="21"/>
        <w:jc w:val="center"/>
        <w:rPr>
          <w:rFonts w:ascii="黑体" w:hAnsi="黑体" w:eastAsia="黑体"/>
          <w:snapToGrid w:val="0"/>
          <w:color w:val="auto"/>
          <w:sz w:val="36"/>
          <w:szCs w:val="36"/>
        </w:rPr>
        <w:sectPr>
          <w:pgSz w:w="11905" w:h="16838"/>
          <w:pgMar w:top="1417" w:right="1417" w:bottom="1417" w:left="1417" w:header="851" w:footer="1077" w:gutter="0"/>
          <w:pgNumType w:fmt="decimal"/>
          <w:cols w:space="720" w:num="1"/>
          <w:docGrid w:linePitch="312" w:charSpace="0"/>
        </w:sectPr>
      </w:pPr>
    </w:p>
    <w:p w14:paraId="52E79374">
      <w:pPr>
        <w:pStyle w:val="21"/>
        <w:adjustRightInd w:val="0"/>
        <w:snapToGrid w:val="0"/>
        <w:spacing w:before="0" w:beforeAutospacing="0" w:after="0" w:afterAutospacing="0" w:line="14" w:lineRule="auto"/>
        <w:jc w:val="center"/>
        <w:rPr>
          <w:rFonts w:hint="eastAsia" w:ascii="黑体" w:hAnsi="黑体" w:eastAsia="黑体"/>
          <w:snapToGrid w:val="0"/>
          <w:color w:val="auto"/>
          <w:sz w:val="30"/>
          <w:szCs w:val="30"/>
        </w:rPr>
      </w:pPr>
    </w:p>
    <w:p w14:paraId="388FE351">
      <w:pPr>
        <w:pStyle w:val="2"/>
        <w:spacing w:before="0" w:after="0" w:line="240" w:lineRule="auto"/>
        <w:ind w:left="0" w:firstLine="0"/>
        <w:jc w:val="center"/>
        <w:rPr>
          <w:color w:val="auto"/>
        </w:rPr>
      </w:pPr>
      <w:bookmarkStart w:id="76" w:name="_Toc22719"/>
      <w:bookmarkStart w:id="77" w:name="_Toc17037"/>
      <w:bookmarkStart w:id="78" w:name="_Toc31774"/>
      <w:r>
        <w:rPr>
          <w:rFonts w:hint="eastAsia" w:ascii="宋体" w:hAnsi="宋体" w:eastAsia="宋体" w:cs="宋体"/>
          <w:color w:val="auto"/>
        </w:rPr>
        <w:t>三、区域环境质量现状、环境保护目标及评价标准</w:t>
      </w:r>
      <w:bookmarkEnd w:id="76"/>
      <w:bookmarkEnd w:id="77"/>
      <w:bookmarkEnd w:id="78"/>
    </w:p>
    <w:tbl>
      <w:tblPr>
        <w:tblStyle w:val="25"/>
        <w:tblW w:w="906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8609"/>
      </w:tblGrid>
      <w:tr w14:paraId="09DCF5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452" w:type="dxa"/>
            <w:vAlign w:val="center"/>
          </w:tcPr>
          <w:p w14:paraId="2BFEDECC">
            <w:pPr>
              <w:adjustRightInd w:val="0"/>
              <w:snapToGrid w:val="0"/>
              <w:jc w:val="center"/>
              <w:rPr>
                <w:rFonts w:hint="eastAsia" w:ascii="宋体" w:hAnsi="宋体" w:cs="宋体"/>
                <w:b/>
                <w:bCs/>
                <w:color w:val="auto"/>
                <w:kern w:val="0"/>
                <w:sz w:val="24"/>
              </w:rPr>
            </w:pPr>
            <w:r>
              <w:rPr>
                <w:rFonts w:hint="eastAsia" w:ascii="宋体" w:hAnsi="宋体" w:cs="宋体"/>
                <w:b/>
                <w:bCs/>
                <w:color w:val="auto"/>
                <w:kern w:val="0"/>
                <w:sz w:val="24"/>
              </w:rPr>
              <w:t>区域</w:t>
            </w:r>
          </w:p>
          <w:p w14:paraId="4474F449">
            <w:pPr>
              <w:adjustRightInd w:val="0"/>
              <w:snapToGrid w:val="0"/>
              <w:jc w:val="center"/>
              <w:rPr>
                <w:rFonts w:hint="eastAsia" w:ascii="宋体" w:hAnsi="宋体" w:cs="宋体"/>
                <w:b/>
                <w:bCs/>
                <w:color w:val="auto"/>
                <w:kern w:val="0"/>
                <w:sz w:val="24"/>
              </w:rPr>
            </w:pPr>
            <w:r>
              <w:rPr>
                <w:rFonts w:hint="eastAsia" w:ascii="宋体" w:hAnsi="宋体" w:cs="宋体"/>
                <w:b/>
                <w:bCs/>
                <w:color w:val="auto"/>
                <w:kern w:val="0"/>
                <w:sz w:val="24"/>
              </w:rPr>
              <w:t>环境</w:t>
            </w:r>
          </w:p>
          <w:p w14:paraId="1B5E155F">
            <w:pPr>
              <w:adjustRightInd w:val="0"/>
              <w:snapToGrid w:val="0"/>
              <w:jc w:val="center"/>
              <w:rPr>
                <w:rFonts w:hint="eastAsia" w:ascii="宋体" w:hAnsi="宋体" w:cs="宋体"/>
                <w:b/>
                <w:bCs/>
                <w:color w:val="auto"/>
                <w:kern w:val="0"/>
                <w:sz w:val="24"/>
              </w:rPr>
            </w:pPr>
            <w:r>
              <w:rPr>
                <w:rFonts w:hint="eastAsia" w:ascii="宋体" w:hAnsi="宋体" w:cs="宋体"/>
                <w:b/>
                <w:bCs/>
                <w:color w:val="auto"/>
                <w:kern w:val="0"/>
                <w:sz w:val="24"/>
              </w:rPr>
              <w:t>质量</w:t>
            </w:r>
          </w:p>
          <w:p w14:paraId="7A39BFBE">
            <w:pPr>
              <w:adjustRightInd w:val="0"/>
              <w:snapToGrid w:val="0"/>
              <w:jc w:val="center"/>
              <w:rPr>
                <w:rFonts w:ascii="宋体" w:hAnsi="宋体" w:cs="宋体"/>
                <w:color w:val="auto"/>
                <w:kern w:val="0"/>
                <w:szCs w:val="21"/>
              </w:rPr>
            </w:pPr>
            <w:r>
              <w:rPr>
                <w:rFonts w:hint="eastAsia" w:ascii="宋体" w:hAnsi="宋体" w:cs="宋体"/>
                <w:b/>
                <w:bCs/>
                <w:color w:val="auto"/>
                <w:kern w:val="0"/>
                <w:sz w:val="24"/>
              </w:rPr>
              <w:t>现状</w:t>
            </w:r>
          </w:p>
        </w:tc>
        <w:tc>
          <w:tcPr>
            <w:tcW w:w="8609" w:type="dxa"/>
            <w:vAlign w:val="center"/>
          </w:tcPr>
          <w:p w14:paraId="56E06605">
            <w:pPr>
              <w:snapToGrid w:val="0"/>
              <w:spacing w:line="360" w:lineRule="auto"/>
              <w:jc w:val="left"/>
              <w:rPr>
                <w:b/>
                <w:bCs/>
                <w:color w:val="auto"/>
                <w:sz w:val="24"/>
              </w:rPr>
            </w:pPr>
            <w:r>
              <w:rPr>
                <w:b/>
                <w:bCs/>
                <w:color w:val="auto"/>
                <w:sz w:val="24"/>
              </w:rPr>
              <w:t>1、环境空气质量现状</w:t>
            </w:r>
          </w:p>
          <w:p w14:paraId="568F169A">
            <w:pPr>
              <w:snapToGrid w:val="0"/>
              <w:spacing w:line="360" w:lineRule="auto"/>
              <w:ind w:firstLine="480" w:firstLineChars="200"/>
              <w:jc w:val="left"/>
              <w:rPr>
                <w:color w:val="auto"/>
                <w:kern w:val="0"/>
                <w:sz w:val="24"/>
              </w:rPr>
            </w:pPr>
            <w:r>
              <w:rPr>
                <w:color w:val="auto"/>
                <w:kern w:val="0"/>
                <w:sz w:val="24"/>
              </w:rPr>
              <w:t>（1）项目所在区域环境质量达标判断</w:t>
            </w:r>
          </w:p>
          <w:p w14:paraId="6629584F">
            <w:pPr>
              <w:snapToGrid w:val="0"/>
              <w:spacing w:line="360" w:lineRule="auto"/>
              <w:ind w:firstLine="480" w:firstLineChars="200"/>
              <w:rPr>
                <w:color w:val="auto"/>
                <w:sz w:val="24"/>
              </w:rPr>
            </w:pPr>
            <w:r>
              <w:rPr>
                <w:color w:val="auto"/>
                <w:sz w:val="24"/>
              </w:rPr>
              <w:t>根据生态环境部环境工程评估中心</w:t>
            </w:r>
            <w:r>
              <w:rPr>
                <w:rFonts w:hint="eastAsia"/>
                <w:color w:val="auto"/>
                <w:sz w:val="24"/>
              </w:rPr>
              <w:t>环境空气质量模型技术支持服务系统中达标区判定的2023年筛选结果可知，本项目所在区域濮阳市清丰县为不达标区，区域内2023年</w:t>
            </w:r>
            <w:r>
              <w:rPr>
                <w:color w:val="auto"/>
                <w:sz w:val="24"/>
              </w:rPr>
              <w:t>基本污染物统计数据见表。</w:t>
            </w:r>
          </w:p>
          <w:p w14:paraId="172DFC79">
            <w:pPr>
              <w:pStyle w:val="46"/>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eastAsia" w:ascii="Times New Roman" w:hAnsi="Arial Unicode MS" w:eastAsia="宋体" w:cs="Times New Roman"/>
                <w:b/>
                <w:color w:val="auto"/>
                <w:kern w:val="2"/>
                <w:sz w:val="24"/>
                <w:szCs w:val="24"/>
                <w:lang w:val="zh-CN" w:eastAsia="zh-CN" w:bidi="ar-SA"/>
              </w:rPr>
            </w:pPr>
            <w:r>
              <w:rPr>
                <w:rFonts w:hint="eastAsia" w:ascii="Times New Roman" w:hAnsi="Arial Unicode MS" w:eastAsia="宋体" w:cs="Times New Roman"/>
                <w:b/>
                <w:color w:val="auto"/>
                <w:kern w:val="2"/>
                <w:sz w:val="24"/>
                <w:szCs w:val="24"/>
                <w:lang w:val="zh-CN" w:eastAsia="zh-CN" w:bidi="ar-SA"/>
              </w:rPr>
              <w:t>清丰县空气质量现状评价表</w:t>
            </w:r>
          </w:p>
          <w:tbl>
            <w:tblPr>
              <w:tblStyle w:val="25"/>
              <w:tblW w:w="838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32"/>
              <w:gridCol w:w="2646"/>
              <w:gridCol w:w="1297"/>
              <w:gridCol w:w="1125"/>
              <w:gridCol w:w="1082"/>
              <w:gridCol w:w="1098"/>
            </w:tblGrid>
            <w:tr w14:paraId="6BB545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32" w:type="dxa"/>
                  <w:tcBorders>
                    <w:left w:val="single" w:color="auto" w:sz="0" w:space="0"/>
                  </w:tcBorders>
                  <w:vAlign w:val="center"/>
                </w:tcPr>
                <w:p w14:paraId="04D0FCCC">
                  <w:pPr>
                    <w:widowControl/>
                    <w:snapToGrid w:val="0"/>
                    <w:jc w:val="center"/>
                    <w:rPr>
                      <w:b/>
                      <w:bCs/>
                      <w:color w:val="auto"/>
                      <w:kern w:val="0"/>
                      <w:szCs w:val="21"/>
                    </w:rPr>
                  </w:pPr>
                  <w:r>
                    <w:rPr>
                      <w:b/>
                      <w:bCs/>
                      <w:color w:val="auto"/>
                      <w:kern w:val="0"/>
                      <w:szCs w:val="21"/>
                    </w:rPr>
                    <w:t>评价因子</w:t>
                  </w:r>
                </w:p>
              </w:tc>
              <w:tc>
                <w:tcPr>
                  <w:tcW w:w="2646" w:type="dxa"/>
                  <w:vAlign w:val="center"/>
                </w:tcPr>
                <w:p w14:paraId="7EBF29FC">
                  <w:pPr>
                    <w:widowControl/>
                    <w:snapToGrid w:val="0"/>
                    <w:jc w:val="center"/>
                    <w:rPr>
                      <w:b/>
                      <w:bCs/>
                      <w:color w:val="auto"/>
                      <w:kern w:val="0"/>
                      <w:szCs w:val="21"/>
                    </w:rPr>
                  </w:pPr>
                  <w:r>
                    <w:rPr>
                      <w:b/>
                      <w:bCs/>
                      <w:color w:val="auto"/>
                      <w:kern w:val="0"/>
                      <w:szCs w:val="21"/>
                    </w:rPr>
                    <w:t>平均时段</w:t>
                  </w:r>
                </w:p>
              </w:tc>
              <w:tc>
                <w:tcPr>
                  <w:tcW w:w="1297" w:type="dxa"/>
                  <w:vAlign w:val="center"/>
                </w:tcPr>
                <w:p w14:paraId="7BA584DC">
                  <w:pPr>
                    <w:widowControl/>
                    <w:snapToGrid w:val="0"/>
                    <w:jc w:val="center"/>
                    <w:rPr>
                      <w:b/>
                      <w:bCs/>
                      <w:color w:val="auto"/>
                      <w:kern w:val="0"/>
                      <w:szCs w:val="21"/>
                    </w:rPr>
                  </w:pPr>
                  <w:r>
                    <w:rPr>
                      <w:b/>
                      <w:bCs/>
                      <w:color w:val="auto"/>
                      <w:kern w:val="0"/>
                      <w:szCs w:val="21"/>
                    </w:rPr>
                    <w:t>现状浓度</w:t>
                  </w:r>
                </w:p>
              </w:tc>
              <w:tc>
                <w:tcPr>
                  <w:tcW w:w="1125" w:type="dxa"/>
                  <w:vAlign w:val="center"/>
                </w:tcPr>
                <w:p w14:paraId="41D206F4">
                  <w:pPr>
                    <w:widowControl/>
                    <w:snapToGrid w:val="0"/>
                    <w:jc w:val="center"/>
                    <w:rPr>
                      <w:b/>
                      <w:bCs/>
                      <w:color w:val="auto"/>
                      <w:kern w:val="0"/>
                      <w:szCs w:val="21"/>
                    </w:rPr>
                  </w:pPr>
                  <w:r>
                    <w:rPr>
                      <w:b/>
                      <w:bCs/>
                      <w:color w:val="auto"/>
                      <w:kern w:val="0"/>
                      <w:szCs w:val="21"/>
                    </w:rPr>
                    <w:t>标准值</w:t>
                  </w:r>
                </w:p>
              </w:tc>
              <w:tc>
                <w:tcPr>
                  <w:tcW w:w="1082" w:type="dxa"/>
                  <w:vAlign w:val="center"/>
                </w:tcPr>
                <w:p w14:paraId="3CF6A667">
                  <w:pPr>
                    <w:widowControl/>
                    <w:snapToGrid w:val="0"/>
                    <w:jc w:val="center"/>
                    <w:rPr>
                      <w:b/>
                      <w:bCs/>
                      <w:color w:val="auto"/>
                      <w:kern w:val="0"/>
                      <w:szCs w:val="21"/>
                    </w:rPr>
                  </w:pPr>
                  <w:r>
                    <w:rPr>
                      <w:b/>
                      <w:bCs/>
                      <w:color w:val="auto"/>
                      <w:kern w:val="0"/>
                      <w:szCs w:val="21"/>
                    </w:rPr>
                    <w:t>占标率%</w:t>
                  </w:r>
                </w:p>
              </w:tc>
              <w:tc>
                <w:tcPr>
                  <w:tcW w:w="1098" w:type="dxa"/>
                  <w:tcBorders>
                    <w:right w:val="single" w:color="auto" w:sz="4" w:space="0"/>
                  </w:tcBorders>
                  <w:vAlign w:val="center"/>
                </w:tcPr>
                <w:p w14:paraId="7050E7F9">
                  <w:pPr>
                    <w:widowControl/>
                    <w:snapToGrid w:val="0"/>
                    <w:jc w:val="center"/>
                    <w:rPr>
                      <w:b/>
                      <w:bCs/>
                      <w:color w:val="auto"/>
                      <w:kern w:val="0"/>
                      <w:szCs w:val="21"/>
                    </w:rPr>
                  </w:pPr>
                  <w:r>
                    <w:rPr>
                      <w:b/>
                      <w:bCs/>
                      <w:color w:val="auto"/>
                      <w:kern w:val="0"/>
                      <w:szCs w:val="21"/>
                    </w:rPr>
                    <w:t>达标情况</w:t>
                  </w:r>
                </w:p>
              </w:tc>
            </w:tr>
            <w:tr w14:paraId="1BB77D4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32" w:type="dxa"/>
                  <w:tcBorders>
                    <w:left w:val="single" w:color="auto" w:sz="4" w:space="0"/>
                  </w:tcBorders>
                  <w:vAlign w:val="center"/>
                </w:tcPr>
                <w:p w14:paraId="0978EA8C">
                  <w:pPr>
                    <w:widowControl/>
                    <w:snapToGrid w:val="0"/>
                    <w:jc w:val="center"/>
                    <w:rPr>
                      <w:color w:val="auto"/>
                      <w:kern w:val="0"/>
                      <w:szCs w:val="21"/>
                    </w:rPr>
                  </w:pPr>
                  <w:r>
                    <w:rPr>
                      <w:color w:val="auto"/>
                      <w:kern w:val="0"/>
                      <w:szCs w:val="21"/>
                    </w:rPr>
                    <w:t>PM</w:t>
                  </w:r>
                  <w:r>
                    <w:rPr>
                      <w:color w:val="auto"/>
                      <w:kern w:val="0"/>
                      <w:szCs w:val="21"/>
                      <w:vertAlign w:val="subscript"/>
                    </w:rPr>
                    <w:t>2.5</w:t>
                  </w:r>
                </w:p>
              </w:tc>
              <w:tc>
                <w:tcPr>
                  <w:tcW w:w="2646" w:type="dxa"/>
                  <w:vAlign w:val="center"/>
                </w:tcPr>
                <w:p w14:paraId="2E8DAAFC">
                  <w:pPr>
                    <w:widowControl/>
                    <w:snapToGrid w:val="0"/>
                    <w:jc w:val="center"/>
                    <w:rPr>
                      <w:color w:val="auto"/>
                      <w:kern w:val="0"/>
                      <w:szCs w:val="21"/>
                    </w:rPr>
                  </w:pPr>
                  <w:r>
                    <w:rPr>
                      <w:color w:val="auto"/>
                      <w:kern w:val="0"/>
                      <w:szCs w:val="21"/>
                    </w:rPr>
                    <w:t>年均值</w:t>
                  </w:r>
                </w:p>
              </w:tc>
              <w:tc>
                <w:tcPr>
                  <w:tcW w:w="1297" w:type="dxa"/>
                  <w:vAlign w:val="center"/>
                </w:tcPr>
                <w:p w14:paraId="7FFF0557">
                  <w:pPr>
                    <w:widowControl/>
                    <w:snapToGrid w:val="0"/>
                    <w:jc w:val="center"/>
                    <w:rPr>
                      <w:color w:val="auto"/>
                      <w:kern w:val="0"/>
                      <w:szCs w:val="21"/>
                    </w:rPr>
                  </w:pPr>
                  <w:r>
                    <w:rPr>
                      <w:rFonts w:hint="eastAsia"/>
                      <w:color w:val="auto"/>
                      <w:kern w:val="0"/>
                      <w:szCs w:val="21"/>
                    </w:rPr>
                    <w:t>5</w:t>
                  </w:r>
                  <w:r>
                    <w:rPr>
                      <w:rFonts w:hint="eastAsia"/>
                      <w:color w:val="auto"/>
                      <w:kern w:val="0"/>
                      <w:szCs w:val="21"/>
                      <w:lang w:val="en-US" w:eastAsia="zh-CN"/>
                    </w:rPr>
                    <w:t>2</w:t>
                  </w:r>
                  <w:r>
                    <w:rPr>
                      <w:color w:val="auto"/>
                      <w:kern w:val="0"/>
                      <w:szCs w:val="21"/>
                    </w:rPr>
                    <w:t>μg/m</w:t>
                  </w:r>
                  <w:r>
                    <w:rPr>
                      <w:color w:val="auto"/>
                      <w:kern w:val="0"/>
                      <w:szCs w:val="21"/>
                      <w:vertAlign w:val="superscript"/>
                    </w:rPr>
                    <w:t>3</w:t>
                  </w:r>
                </w:p>
              </w:tc>
              <w:tc>
                <w:tcPr>
                  <w:tcW w:w="1125" w:type="dxa"/>
                  <w:vAlign w:val="center"/>
                </w:tcPr>
                <w:p w14:paraId="19E141C7">
                  <w:pPr>
                    <w:widowControl/>
                    <w:snapToGrid w:val="0"/>
                    <w:jc w:val="center"/>
                    <w:rPr>
                      <w:color w:val="auto"/>
                      <w:kern w:val="0"/>
                      <w:szCs w:val="21"/>
                    </w:rPr>
                  </w:pPr>
                  <w:r>
                    <w:rPr>
                      <w:color w:val="auto"/>
                      <w:kern w:val="0"/>
                      <w:szCs w:val="21"/>
                    </w:rPr>
                    <w:t>35μg/m</w:t>
                  </w:r>
                  <w:r>
                    <w:rPr>
                      <w:color w:val="auto"/>
                      <w:kern w:val="0"/>
                      <w:szCs w:val="21"/>
                      <w:vertAlign w:val="superscript"/>
                    </w:rPr>
                    <w:t>3</w:t>
                  </w:r>
                </w:p>
              </w:tc>
              <w:tc>
                <w:tcPr>
                  <w:tcW w:w="1082" w:type="dxa"/>
                  <w:vAlign w:val="center"/>
                </w:tcPr>
                <w:p w14:paraId="2F0944BC">
                  <w:pPr>
                    <w:widowControl/>
                    <w:snapToGrid w:val="0"/>
                    <w:jc w:val="center"/>
                    <w:rPr>
                      <w:rFonts w:hint="default"/>
                      <w:color w:val="auto"/>
                      <w:kern w:val="0"/>
                      <w:szCs w:val="21"/>
                      <w:lang w:val="en-US"/>
                    </w:rPr>
                  </w:pPr>
                  <w:r>
                    <w:rPr>
                      <w:rFonts w:hint="eastAsia"/>
                      <w:color w:val="auto"/>
                      <w:kern w:val="0"/>
                      <w:szCs w:val="21"/>
                      <w:lang w:val="en-US" w:eastAsia="zh-CN"/>
                    </w:rPr>
                    <w:t>148.6</w:t>
                  </w:r>
                </w:p>
              </w:tc>
              <w:tc>
                <w:tcPr>
                  <w:tcW w:w="1098" w:type="dxa"/>
                  <w:tcBorders>
                    <w:right w:val="single" w:color="auto" w:sz="4" w:space="0"/>
                  </w:tcBorders>
                  <w:vAlign w:val="center"/>
                </w:tcPr>
                <w:p w14:paraId="0405937B">
                  <w:pPr>
                    <w:widowControl/>
                    <w:snapToGrid w:val="0"/>
                    <w:jc w:val="center"/>
                    <w:rPr>
                      <w:color w:val="auto"/>
                      <w:kern w:val="0"/>
                      <w:szCs w:val="21"/>
                    </w:rPr>
                  </w:pPr>
                  <w:r>
                    <w:rPr>
                      <w:color w:val="auto"/>
                      <w:kern w:val="0"/>
                      <w:szCs w:val="21"/>
                    </w:rPr>
                    <w:t>不达标</w:t>
                  </w:r>
                </w:p>
              </w:tc>
            </w:tr>
            <w:tr w14:paraId="7C5D209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32" w:type="dxa"/>
                  <w:tcBorders>
                    <w:left w:val="single" w:color="auto" w:sz="4" w:space="0"/>
                  </w:tcBorders>
                  <w:vAlign w:val="center"/>
                </w:tcPr>
                <w:p w14:paraId="1214D31C">
                  <w:pPr>
                    <w:widowControl/>
                    <w:snapToGrid w:val="0"/>
                    <w:jc w:val="center"/>
                    <w:rPr>
                      <w:color w:val="auto"/>
                      <w:kern w:val="0"/>
                      <w:szCs w:val="21"/>
                    </w:rPr>
                  </w:pPr>
                  <w:r>
                    <w:rPr>
                      <w:color w:val="auto"/>
                      <w:kern w:val="0"/>
                      <w:szCs w:val="21"/>
                    </w:rPr>
                    <w:t>PM</w:t>
                  </w:r>
                  <w:r>
                    <w:rPr>
                      <w:color w:val="auto"/>
                      <w:kern w:val="0"/>
                      <w:szCs w:val="21"/>
                      <w:vertAlign w:val="subscript"/>
                    </w:rPr>
                    <w:t>10</w:t>
                  </w:r>
                </w:p>
              </w:tc>
              <w:tc>
                <w:tcPr>
                  <w:tcW w:w="2646" w:type="dxa"/>
                  <w:vAlign w:val="center"/>
                </w:tcPr>
                <w:p w14:paraId="0BB5F45C">
                  <w:pPr>
                    <w:widowControl/>
                    <w:snapToGrid w:val="0"/>
                    <w:jc w:val="center"/>
                    <w:rPr>
                      <w:color w:val="auto"/>
                      <w:kern w:val="0"/>
                      <w:szCs w:val="21"/>
                    </w:rPr>
                  </w:pPr>
                  <w:r>
                    <w:rPr>
                      <w:color w:val="auto"/>
                      <w:kern w:val="0"/>
                      <w:szCs w:val="21"/>
                    </w:rPr>
                    <w:t>年均值</w:t>
                  </w:r>
                </w:p>
              </w:tc>
              <w:tc>
                <w:tcPr>
                  <w:tcW w:w="1297" w:type="dxa"/>
                  <w:vAlign w:val="center"/>
                </w:tcPr>
                <w:p w14:paraId="663D08E1">
                  <w:pPr>
                    <w:widowControl/>
                    <w:snapToGrid w:val="0"/>
                    <w:jc w:val="center"/>
                    <w:rPr>
                      <w:color w:val="auto"/>
                      <w:kern w:val="0"/>
                      <w:szCs w:val="21"/>
                    </w:rPr>
                  </w:pPr>
                  <w:r>
                    <w:rPr>
                      <w:rFonts w:hint="eastAsia"/>
                      <w:color w:val="auto"/>
                      <w:kern w:val="0"/>
                      <w:szCs w:val="21"/>
                      <w:lang w:val="en-US" w:eastAsia="zh-CN"/>
                    </w:rPr>
                    <w:t>100</w:t>
                  </w:r>
                  <w:r>
                    <w:rPr>
                      <w:color w:val="auto"/>
                      <w:kern w:val="0"/>
                      <w:szCs w:val="21"/>
                    </w:rPr>
                    <w:t>μg/m</w:t>
                  </w:r>
                  <w:r>
                    <w:rPr>
                      <w:color w:val="auto"/>
                      <w:kern w:val="0"/>
                      <w:szCs w:val="21"/>
                      <w:vertAlign w:val="superscript"/>
                    </w:rPr>
                    <w:t>3</w:t>
                  </w:r>
                </w:p>
              </w:tc>
              <w:tc>
                <w:tcPr>
                  <w:tcW w:w="1125" w:type="dxa"/>
                  <w:vAlign w:val="center"/>
                </w:tcPr>
                <w:p w14:paraId="3AF701BA">
                  <w:pPr>
                    <w:widowControl/>
                    <w:snapToGrid w:val="0"/>
                    <w:jc w:val="center"/>
                    <w:rPr>
                      <w:color w:val="auto"/>
                      <w:kern w:val="0"/>
                      <w:szCs w:val="21"/>
                    </w:rPr>
                  </w:pPr>
                  <w:r>
                    <w:rPr>
                      <w:color w:val="auto"/>
                      <w:kern w:val="0"/>
                      <w:szCs w:val="21"/>
                    </w:rPr>
                    <w:t>70μg/m</w:t>
                  </w:r>
                  <w:r>
                    <w:rPr>
                      <w:color w:val="auto"/>
                      <w:kern w:val="0"/>
                      <w:szCs w:val="21"/>
                      <w:vertAlign w:val="superscript"/>
                    </w:rPr>
                    <w:t>3</w:t>
                  </w:r>
                </w:p>
              </w:tc>
              <w:tc>
                <w:tcPr>
                  <w:tcW w:w="1082" w:type="dxa"/>
                  <w:vAlign w:val="center"/>
                </w:tcPr>
                <w:p w14:paraId="4BCA401F">
                  <w:pPr>
                    <w:widowControl/>
                    <w:snapToGrid w:val="0"/>
                    <w:jc w:val="center"/>
                    <w:rPr>
                      <w:rFonts w:hint="default" w:eastAsia="宋体"/>
                      <w:color w:val="auto"/>
                      <w:kern w:val="0"/>
                      <w:szCs w:val="21"/>
                      <w:lang w:val="en-US" w:eastAsia="zh-CN"/>
                    </w:rPr>
                  </w:pPr>
                  <w:r>
                    <w:rPr>
                      <w:rFonts w:hint="eastAsia"/>
                      <w:color w:val="auto"/>
                      <w:kern w:val="0"/>
                      <w:szCs w:val="21"/>
                      <w:lang w:val="en-US" w:eastAsia="zh-CN"/>
                    </w:rPr>
                    <w:t>142.9</w:t>
                  </w:r>
                </w:p>
              </w:tc>
              <w:tc>
                <w:tcPr>
                  <w:tcW w:w="1098" w:type="dxa"/>
                  <w:tcBorders>
                    <w:right w:val="single" w:color="auto" w:sz="4" w:space="0"/>
                  </w:tcBorders>
                  <w:vAlign w:val="center"/>
                </w:tcPr>
                <w:p w14:paraId="718BEA19">
                  <w:pPr>
                    <w:widowControl/>
                    <w:snapToGrid w:val="0"/>
                    <w:jc w:val="center"/>
                    <w:rPr>
                      <w:color w:val="auto"/>
                      <w:kern w:val="0"/>
                      <w:szCs w:val="21"/>
                    </w:rPr>
                  </w:pPr>
                  <w:r>
                    <w:rPr>
                      <w:color w:val="auto"/>
                      <w:kern w:val="0"/>
                      <w:szCs w:val="21"/>
                    </w:rPr>
                    <w:t>不达标</w:t>
                  </w:r>
                </w:p>
              </w:tc>
            </w:tr>
            <w:tr w14:paraId="00203E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32" w:type="dxa"/>
                  <w:tcBorders>
                    <w:left w:val="single" w:color="auto" w:sz="4" w:space="0"/>
                  </w:tcBorders>
                  <w:vAlign w:val="center"/>
                </w:tcPr>
                <w:p w14:paraId="3349F8E9">
                  <w:pPr>
                    <w:widowControl/>
                    <w:snapToGrid w:val="0"/>
                    <w:jc w:val="center"/>
                    <w:rPr>
                      <w:color w:val="auto"/>
                      <w:kern w:val="0"/>
                      <w:szCs w:val="21"/>
                    </w:rPr>
                  </w:pPr>
                  <w:r>
                    <w:rPr>
                      <w:color w:val="auto"/>
                      <w:kern w:val="0"/>
                      <w:szCs w:val="21"/>
                    </w:rPr>
                    <w:t>SO</w:t>
                  </w:r>
                  <w:r>
                    <w:rPr>
                      <w:color w:val="auto"/>
                      <w:kern w:val="0"/>
                      <w:szCs w:val="21"/>
                      <w:vertAlign w:val="subscript"/>
                    </w:rPr>
                    <w:t>2</w:t>
                  </w:r>
                </w:p>
              </w:tc>
              <w:tc>
                <w:tcPr>
                  <w:tcW w:w="2646" w:type="dxa"/>
                  <w:vAlign w:val="center"/>
                </w:tcPr>
                <w:p w14:paraId="59D68ED0">
                  <w:pPr>
                    <w:widowControl/>
                    <w:snapToGrid w:val="0"/>
                    <w:jc w:val="center"/>
                    <w:rPr>
                      <w:color w:val="auto"/>
                      <w:kern w:val="0"/>
                      <w:szCs w:val="21"/>
                    </w:rPr>
                  </w:pPr>
                  <w:r>
                    <w:rPr>
                      <w:color w:val="auto"/>
                      <w:kern w:val="0"/>
                      <w:szCs w:val="21"/>
                    </w:rPr>
                    <w:t>年均值</w:t>
                  </w:r>
                </w:p>
              </w:tc>
              <w:tc>
                <w:tcPr>
                  <w:tcW w:w="1297" w:type="dxa"/>
                  <w:vAlign w:val="center"/>
                </w:tcPr>
                <w:p w14:paraId="098D9042">
                  <w:pPr>
                    <w:widowControl/>
                    <w:snapToGrid w:val="0"/>
                    <w:jc w:val="center"/>
                    <w:rPr>
                      <w:color w:val="auto"/>
                      <w:kern w:val="0"/>
                      <w:szCs w:val="21"/>
                    </w:rPr>
                  </w:pPr>
                  <w:r>
                    <w:rPr>
                      <w:color w:val="auto"/>
                      <w:kern w:val="0"/>
                      <w:szCs w:val="21"/>
                    </w:rPr>
                    <w:t>8μg/m</w:t>
                  </w:r>
                  <w:r>
                    <w:rPr>
                      <w:color w:val="auto"/>
                      <w:kern w:val="0"/>
                      <w:szCs w:val="21"/>
                      <w:vertAlign w:val="superscript"/>
                    </w:rPr>
                    <w:t>3</w:t>
                  </w:r>
                </w:p>
              </w:tc>
              <w:tc>
                <w:tcPr>
                  <w:tcW w:w="1125" w:type="dxa"/>
                  <w:vAlign w:val="center"/>
                </w:tcPr>
                <w:p w14:paraId="3F6461C6">
                  <w:pPr>
                    <w:widowControl/>
                    <w:snapToGrid w:val="0"/>
                    <w:jc w:val="center"/>
                    <w:rPr>
                      <w:color w:val="auto"/>
                      <w:kern w:val="0"/>
                      <w:szCs w:val="21"/>
                    </w:rPr>
                  </w:pPr>
                  <w:r>
                    <w:rPr>
                      <w:rFonts w:hint="eastAsia"/>
                      <w:color w:val="auto"/>
                      <w:kern w:val="0"/>
                      <w:szCs w:val="21"/>
                    </w:rPr>
                    <w:t>60</w:t>
                  </w:r>
                  <w:r>
                    <w:rPr>
                      <w:color w:val="auto"/>
                      <w:kern w:val="0"/>
                      <w:szCs w:val="21"/>
                    </w:rPr>
                    <w:t>μg/m</w:t>
                  </w:r>
                  <w:r>
                    <w:rPr>
                      <w:color w:val="auto"/>
                      <w:kern w:val="0"/>
                      <w:szCs w:val="21"/>
                      <w:vertAlign w:val="superscript"/>
                    </w:rPr>
                    <w:t>3</w:t>
                  </w:r>
                </w:p>
              </w:tc>
              <w:tc>
                <w:tcPr>
                  <w:tcW w:w="1082" w:type="dxa"/>
                  <w:vAlign w:val="center"/>
                </w:tcPr>
                <w:p w14:paraId="41834AC4">
                  <w:pPr>
                    <w:widowControl/>
                    <w:snapToGrid w:val="0"/>
                    <w:jc w:val="center"/>
                    <w:rPr>
                      <w:rFonts w:hint="default" w:eastAsia="宋体"/>
                      <w:color w:val="auto"/>
                      <w:kern w:val="0"/>
                      <w:szCs w:val="21"/>
                      <w:lang w:val="en-US" w:eastAsia="zh-CN"/>
                    </w:rPr>
                  </w:pPr>
                  <w:r>
                    <w:rPr>
                      <w:rFonts w:hint="eastAsia"/>
                      <w:color w:val="auto"/>
                      <w:kern w:val="0"/>
                      <w:szCs w:val="21"/>
                      <w:lang w:val="en-US" w:eastAsia="zh-CN"/>
                    </w:rPr>
                    <w:t>13.3</w:t>
                  </w:r>
                </w:p>
              </w:tc>
              <w:tc>
                <w:tcPr>
                  <w:tcW w:w="1098" w:type="dxa"/>
                  <w:tcBorders>
                    <w:right w:val="single" w:color="auto" w:sz="4" w:space="0"/>
                  </w:tcBorders>
                  <w:vAlign w:val="center"/>
                </w:tcPr>
                <w:p w14:paraId="14EADB2B">
                  <w:pPr>
                    <w:widowControl/>
                    <w:snapToGrid w:val="0"/>
                    <w:jc w:val="center"/>
                    <w:rPr>
                      <w:color w:val="auto"/>
                      <w:kern w:val="0"/>
                      <w:szCs w:val="21"/>
                    </w:rPr>
                  </w:pPr>
                  <w:r>
                    <w:rPr>
                      <w:color w:val="auto"/>
                      <w:kern w:val="0"/>
                      <w:szCs w:val="21"/>
                    </w:rPr>
                    <w:t>达标</w:t>
                  </w:r>
                </w:p>
              </w:tc>
            </w:tr>
            <w:tr w14:paraId="588F4C7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32" w:type="dxa"/>
                  <w:tcBorders>
                    <w:left w:val="single" w:color="auto" w:sz="4" w:space="0"/>
                  </w:tcBorders>
                  <w:vAlign w:val="center"/>
                </w:tcPr>
                <w:p w14:paraId="1925A752">
                  <w:pPr>
                    <w:widowControl/>
                    <w:snapToGrid w:val="0"/>
                    <w:jc w:val="center"/>
                    <w:rPr>
                      <w:color w:val="auto"/>
                      <w:kern w:val="0"/>
                      <w:szCs w:val="21"/>
                    </w:rPr>
                  </w:pPr>
                  <w:r>
                    <w:rPr>
                      <w:color w:val="auto"/>
                      <w:kern w:val="0"/>
                      <w:szCs w:val="21"/>
                    </w:rPr>
                    <w:t>NO</w:t>
                  </w:r>
                  <w:r>
                    <w:rPr>
                      <w:color w:val="auto"/>
                      <w:kern w:val="0"/>
                      <w:szCs w:val="21"/>
                      <w:vertAlign w:val="subscript"/>
                    </w:rPr>
                    <w:t>2</w:t>
                  </w:r>
                </w:p>
              </w:tc>
              <w:tc>
                <w:tcPr>
                  <w:tcW w:w="2646" w:type="dxa"/>
                  <w:vAlign w:val="center"/>
                </w:tcPr>
                <w:p w14:paraId="2062C15B">
                  <w:pPr>
                    <w:widowControl/>
                    <w:snapToGrid w:val="0"/>
                    <w:jc w:val="center"/>
                    <w:rPr>
                      <w:color w:val="auto"/>
                      <w:kern w:val="0"/>
                      <w:szCs w:val="21"/>
                    </w:rPr>
                  </w:pPr>
                  <w:r>
                    <w:rPr>
                      <w:color w:val="auto"/>
                      <w:kern w:val="0"/>
                      <w:szCs w:val="21"/>
                    </w:rPr>
                    <w:t>年均值</w:t>
                  </w:r>
                </w:p>
              </w:tc>
              <w:tc>
                <w:tcPr>
                  <w:tcW w:w="1297" w:type="dxa"/>
                  <w:vAlign w:val="center"/>
                </w:tcPr>
                <w:p w14:paraId="2D52885F">
                  <w:pPr>
                    <w:widowControl/>
                    <w:snapToGrid w:val="0"/>
                    <w:jc w:val="center"/>
                    <w:rPr>
                      <w:color w:val="auto"/>
                      <w:kern w:val="0"/>
                      <w:szCs w:val="21"/>
                    </w:rPr>
                  </w:pPr>
                  <w:r>
                    <w:rPr>
                      <w:rFonts w:hint="eastAsia"/>
                      <w:color w:val="auto"/>
                      <w:kern w:val="0"/>
                      <w:szCs w:val="21"/>
                      <w:lang w:val="en-US" w:eastAsia="zh-CN"/>
                    </w:rPr>
                    <w:t>27</w:t>
                  </w:r>
                  <w:r>
                    <w:rPr>
                      <w:color w:val="auto"/>
                      <w:kern w:val="0"/>
                      <w:szCs w:val="21"/>
                    </w:rPr>
                    <w:t>μg/m</w:t>
                  </w:r>
                  <w:r>
                    <w:rPr>
                      <w:color w:val="auto"/>
                      <w:kern w:val="0"/>
                      <w:szCs w:val="21"/>
                      <w:vertAlign w:val="superscript"/>
                    </w:rPr>
                    <w:t>3</w:t>
                  </w:r>
                </w:p>
              </w:tc>
              <w:tc>
                <w:tcPr>
                  <w:tcW w:w="1125" w:type="dxa"/>
                  <w:vAlign w:val="center"/>
                </w:tcPr>
                <w:p w14:paraId="53E53347">
                  <w:pPr>
                    <w:widowControl/>
                    <w:snapToGrid w:val="0"/>
                    <w:jc w:val="center"/>
                    <w:rPr>
                      <w:color w:val="auto"/>
                      <w:kern w:val="0"/>
                      <w:szCs w:val="21"/>
                    </w:rPr>
                  </w:pPr>
                  <w:r>
                    <w:rPr>
                      <w:color w:val="auto"/>
                      <w:kern w:val="0"/>
                      <w:szCs w:val="21"/>
                    </w:rPr>
                    <w:t>40μg/m</w:t>
                  </w:r>
                  <w:r>
                    <w:rPr>
                      <w:color w:val="auto"/>
                      <w:kern w:val="0"/>
                      <w:szCs w:val="21"/>
                      <w:vertAlign w:val="superscript"/>
                    </w:rPr>
                    <w:t>3</w:t>
                  </w:r>
                </w:p>
              </w:tc>
              <w:tc>
                <w:tcPr>
                  <w:tcW w:w="1082" w:type="dxa"/>
                  <w:vAlign w:val="center"/>
                </w:tcPr>
                <w:p w14:paraId="594E3017">
                  <w:pPr>
                    <w:widowControl/>
                    <w:snapToGrid w:val="0"/>
                    <w:jc w:val="center"/>
                    <w:rPr>
                      <w:rFonts w:hint="default" w:eastAsia="宋体"/>
                      <w:color w:val="auto"/>
                      <w:kern w:val="0"/>
                      <w:szCs w:val="21"/>
                      <w:lang w:val="en-US" w:eastAsia="zh-CN"/>
                    </w:rPr>
                  </w:pPr>
                  <w:r>
                    <w:rPr>
                      <w:rFonts w:hint="eastAsia"/>
                      <w:color w:val="auto"/>
                      <w:kern w:val="0"/>
                      <w:szCs w:val="21"/>
                      <w:lang w:val="en-US" w:eastAsia="zh-CN"/>
                    </w:rPr>
                    <w:t>67.5</w:t>
                  </w:r>
                </w:p>
              </w:tc>
              <w:tc>
                <w:tcPr>
                  <w:tcW w:w="1098" w:type="dxa"/>
                  <w:tcBorders>
                    <w:right w:val="single" w:color="auto" w:sz="4" w:space="0"/>
                  </w:tcBorders>
                  <w:vAlign w:val="center"/>
                </w:tcPr>
                <w:p w14:paraId="3F5D2E04">
                  <w:pPr>
                    <w:widowControl/>
                    <w:snapToGrid w:val="0"/>
                    <w:jc w:val="center"/>
                    <w:rPr>
                      <w:color w:val="auto"/>
                      <w:kern w:val="0"/>
                      <w:szCs w:val="21"/>
                    </w:rPr>
                  </w:pPr>
                  <w:r>
                    <w:rPr>
                      <w:color w:val="auto"/>
                      <w:kern w:val="0"/>
                      <w:szCs w:val="21"/>
                    </w:rPr>
                    <w:t>达标</w:t>
                  </w:r>
                </w:p>
              </w:tc>
            </w:tr>
            <w:tr w14:paraId="7AE6AD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4" w:hRule="exact"/>
                <w:jc w:val="center"/>
              </w:trPr>
              <w:tc>
                <w:tcPr>
                  <w:tcW w:w="1132" w:type="dxa"/>
                  <w:tcBorders>
                    <w:left w:val="single" w:color="auto" w:sz="4" w:space="0"/>
                  </w:tcBorders>
                  <w:vAlign w:val="center"/>
                </w:tcPr>
                <w:p w14:paraId="66B8F79F">
                  <w:pPr>
                    <w:widowControl/>
                    <w:snapToGrid w:val="0"/>
                    <w:jc w:val="center"/>
                    <w:rPr>
                      <w:color w:val="auto"/>
                      <w:kern w:val="0"/>
                      <w:szCs w:val="21"/>
                    </w:rPr>
                  </w:pPr>
                  <w:r>
                    <w:rPr>
                      <w:color w:val="auto"/>
                      <w:szCs w:val="21"/>
                    </w:rPr>
                    <w:t>O</w:t>
                  </w:r>
                  <w:r>
                    <w:rPr>
                      <w:color w:val="auto"/>
                      <w:szCs w:val="21"/>
                      <w:vertAlign w:val="subscript"/>
                    </w:rPr>
                    <w:t>3</w:t>
                  </w:r>
                </w:p>
              </w:tc>
              <w:tc>
                <w:tcPr>
                  <w:tcW w:w="2646" w:type="dxa"/>
                  <w:vAlign w:val="center"/>
                </w:tcPr>
                <w:p w14:paraId="3994E43F">
                  <w:pPr>
                    <w:widowControl/>
                    <w:snapToGrid w:val="0"/>
                    <w:jc w:val="center"/>
                    <w:rPr>
                      <w:color w:val="auto"/>
                      <w:kern w:val="0"/>
                      <w:szCs w:val="21"/>
                    </w:rPr>
                  </w:pPr>
                  <w:r>
                    <w:rPr>
                      <w:rFonts w:hint="eastAsia"/>
                      <w:color w:val="auto"/>
                      <w:szCs w:val="21"/>
                    </w:rPr>
                    <w:t>日最大8h平均第90百分位</w:t>
                  </w:r>
                  <w:r>
                    <w:rPr>
                      <w:rFonts w:hint="eastAsia"/>
                      <w:color w:val="auto"/>
                      <w:szCs w:val="21"/>
                      <w:lang w:val="en-US" w:eastAsia="zh-CN"/>
                    </w:rPr>
                    <w:t>浓度</w:t>
                  </w:r>
                </w:p>
              </w:tc>
              <w:tc>
                <w:tcPr>
                  <w:tcW w:w="1297" w:type="dxa"/>
                  <w:vAlign w:val="center"/>
                </w:tcPr>
                <w:p w14:paraId="1B5F6F01">
                  <w:pPr>
                    <w:widowControl/>
                    <w:snapToGrid w:val="0"/>
                    <w:jc w:val="center"/>
                    <w:rPr>
                      <w:color w:val="auto"/>
                      <w:kern w:val="0"/>
                      <w:szCs w:val="21"/>
                    </w:rPr>
                  </w:pPr>
                  <w:r>
                    <w:rPr>
                      <w:color w:val="auto"/>
                      <w:kern w:val="0"/>
                      <w:szCs w:val="21"/>
                    </w:rPr>
                    <w:t>1</w:t>
                  </w:r>
                  <w:r>
                    <w:rPr>
                      <w:rFonts w:hint="eastAsia"/>
                      <w:color w:val="auto"/>
                      <w:kern w:val="0"/>
                      <w:szCs w:val="21"/>
                      <w:lang w:val="en-US" w:eastAsia="zh-CN"/>
                    </w:rPr>
                    <w:t>44</w:t>
                  </w:r>
                  <w:r>
                    <w:rPr>
                      <w:color w:val="auto"/>
                      <w:kern w:val="0"/>
                      <w:szCs w:val="21"/>
                    </w:rPr>
                    <w:t>μg/m</w:t>
                  </w:r>
                  <w:r>
                    <w:rPr>
                      <w:color w:val="auto"/>
                      <w:kern w:val="0"/>
                      <w:szCs w:val="21"/>
                      <w:vertAlign w:val="superscript"/>
                    </w:rPr>
                    <w:t>3</w:t>
                  </w:r>
                </w:p>
              </w:tc>
              <w:tc>
                <w:tcPr>
                  <w:tcW w:w="1125" w:type="dxa"/>
                  <w:vAlign w:val="center"/>
                </w:tcPr>
                <w:p w14:paraId="79148BCB">
                  <w:pPr>
                    <w:widowControl/>
                    <w:snapToGrid w:val="0"/>
                    <w:jc w:val="center"/>
                    <w:rPr>
                      <w:color w:val="auto"/>
                      <w:kern w:val="0"/>
                      <w:szCs w:val="21"/>
                    </w:rPr>
                  </w:pPr>
                  <w:r>
                    <w:rPr>
                      <w:color w:val="auto"/>
                      <w:kern w:val="0"/>
                      <w:szCs w:val="21"/>
                    </w:rPr>
                    <w:t>160μg/m</w:t>
                  </w:r>
                  <w:r>
                    <w:rPr>
                      <w:color w:val="auto"/>
                      <w:kern w:val="0"/>
                      <w:szCs w:val="21"/>
                      <w:vertAlign w:val="superscript"/>
                    </w:rPr>
                    <w:t>3</w:t>
                  </w:r>
                </w:p>
              </w:tc>
              <w:tc>
                <w:tcPr>
                  <w:tcW w:w="1082" w:type="dxa"/>
                  <w:vAlign w:val="center"/>
                </w:tcPr>
                <w:p w14:paraId="6B1A1A8C">
                  <w:pPr>
                    <w:widowControl/>
                    <w:snapToGrid w:val="0"/>
                    <w:jc w:val="center"/>
                    <w:rPr>
                      <w:rFonts w:hint="default" w:eastAsia="宋体"/>
                      <w:color w:val="auto"/>
                      <w:kern w:val="0"/>
                      <w:szCs w:val="21"/>
                      <w:lang w:val="en-US" w:eastAsia="zh-CN"/>
                    </w:rPr>
                  </w:pPr>
                  <w:r>
                    <w:rPr>
                      <w:rFonts w:hint="eastAsia"/>
                      <w:color w:val="auto"/>
                      <w:kern w:val="0"/>
                      <w:szCs w:val="21"/>
                      <w:lang w:val="en-US" w:eastAsia="zh-CN"/>
                    </w:rPr>
                    <w:t>90</w:t>
                  </w:r>
                </w:p>
              </w:tc>
              <w:tc>
                <w:tcPr>
                  <w:tcW w:w="1098" w:type="dxa"/>
                  <w:tcBorders>
                    <w:right w:val="single" w:color="auto" w:sz="4" w:space="0"/>
                  </w:tcBorders>
                  <w:vAlign w:val="center"/>
                </w:tcPr>
                <w:p w14:paraId="57963BA2">
                  <w:pPr>
                    <w:widowControl/>
                    <w:snapToGrid w:val="0"/>
                    <w:jc w:val="center"/>
                    <w:rPr>
                      <w:color w:val="auto"/>
                      <w:kern w:val="0"/>
                      <w:szCs w:val="21"/>
                    </w:rPr>
                  </w:pPr>
                  <w:r>
                    <w:rPr>
                      <w:color w:val="auto"/>
                      <w:kern w:val="0"/>
                      <w:szCs w:val="21"/>
                    </w:rPr>
                    <w:t>达标</w:t>
                  </w:r>
                </w:p>
              </w:tc>
            </w:tr>
            <w:tr w14:paraId="741D2C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4" w:hRule="exact"/>
                <w:jc w:val="center"/>
              </w:trPr>
              <w:tc>
                <w:tcPr>
                  <w:tcW w:w="1132" w:type="dxa"/>
                  <w:tcBorders>
                    <w:left w:val="single" w:color="auto" w:sz="4" w:space="0"/>
                  </w:tcBorders>
                  <w:vAlign w:val="center"/>
                </w:tcPr>
                <w:p w14:paraId="51B43EB0">
                  <w:pPr>
                    <w:widowControl/>
                    <w:snapToGrid w:val="0"/>
                    <w:jc w:val="center"/>
                    <w:rPr>
                      <w:color w:val="auto"/>
                      <w:kern w:val="0"/>
                      <w:szCs w:val="21"/>
                    </w:rPr>
                  </w:pPr>
                  <w:r>
                    <w:rPr>
                      <w:color w:val="auto"/>
                      <w:szCs w:val="21"/>
                    </w:rPr>
                    <w:t>CO</w:t>
                  </w:r>
                </w:p>
              </w:tc>
              <w:tc>
                <w:tcPr>
                  <w:tcW w:w="2646" w:type="dxa"/>
                  <w:vAlign w:val="center"/>
                </w:tcPr>
                <w:p w14:paraId="40168DE3">
                  <w:pPr>
                    <w:widowControl/>
                    <w:snapToGrid w:val="0"/>
                    <w:jc w:val="center"/>
                    <w:rPr>
                      <w:rFonts w:hint="eastAsia"/>
                      <w:color w:val="auto"/>
                      <w:szCs w:val="21"/>
                    </w:rPr>
                  </w:pPr>
                  <w:r>
                    <w:rPr>
                      <w:rFonts w:hint="eastAsia"/>
                      <w:color w:val="auto"/>
                      <w:szCs w:val="21"/>
                    </w:rPr>
                    <w:t>24小时平均第95百</w:t>
                  </w:r>
                </w:p>
                <w:p w14:paraId="2454D123">
                  <w:pPr>
                    <w:widowControl/>
                    <w:snapToGrid w:val="0"/>
                    <w:jc w:val="center"/>
                    <w:rPr>
                      <w:rFonts w:hint="eastAsia" w:eastAsia="宋体"/>
                      <w:color w:val="auto"/>
                      <w:kern w:val="0"/>
                      <w:szCs w:val="21"/>
                      <w:lang w:val="en-US" w:eastAsia="zh-CN"/>
                    </w:rPr>
                  </w:pPr>
                  <w:r>
                    <w:rPr>
                      <w:rFonts w:hint="eastAsia"/>
                      <w:color w:val="auto"/>
                      <w:szCs w:val="21"/>
                    </w:rPr>
                    <w:t>分位</w:t>
                  </w:r>
                  <w:r>
                    <w:rPr>
                      <w:rFonts w:hint="eastAsia"/>
                      <w:color w:val="auto"/>
                      <w:szCs w:val="21"/>
                      <w:lang w:val="en-US" w:eastAsia="zh-CN"/>
                    </w:rPr>
                    <w:t>浓度</w:t>
                  </w:r>
                </w:p>
              </w:tc>
              <w:tc>
                <w:tcPr>
                  <w:tcW w:w="1297" w:type="dxa"/>
                  <w:vAlign w:val="center"/>
                </w:tcPr>
                <w:p w14:paraId="3E7D4C37">
                  <w:pPr>
                    <w:widowControl/>
                    <w:snapToGrid w:val="0"/>
                    <w:jc w:val="center"/>
                    <w:rPr>
                      <w:color w:val="auto"/>
                      <w:kern w:val="0"/>
                      <w:szCs w:val="21"/>
                    </w:rPr>
                  </w:pPr>
                  <w:r>
                    <w:rPr>
                      <w:rFonts w:hint="eastAsia"/>
                      <w:color w:val="auto"/>
                      <w:kern w:val="0"/>
                      <w:szCs w:val="21"/>
                    </w:rPr>
                    <w:t>1</w:t>
                  </w:r>
                  <w:r>
                    <w:rPr>
                      <w:rFonts w:hint="eastAsia"/>
                      <w:color w:val="auto"/>
                      <w:kern w:val="0"/>
                      <w:szCs w:val="21"/>
                      <w:lang w:val="en-US" w:eastAsia="zh-CN"/>
                    </w:rPr>
                    <w:t>.1</w:t>
                  </w:r>
                  <w:r>
                    <w:rPr>
                      <w:color w:val="auto"/>
                      <w:kern w:val="0"/>
                      <w:szCs w:val="21"/>
                    </w:rPr>
                    <w:t>mg/m</w:t>
                  </w:r>
                  <w:r>
                    <w:rPr>
                      <w:color w:val="auto"/>
                      <w:kern w:val="0"/>
                      <w:szCs w:val="21"/>
                      <w:vertAlign w:val="superscript"/>
                    </w:rPr>
                    <w:t>3</w:t>
                  </w:r>
                </w:p>
              </w:tc>
              <w:tc>
                <w:tcPr>
                  <w:tcW w:w="1125" w:type="dxa"/>
                  <w:vAlign w:val="center"/>
                </w:tcPr>
                <w:p w14:paraId="799AAFAD">
                  <w:pPr>
                    <w:widowControl/>
                    <w:snapToGrid w:val="0"/>
                    <w:jc w:val="center"/>
                    <w:rPr>
                      <w:color w:val="auto"/>
                      <w:kern w:val="0"/>
                      <w:szCs w:val="21"/>
                    </w:rPr>
                  </w:pPr>
                  <w:r>
                    <w:rPr>
                      <w:color w:val="auto"/>
                      <w:kern w:val="0"/>
                      <w:szCs w:val="21"/>
                    </w:rPr>
                    <w:t>4mg/m</w:t>
                  </w:r>
                  <w:r>
                    <w:rPr>
                      <w:color w:val="auto"/>
                      <w:kern w:val="0"/>
                      <w:szCs w:val="21"/>
                      <w:vertAlign w:val="superscript"/>
                    </w:rPr>
                    <w:t>3</w:t>
                  </w:r>
                </w:p>
              </w:tc>
              <w:tc>
                <w:tcPr>
                  <w:tcW w:w="1082" w:type="dxa"/>
                  <w:vAlign w:val="center"/>
                </w:tcPr>
                <w:p w14:paraId="5B51A0D4">
                  <w:pPr>
                    <w:widowControl/>
                    <w:snapToGrid w:val="0"/>
                    <w:jc w:val="center"/>
                    <w:rPr>
                      <w:rFonts w:hint="default" w:eastAsia="宋体"/>
                      <w:color w:val="auto"/>
                      <w:kern w:val="0"/>
                      <w:szCs w:val="21"/>
                      <w:lang w:val="en-US" w:eastAsia="zh-CN"/>
                    </w:rPr>
                  </w:pPr>
                  <w:r>
                    <w:rPr>
                      <w:rFonts w:hint="eastAsia"/>
                      <w:color w:val="auto"/>
                      <w:kern w:val="0"/>
                      <w:szCs w:val="21"/>
                      <w:lang w:val="en-US" w:eastAsia="zh-CN"/>
                    </w:rPr>
                    <w:t>27.5</w:t>
                  </w:r>
                </w:p>
              </w:tc>
              <w:tc>
                <w:tcPr>
                  <w:tcW w:w="1098" w:type="dxa"/>
                  <w:tcBorders>
                    <w:right w:val="single" w:color="auto" w:sz="4" w:space="0"/>
                  </w:tcBorders>
                  <w:vAlign w:val="center"/>
                </w:tcPr>
                <w:p w14:paraId="1E026AB1">
                  <w:pPr>
                    <w:widowControl/>
                    <w:snapToGrid w:val="0"/>
                    <w:jc w:val="center"/>
                    <w:rPr>
                      <w:color w:val="auto"/>
                      <w:kern w:val="0"/>
                      <w:szCs w:val="21"/>
                    </w:rPr>
                  </w:pPr>
                  <w:r>
                    <w:rPr>
                      <w:color w:val="auto"/>
                      <w:kern w:val="0"/>
                      <w:szCs w:val="21"/>
                    </w:rPr>
                    <w:t>达标</w:t>
                  </w:r>
                </w:p>
              </w:tc>
            </w:tr>
          </w:tbl>
          <w:p w14:paraId="353FC647">
            <w:pPr>
              <w:snapToGrid w:val="0"/>
              <w:spacing w:line="360" w:lineRule="auto"/>
              <w:ind w:firstLine="480" w:firstLineChars="200"/>
              <w:rPr>
                <w:rFonts w:hint="eastAsia"/>
                <w:color w:val="auto"/>
                <w:kern w:val="0"/>
                <w:sz w:val="24"/>
                <w:lang w:bidi="ar"/>
              </w:rPr>
            </w:pPr>
            <w:r>
              <w:rPr>
                <w:rFonts w:hint="eastAsia"/>
                <w:color w:val="auto"/>
                <w:kern w:val="0"/>
                <w:sz w:val="24"/>
                <w:lang w:bidi="ar"/>
              </w:rPr>
              <w:t>濮阳市2023年SO</w:t>
            </w:r>
            <w:r>
              <w:rPr>
                <w:rFonts w:hint="eastAsia"/>
                <w:color w:val="auto"/>
                <w:kern w:val="0"/>
                <w:sz w:val="24"/>
                <w:vertAlign w:val="subscript"/>
                <w:lang w:bidi="ar"/>
              </w:rPr>
              <w:t>2</w:t>
            </w:r>
            <w:r>
              <w:rPr>
                <w:rFonts w:hint="eastAsia"/>
                <w:color w:val="auto"/>
                <w:kern w:val="0"/>
                <w:sz w:val="24"/>
                <w:lang w:bidi="ar"/>
              </w:rPr>
              <w:t>、NO</w:t>
            </w:r>
            <w:r>
              <w:rPr>
                <w:rFonts w:hint="eastAsia"/>
                <w:color w:val="auto"/>
                <w:kern w:val="0"/>
                <w:sz w:val="24"/>
                <w:vertAlign w:val="subscript"/>
                <w:lang w:bidi="ar"/>
              </w:rPr>
              <w:t>2</w:t>
            </w:r>
            <w:r>
              <w:rPr>
                <w:rFonts w:hint="eastAsia"/>
                <w:color w:val="auto"/>
                <w:kern w:val="0"/>
                <w:sz w:val="24"/>
                <w:lang w:bidi="ar"/>
              </w:rPr>
              <w:t>、PM</w:t>
            </w:r>
            <w:r>
              <w:rPr>
                <w:rFonts w:hint="eastAsia"/>
                <w:color w:val="auto"/>
                <w:kern w:val="0"/>
                <w:sz w:val="24"/>
                <w:vertAlign w:val="subscript"/>
                <w:lang w:bidi="ar"/>
              </w:rPr>
              <w:t>10</w:t>
            </w:r>
            <w:r>
              <w:rPr>
                <w:rFonts w:hint="eastAsia"/>
                <w:color w:val="auto"/>
                <w:kern w:val="0"/>
                <w:sz w:val="24"/>
                <w:lang w:bidi="ar"/>
              </w:rPr>
              <w:t>、PM</w:t>
            </w:r>
            <w:r>
              <w:rPr>
                <w:rFonts w:hint="eastAsia"/>
                <w:color w:val="auto"/>
                <w:kern w:val="0"/>
                <w:sz w:val="24"/>
                <w:vertAlign w:val="subscript"/>
                <w:lang w:bidi="ar"/>
              </w:rPr>
              <w:t>2.5</w:t>
            </w:r>
            <w:r>
              <w:rPr>
                <w:rFonts w:hint="eastAsia"/>
                <w:color w:val="auto"/>
                <w:kern w:val="0"/>
                <w:sz w:val="24"/>
                <w:lang w:bidi="ar"/>
              </w:rPr>
              <w:t>年均浓度分别为8</w:t>
            </w:r>
            <w:r>
              <w:rPr>
                <w:color w:val="auto"/>
                <w:kern w:val="0"/>
                <w:sz w:val="24"/>
              </w:rPr>
              <w:t>μ</w:t>
            </w:r>
            <w:r>
              <w:rPr>
                <w:color w:val="auto"/>
                <w:kern w:val="0"/>
                <w:sz w:val="24"/>
                <w:lang w:bidi="ar"/>
              </w:rPr>
              <w:t>g/m</w:t>
            </w:r>
            <w:r>
              <w:rPr>
                <w:rFonts w:hint="eastAsia"/>
                <w:color w:val="auto"/>
                <w:kern w:val="0"/>
                <w:sz w:val="24"/>
                <w:vertAlign w:val="superscript"/>
                <w:lang w:bidi="ar"/>
              </w:rPr>
              <w:t>3</w:t>
            </w:r>
            <w:r>
              <w:rPr>
                <w:rFonts w:hint="eastAsia"/>
                <w:color w:val="auto"/>
                <w:kern w:val="0"/>
                <w:sz w:val="24"/>
                <w:lang w:bidi="ar"/>
              </w:rPr>
              <w:t>、24</w:t>
            </w:r>
            <w:r>
              <w:rPr>
                <w:color w:val="auto"/>
                <w:kern w:val="0"/>
                <w:sz w:val="24"/>
              </w:rPr>
              <w:t>μ</w:t>
            </w:r>
            <w:r>
              <w:rPr>
                <w:color w:val="auto"/>
                <w:kern w:val="0"/>
                <w:sz w:val="24"/>
                <w:lang w:bidi="ar"/>
              </w:rPr>
              <w:t>g/m</w:t>
            </w:r>
            <w:r>
              <w:rPr>
                <w:rFonts w:hint="eastAsia"/>
                <w:color w:val="auto"/>
                <w:kern w:val="0"/>
                <w:sz w:val="24"/>
                <w:vertAlign w:val="superscript"/>
                <w:lang w:bidi="ar"/>
              </w:rPr>
              <w:t>3</w:t>
            </w:r>
            <w:r>
              <w:rPr>
                <w:rFonts w:hint="eastAsia"/>
                <w:color w:val="auto"/>
                <w:kern w:val="0"/>
                <w:sz w:val="24"/>
                <w:lang w:bidi="ar"/>
              </w:rPr>
              <w:t>、74</w:t>
            </w:r>
            <w:r>
              <w:rPr>
                <w:color w:val="auto"/>
                <w:kern w:val="0"/>
                <w:sz w:val="24"/>
              </w:rPr>
              <w:t>μ</w:t>
            </w:r>
            <w:r>
              <w:rPr>
                <w:color w:val="auto"/>
                <w:kern w:val="0"/>
                <w:sz w:val="24"/>
                <w:lang w:bidi="ar"/>
              </w:rPr>
              <w:t>g/m</w:t>
            </w:r>
            <w:r>
              <w:rPr>
                <w:rFonts w:hint="eastAsia"/>
                <w:color w:val="auto"/>
                <w:kern w:val="0"/>
                <w:sz w:val="24"/>
                <w:vertAlign w:val="superscript"/>
                <w:lang w:bidi="ar"/>
              </w:rPr>
              <w:t>3</w:t>
            </w:r>
            <w:r>
              <w:rPr>
                <w:rFonts w:hint="eastAsia"/>
                <w:color w:val="auto"/>
                <w:kern w:val="0"/>
                <w:sz w:val="24"/>
                <w:lang w:bidi="ar"/>
              </w:rPr>
              <w:t>、50</w:t>
            </w:r>
            <w:r>
              <w:rPr>
                <w:color w:val="auto"/>
                <w:kern w:val="0"/>
                <w:sz w:val="24"/>
              </w:rPr>
              <w:t>μ</w:t>
            </w:r>
            <w:r>
              <w:rPr>
                <w:color w:val="auto"/>
                <w:kern w:val="0"/>
                <w:sz w:val="24"/>
                <w:lang w:bidi="ar"/>
              </w:rPr>
              <w:t>g/m</w:t>
            </w:r>
            <w:r>
              <w:rPr>
                <w:rFonts w:hint="eastAsia"/>
                <w:color w:val="auto"/>
                <w:kern w:val="0"/>
                <w:sz w:val="24"/>
                <w:vertAlign w:val="superscript"/>
                <w:lang w:bidi="ar"/>
              </w:rPr>
              <w:t>3</w:t>
            </w:r>
            <w:r>
              <w:rPr>
                <w:rFonts w:hint="eastAsia"/>
                <w:color w:val="auto"/>
                <w:kern w:val="0"/>
                <w:sz w:val="24"/>
                <w:lang w:bidi="ar"/>
              </w:rPr>
              <w:t>；CO24小时平均第95百分位数为1mg/m</w:t>
            </w:r>
            <w:r>
              <w:rPr>
                <w:rFonts w:hint="eastAsia"/>
                <w:color w:val="auto"/>
                <w:kern w:val="0"/>
                <w:sz w:val="24"/>
                <w:vertAlign w:val="superscript"/>
                <w:lang w:bidi="ar"/>
              </w:rPr>
              <w:t>3</w:t>
            </w:r>
            <w:r>
              <w:rPr>
                <w:rFonts w:hint="eastAsia"/>
                <w:color w:val="auto"/>
                <w:kern w:val="0"/>
                <w:sz w:val="24"/>
                <w:lang w:bidi="ar"/>
              </w:rPr>
              <w:t>，O</w:t>
            </w:r>
            <w:r>
              <w:rPr>
                <w:rFonts w:hint="eastAsia"/>
                <w:color w:val="auto"/>
                <w:kern w:val="0"/>
                <w:sz w:val="24"/>
                <w:vertAlign w:val="subscript"/>
                <w:lang w:bidi="ar"/>
              </w:rPr>
              <w:t>3</w:t>
            </w:r>
            <w:r>
              <w:rPr>
                <w:rFonts w:hint="eastAsia"/>
                <w:color w:val="auto"/>
                <w:kern w:val="0"/>
                <w:sz w:val="24"/>
                <w:lang w:bidi="ar"/>
              </w:rPr>
              <w:t>日最大8小时平均第90百分位数为168</w:t>
            </w:r>
            <w:r>
              <w:rPr>
                <w:color w:val="auto"/>
                <w:kern w:val="0"/>
                <w:sz w:val="24"/>
              </w:rPr>
              <w:t>μ</w:t>
            </w:r>
            <w:r>
              <w:rPr>
                <w:color w:val="auto"/>
                <w:kern w:val="0"/>
                <w:sz w:val="24"/>
                <w:lang w:bidi="ar"/>
              </w:rPr>
              <w:t>g/m</w:t>
            </w:r>
            <w:r>
              <w:rPr>
                <w:rFonts w:hint="eastAsia"/>
                <w:color w:val="auto"/>
                <w:kern w:val="0"/>
                <w:sz w:val="24"/>
                <w:vertAlign w:val="superscript"/>
                <w:lang w:bidi="ar"/>
              </w:rPr>
              <w:t>3</w:t>
            </w:r>
            <w:r>
              <w:rPr>
                <w:rFonts w:hint="eastAsia"/>
                <w:color w:val="auto"/>
                <w:kern w:val="0"/>
                <w:sz w:val="24"/>
                <w:lang w:bidi="ar"/>
              </w:rPr>
              <w:t>；超过《环境空气质量标准》（GB3095-2012）及</w:t>
            </w:r>
            <w:r>
              <w:rPr>
                <w:rFonts w:hint="eastAsia"/>
                <w:color w:val="auto"/>
                <w:kern w:val="0"/>
                <w:sz w:val="24"/>
                <w:lang w:val="en-US" w:eastAsia="zh-CN" w:bidi="ar"/>
              </w:rPr>
              <w:t>其</w:t>
            </w:r>
            <w:r>
              <w:rPr>
                <w:rFonts w:hint="eastAsia"/>
                <w:color w:val="auto"/>
                <w:kern w:val="0"/>
                <w:sz w:val="24"/>
                <w:lang w:bidi="ar"/>
              </w:rPr>
              <w:t>修改单中二级标准限值的污染物为PM</w:t>
            </w:r>
            <w:r>
              <w:rPr>
                <w:rFonts w:hint="eastAsia"/>
                <w:color w:val="auto"/>
                <w:kern w:val="0"/>
                <w:sz w:val="24"/>
                <w:vertAlign w:val="subscript"/>
                <w:lang w:bidi="ar"/>
              </w:rPr>
              <w:t>10</w:t>
            </w:r>
            <w:r>
              <w:rPr>
                <w:rFonts w:hint="eastAsia"/>
                <w:color w:val="auto"/>
                <w:kern w:val="0"/>
                <w:sz w:val="24"/>
                <w:lang w:bidi="ar"/>
              </w:rPr>
              <w:t>、O</w:t>
            </w:r>
            <w:r>
              <w:rPr>
                <w:rFonts w:hint="eastAsia"/>
                <w:color w:val="auto"/>
                <w:kern w:val="0"/>
                <w:sz w:val="24"/>
                <w:vertAlign w:val="subscript"/>
                <w:lang w:bidi="ar"/>
              </w:rPr>
              <w:t>3</w:t>
            </w:r>
            <w:r>
              <w:rPr>
                <w:rFonts w:hint="eastAsia"/>
                <w:color w:val="auto"/>
                <w:kern w:val="0"/>
                <w:sz w:val="24"/>
                <w:lang w:bidi="ar"/>
              </w:rPr>
              <w:t>、PM</w:t>
            </w:r>
            <w:r>
              <w:rPr>
                <w:rFonts w:hint="eastAsia"/>
                <w:color w:val="auto"/>
                <w:kern w:val="0"/>
                <w:sz w:val="24"/>
                <w:vertAlign w:val="subscript"/>
                <w:lang w:bidi="ar"/>
              </w:rPr>
              <w:t>2.5</w:t>
            </w:r>
            <w:r>
              <w:rPr>
                <w:rFonts w:hint="eastAsia"/>
                <w:color w:val="auto"/>
                <w:kern w:val="0"/>
                <w:sz w:val="24"/>
                <w:lang w:bidi="ar"/>
              </w:rPr>
              <w:t>。</w:t>
            </w:r>
          </w:p>
          <w:p w14:paraId="76251DD9">
            <w:pPr>
              <w:snapToGrid w:val="0"/>
              <w:spacing w:line="360" w:lineRule="auto"/>
              <w:ind w:firstLine="480" w:firstLineChars="200"/>
              <w:rPr>
                <w:color w:val="auto"/>
                <w:kern w:val="0"/>
                <w:sz w:val="24"/>
              </w:rPr>
            </w:pPr>
            <w:r>
              <w:rPr>
                <w:snapToGrid w:val="0"/>
                <w:color w:val="auto"/>
                <w:kern w:val="10"/>
                <w:sz w:val="24"/>
              </w:rPr>
              <w:t>为改善区域环境空气质量，</w:t>
            </w:r>
            <w:r>
              <w:rPr>
                <w:rFonts w:hint="eastAsia"/>
                <w:snapToGrid w:val="0"/>
                <w:color w:val="auto"/>
                <w:kern w:val="10"/>
                <w:sz w:val="24"/>
              </w:rPr>
              <w:t>2024年8月17日，</w:t>
            </w:r>
            <w:r>
              <w:rPr>
                <w:snapToGrid w:val="0"/>
                <w:color w:val="auto"/>
                <w:kern w:val="10"/>
                <w:sz w:val="24"/>
              </w:rPr>
              <w:t>濮阳市</w:t>
            </w:r>
            <w:r>
              <w:rPr>
                <w:rFonts w:hint="eastAsia"/>
                <w:snapToGrid w:val="0"/>
                <w:color w:val="auto"/>
                <w:kern w:val="10"/>
                <w:sz w:val="24"/>
              </w:rPr>
              <w:t>人民政府发布《</w:t>
            </w:r>
            <w:r>
              <w:rPr>
                <w:snapToGrid w:val="0"/>
                <w:color w:val="auto"/>
                <w:kern w:val="10"/>
                <w:sz w:val="24"/>
              </w:rPr>
              <w:t>濮阳市空气质量持续改善行动实施方案</w:t>
            </w:r>
            <w:r>
              <w:rPr>
                <w:rFonts w:hint="eastAsia"/>
                <w:snapToGrid w:val="0"/>
                <w:color w:val="auto"/>
                <w:kern w:val="10"/>
                <w:sz w:val="24"/>
              </w:rPr>
              <w:t>》（濮政〔2024〕11号），持续深入打好蓝天保卫战，以空气质量持续改善支撑经济高质量发展，</w:t>
            </w:r>
            <w:r>
              <w:rPr>
                <w:rFonts w:hint="eastAsia"/>
                <w:color w:val="auto"/>
                <w:kern w:val="0"/>
                <w:sz w:val="24"/>
              </w:rPr>
              <w:t>主要措施如下</w:t>
            </w:r>
            <w:r>
              <w:rPr>
                <w:color w:val="auto"/>
                <w:kern w:val="0"/>
                <w:sz w:val="24"/>
              </w:rPr>
              <w:t>：</w:t>
            </w:r>
          </w:p>
          <w:p w14:paraId="0C07FD8D">
            <w:pPr>
              <w:snapToGrid w:val="0"/>
              <w:spacing w:line="360" w:lineRule="auto"/>
              <w:ind w:firstLine="480" w:firstLineChars="200"/>
              <w:rPr>
                <w:color w:val="auto"/>
                <w:kern w:val="0"/>
                <w:sz w:val="24"/>
              </w:rPr>
            </w:pPr>
            <w:r>
              <w:rPr>
                <w:color w:val="auto"/>
                <w:kern w:val="0"/>
                <w:sz w:val="24"/>
              </w:rPr>
              <w:fldChar w:fldCharType="begin"/>
            </w:r>
            <w:r>
              <w:rPr>
                <w:color w:val="auto"/>
                <w:kern w:val="0"/>
                <w:sz w:val="24"/>
              </w:rPr>
              <w:instrText xml:space="preserve"> = 1 \* GB3 \* MERGEFORMAT </w:instrText>
            </w:r>
            <w:r>
              <w:rPr>
                <w:color w:val="auto"/>
                <w:kern w:val="0"/>
                <w:sz w:val="24"/>
              </w:rPr>
              <w:fldChar w:fldCharType="separate"/>
            </w:r>
            <w:r>
              <w:rPr>
                <w:color w:val="auto"/>
              </w:rPr>
              <w:t>①</w:t>
            </w:r>
            <w:r>
              <w:rPr>
                <w:color w:val="auto"/>
                <w:kern w:val="0"/>
                <w:sz w:val="24"/>
              </w:rPr>
              <w:fldChar w:fldCharType="end"/>
            </w:r>
            <w:r>
              <w:rPr>
                <w:rFonts w:hint="eastAsia"/>
                <w:color w:val="auto"/>
                <w:kern w:val="0"/>
                <w:sz w:val="24"/>
              </w:rPr>
              <w:t>优化产业结构，促进产业绿色发展</w:t>
            </w:r>
            <w:r>
              <w:rPr>
                <w:color w:val="auto"/>
                <w:kern w:val="0"/>
                <w:sz w:val="24"/>
              </w:rPr>
              <w:t>；</w:t>
            </w:r>
            <w:r>
              <w:rPr>
                <w:color w:val="auto"/>
                <w:kern w:val="0"/>
                <w:sz w:val="24"/>
              </w:rPr>
              <w:fldChar w:fldCharType="begin"/>
            </w:r>
            <w:r>
              <w:rPr>
                <w:color w:val="auto"/>
                <w:kern w:val="0"/>
                <w:sz w:val="24"/>
              </w:rPr>
              <w:instrText xml:space="preserve"> = 2 \* GB3 \* MERGEFORMAT </w:instrText>
            </w:r>
            <w:r>
              <w:rPr>
                <w:color w:val="auto"/>
                <w:kern w:val="0"/>
                <w:sz w:val="24"/>
              </w:rPr>
              <w:fldChar w:fldCharType="separate"/>
            </w:r>
            <w:r>
              <w:rPr>
                <w:color w:val="auto"/>
              </w:rPr>
              <w:t>②</w:t>
            </w:r>
            <w:r>
              <w:rPr>
                <w:color w:val="auto"/>
                <w:kern w:val="0"/>
                <w:sz w:val="24"/>
              </w:rPr>
              <w:fldChar w:fldCharType="end"/>
            </w:r>
            <w:r>
              <w:rPr>
                <w:rFonts w:ascii="宋体" w:hAnsi="宋体" w:cs="宋体"/>
                <w:color w:val="auto"/>
                <w:sz w:val="24"/>
              </w:rPr>
              <w:t>优化能源结构，加快能源绿色低碳发展</w:t>
            </w:r>
            <w:r>
              <w:rPr>
                <w:color w:val="auto"/>
                <w:kern w:val="0"/>
                <w:sz w:val="24"/>
              </w:rPr>
              <w:t>；</w:t>
            </w:r>
            <w:r>
              <w:rPr>
                <w:color w:val="auto"/>
                <w:kern w:val="0"/>
                <w:sz w:val="24"/>
              </w:rPr>
              <w:fldChar w:fldCharType="begin"/>
            </w:r>
            <w:r>
              <w:rPr>
                <w:color w:val="auto"/>
                <w:kern w:val="0"/>
                <w:sz w:val="24"/>
              </w:rPr>
              <w:instrText xml:space="preserve"> = 3 \* GB3 \* MERGEFORMAT </w:instrText>
            </w:r>
            <w:r>
              <w:rPr>
                <w:color w:val="auto"/>
                <w:kern w:val="0"/>
                <w:sz w:val="24"/>
              </w:rPr>
              <w:fldChar w:fldCharType="separate"/>
            </w:r>
            <w:r>
              <w:rPr>
                <w:color w:val="auto"/>
              </w:rPr>
              <w:t>③</w:t>
            </w:r>
            <w:r>
              <w:rPr>
                <w:color w:val="auto"/>
                <w:kern w:val="0"/>
                <w:sz w:val="24"/>
              </w:rPr>
              <w:fldChar w:fldCharType="end"/>
            </w:r>
            <w:r>
              <w:rPr>
                <w:rFonts w:ascii="宋体" w:hAnsi="宋体" w:cs="宋体"/>
                <w:color w:val="auto"/>
                <w:sz w:val="24"/>
              </w:rPr>
              <w:t>优化交通结构，大力发展绿色运输体系</w:t>
            </w:r>
            <w:r>
              <w:rPr>
                <w:color w:val="auto"/>
                <w:kern w:val="0"/>
                <w:sz w:val="24"/>
              </w:rPr>
              <w:t>；</w:t>
            </w:r>
            <w:r>
              <w:rPr>
                <w:color w:val="auto"/>
                <w:kern w:val="0"/>
                <w:sz w:val="24"/>
              </w:rPr>
              <w:fldChar w:fldCharType="begin"/>
            </w:r>
            <w:r>
              <w:rPr>
                <w:color w:val="auto"/>
                <w:kern w:val="0"/>
                <w:sz w:val="24"/>
              </w:rPr>
              <w:instrText xml:space="preserve"> = 4 \* GB3 \* MERGEFORMAT </w:instrText>
            </w:r>
            <w:r>
              <w:rPr>
                <w:color w:val="auto"/>
                <w:kern w:val="0"/>
                <w:sz w:val="24"/>
              </w:rPr>
              <w:fldChar w:fldCharType="separate"/>
            </w:r>
            <w:r>
              <w:rPr>
                <w:color w:val="auto"/>
              </w:rPr>
              <w:t>④</w:t>
            </w:r>
            <w:r>
              <w:rPr>
                <w:color w:val="auto"/>
                <w:kern w:val="0"/>
                <w:sz w:val="24"/>
              </w:rPr>
              <w:fldChar w:fldCharType="end"/>
            </w:r>
            <w:r>
              <w:rPr>
                <w:rFonts w:ascii="宋体" w:hAnsi="宋体" w:cs="宋体"/>
                <w:color w:val="auto"/>
                <w:sz w:val="24"/>
              </w:rPr>
              <w:t>强化面源污染治理，提升精细化管理水平</w:t>
            </w:r>
            <w:r>
              <w:rPr>
                <w:color w:val="auto"/>
                <w:kern w:val="0"/>
                <w:sz w:val="24"/>
              </w:rPr>
              <w:t>；</w:t>
            </w:r>
            <w:r>
              <w:rPr>
                <w:color w:val="auto"/>
                <w:kern w:val="0"/>
                <w:sz w:val="24"/>
              </w:rPr>
              <w:fldChar w:fldCharType="begin"/>
            </w:r>
            <w:r>
              <w:rPr>
                <w:color w:val="auto"/>
                <w:kern w:val="0"/>
                <w:sz w:val="24"/>
              </w:rPr>
              <w:instrText xml:space="preserve"> = 5 \* GB3 \* MERGEFORMAT </w:instrText>
            </w:r>
            <w:r>
              <w:rPr>
                <w:color w:val="auto"/>
                <w:kern w:val="0"/>
                <w:sz w:val="24"/>
              </w:rPr>
              <w:fldChar w:fldCharType="separate"/>
            </w:r>
            <w:r>
              <w:rPr>
                <w:color w:val="auto"/>
              </w:rPr>
              <w:t>⑤</w:t>
            </w:r>
            <w:r>
              <w:rPr>
                <w:color w:val="auto"/>
                <w:kern w:val="0"/>
                <w:sz w:val="24"/>
              </w:rPr>
              <w:fldChar w:fldCharType="end"/>
            </w:r>
            <w:r>
              <w:rPr>
                <w:rFonts w:ascii="宋体" w:hAnsi="宋体" w:cs="宋体"/>
                <w:color w:val="auto"/>
                <w:sz w:val="24"/>
              </w:rPr>
              <w:t>加强多污染物减排，降</w:t>
            </w:r>
            <w:r>
              <w:rPr>
                <w:color w:val="auto"/>
                <w:sz w:val="24"/>
              </w:rPr>
              <w:t>低VOCs</w:t>
            </w:r>
            <w:r>
              <w:rPr>
                <w:rFonts w:ascii="宋体" w:hAnsi="宋体" w:cs="宋体"/>
                <w:color w:val="auto"/>
                <w:sz w:val="24"/>
              </w:rPr>
              <w:t>和氮氧化物排放强度</w:t>
            </w:r>
            <w:r>
              <w:rPr>
                <w:color w:val="auto"/>
                <w:kern w:val="0"/>
                <w:sz w:val="24"/>
              </w:rPr>
              <w:t>；</w:t>
            </w:r>
            <w:r>
              <w:rPr>
                <w:color w:val="auto"/>
                <w:kern w:val="0"/>
                <w:sz w:val="24"/>
              </w:rPr>
              <w:fldChar w:fldCharType="begin"/>
            </w:r>
            <w:r>
              <w:rPr>
                <w:color w:val="auto"/>
                <w:kern w:val="0"/>
                <w:sz w:val="24"/>
              </w:rPr>
              <w:instrText xml:space="preserve"> = 6 \* GB3 \* MERGEFORMAT </w:instrText>
            </w:r>
            <w:r>
              <w:rPr>
                <w:color w:val="auto"/>
                <w:kern w:val="0"/>
                <w:sz w:val="24"/>
              </w:rPr>
              <w:fldChar w:fldCharType="separate"/>
            </w:r>
            <w:r>
              <w:rPr>
                <w:color w:val="auto"/>
              </w:rPr>
              <w:t>⑥</w:t>
            </w:r>
            <w:r>
              <w:rPr>
                <w:color w:val="auto"/>
                <w:kern w:val="0"/>
                <w:sz w:val="24"/>
              </w:rPr>
              <w:fldChar w:fldCharType="end"/>
            </w:r>
            <w:r>
              <w:rPr>
                <w:rFonts w:ascii="宋体" w:hAnsi="宋体" w:cs="宋体"/>
                <w:color w:val="auto"/>
                <w:sz w:val="24"/>
              </w:rPr>
              <w:t>完善制度机制，提升大气环境管理水平</w:t>
            </w:r>
            <w:r>
              <w:rPr>
                <w:color w:val="auto"/>
                <w:kern w:val="0"/>
                <w:sz w:val="24"/>
              </w:rPr>
              <w:t>；</w:t>
            </w:r>
            <w:r>
              <w:rPr>
                <w:color w:val="auto"/>
                <w:kern w:val="0"/>
                <w:sz w:val="24"/>
              </w:rPr>
              <w:fldChar w:fldCharType="begin"/>
            </w:r>
            <w:r>
              <w:rPr>
                <w:color w:val="auto"/>
                <w:kern w:val="0"/>
                <w:sz w:val="24"/>
              </w:rPr>
              <w:instrText xml:space="preserve"> = 7 \* GB3 \* MERGEFORMAT </w:instrText>
            </w:r>
            <w:r>
              <w:rPr>
                <w:color w:val="auto"/>
                <w:kern w:val="0"/>
                <w:sz w:val="24"/>
              </w:rPr>
              <w:fldChar w:fldCharType="separate"/>
            </w:r>
            <w:r>
              <w:rPr>
                <w:color w:val="auto"/>
              </w:rPr>
              <w:t>⑦</w:t>
            </w:r>
            <w:r>
              <w:rPr>
                <w:color w:val="auto"/>
                <w:kern w:val="0"/>
                <w:sz w:val="24"/>
              </w:rPr>
              <w:fldChar w:fldCharType="end"/>
            </w:r>
            <w:r>
              <w:rPr>
                <w:rFonts w:ascii="宋体" w:hAnsi="宋体" w:cs="宋体"/>
                <w:color w:val="auto"/>
                <w:sz w:val="24"/>
              </w:rPr>
              <w:t>加强能力建设，提升监管执法效能</w:t>
            </w:r>
            <w:r>
              <w:rPr>
                <w:color w:val="auto"/>
                <w:kern w:val="0"/>
                <w:sz w:val="24"/>
              </w:rPr>
              <w:t>；</w:t>
            </w:r>
            <w:r>
              <w:rPr>
                <w:color w:val="auto"/>
                <w:kern w:val="0"/>
                <w:sz w:val="24"/>
              </w:rPr>
              <w:fldChar w:fldCharType="begin"/>
            </w:r>
            <w:r>
              <w:rPr>
                <w:color w:val="auto"/>
                <w:kern w:val="0"/>
                <w:sz w:val="24"/>
              </w:rPr>
              <w:instrText xml:space="preserve"> = 8 \* GB3 \* MERGEFORMAT </w:instrText>
            </w:r>
            <w:r>
              <w:rPr>
                <w:color w:val="auto"/>
                <w:kern w:val="0"/>
                <w:sz w:val="24"/>
              </w:rPr>
              <w:fldChar w:fldCharType="separate"/>
            </w:r>
            <w:r>
              <w:rPr>
                <w:color w:val="auto"/>
              </w:rPr>
              <w:t>⑧</w:t>
            </w:r>
            <w:r>
              <w:rPr>
                <w:color w:val="auto"/>
                <w:kern w:val="0"/>
                <w:sz w:val="24"/>
              </w:rPr>
              <w:fldChar w:fldCharType="end"/>
            </w:r>
            <w:r>
              <w:rPr>
                <w:rFonts w:ascii="宋体" w:hAnsi="宋体" w:cs="宋体"/>
                <w:color w:val="auto"/>
                <w:sz w:val="24"/>
              </w:rPr>
              <w:t>健全法规标准体系，完善环境经济政策</w:t>
            </w:r>
            <w:r>
              <w:rPr>
                <w:rFonts w:hint="eastAsia" w:ascii="宋体" w:hAnsi="宋体" w:cs="宋体"/>
                <w:color w:val="auto"/>
                <w:sz w:val="24"/>
              </w:rPr>
              <w:t>；</w:t>
            </w:r>
            <w:r>
              <w:rPr>
                <w:color w:val="auto"/>
                <w:sz w:val="24"/>
              </w:rPr>
              <w:fldChar w:fldCharType="begin"/>
            </w:r>
            <w:r>
              <w:rPr>
                <w:color w:val="auto"/>
                <w:sz w:val="24"/>
              </w:rPr>
              <w:instrText xml:space="preserve"> = 9 \* GB3 \* MERGEFORMAT </w:instrText>
            </w:r>
            <w:r>
              <w:rPr>
                <w:color w:val="auto"/>
                <w:sz w:val="24"/>
              </w:rPr>
              <w:fldChar w:fldCharType="separate"/>
            </w:r>
            <w:r>
              <w:rPr>
                <w:color w:val="auto"/>
              </w:rPr>
              <w:t>⑨</w:t>
            </w:r>
            <w:r>
              <w:rPr>
                <w:color w:val="auto"/>
                <w:sz w:val="24"/>
              </w:rPr>
              <w:fldChar w:fldCharType="end"/>
            </w:r>
            <w:r>
              <w:rPr>
                <w:rFonts w:hint="eastAsia" w:ascii="宋体" w:hAnsi="宋体" w:cs="宋体"/>
                <w:color w:val="auto"/>
                <w:sz w:val="24"/>
              </w:rPr>
              <w:t>压实工作责任，汇聚治污合力</w:t>
            </w:r>
            <w:r>
              <w:rPr>
                <w:color w:val="auto"/>
                <w:kern w:val="0"/>
                <w:sz w:val="24"/>
              </w:rPr>
              <w:t>。</w:t>
            </w:r>
          </w:p>
          <w:p w14:paraId="77A23568">
            <w:pPr>
              <w:snapToGrid w:val="0"/>
              <w:spacing w:line="360" w:lineRule="auto"/>
              <w:ind w:firstLine="480" w:firstLineChars="200"/>
              <w:rPr>
                <w:color w:val="auto"/>
                <w:kern w:val="0"/>
                <w:sz w:val="24"/>
              </w:rPr>
            </w:pPr>
            <w:r>
              <w:rPr>
                <w:color w:val="auto"/>
                <w:kern w:val="0"/>
                <w:sz w:val="24"/>
              </w:rPr>
              <w:t>待以上</w:t>
            </w:r>
            <w:r>
              <w:rPr>
                <w:rFonts w:hint="eastAsia"/>
                <w:color w:val="auto"/>
                <w:kern w:val="0"/>
                <w:sz w:val="24"/>
              </w:rPr>
              <w:t>措施</w:t>
            </w:r>
            <w:r>
              <w:rPr>
                <w:color w:val="auto"/>
                <w:kern w:val="0"/>
                <w:sz w:val="24"/>
              </w:rPr>
              <w:t>逐步实施后，濮阳市环境空气质量将得到持续改善。</w:t>
            </w:r>
          </w:p>
          <w:p w14:paraId="08EC203B">
            <w:pPr>
              <w:spacing w:line="360" w:lineRule="auto"/>
              <w:ind w:firstLine="480" w:firstLineChars="200"/>
              <w:rPr>
                <w:color w:val="auto"/>
                <w:kern w:val="0"/>
                <w:sz w:val="24"/>
              </w:rPr>
            </w:pPr>
            <w:r>
              <w:rPr>
                <w:rFonts w:hint="eastAsia"/>
                <w:color w:val="auto"/>
                <w:kern w:val="0"/>
                <w:sz w:val="24"/>
              </w:rPr>
              <w:t>（2）其他污染物环境质量现状评价</w:t>
            </w:r>
          </w:p>
          <w:p w14:paraId="2674AE17">
            <w:pPr>
              <w:spacing w:line="360" w:lineRule="auto"/>
              <w:ind w:firstLine="480" w:firstLineChars="200"/>
              <w:contextualSpacing/>
              <w:rPr>
                <w:color w:val="auto"/>
                <w:sz w:val="24"/>
              </w:rPr>
            </w:pPr>
            <w:r>
              <w:rPr>
                <w:rFonts w:hint="eastAsia"/>
                <w:color w:val="auto"/>
                <w:sz w:val="24"/>
              </w:rPr>
              <w:t>本</w:t>
            </w:r>
            <w:r>
              <w:rPr>
                <w:color w:val="auto"/>
                <w:sz w:val="24"/>
              </w:rPr>
              <w:t>项目选址位于</w:t>
            </w:r>
            <w:r>
              <w:rPr>
                <w:rFonts w:hint="eastAsia"/>
                <w:color w:val="auto"/>
                <w:sz w:val="24"/>
              </w:rPr>
              <w:t>清丰县先进制造业开发区。</w:t>
            </w:r>
            <w:r>
              <w:rPr>
                <w:color w:val="auto"/>
                <w:sz w:val="24"/>
              </w:rPr>
              <w:t>本次评价</w:t>
            </w:r>
            <w:r>
              <w:rPr>
                <w:rFonts w:hint="eastAsia"/>
                <w:color w:val="auto"/>
                <w:sz w:val="24"/>
              </w:rPr>
              <w:t>废气污染物</w:t>
            </w:r>
            <w:r>
              <w:rPr>
                <w:color w:val="auto"/>
                <w:sz w:val="24"/>
              </w:rPr>
              <w:t>特征因子</w:t>
            </w:r>
            <w:r>
              <w:rPr>
                <w:rFonts w:hint="eastAsia"/>
                <w:color w:val="auto"/>
                <w:sz w:val="24"/>
              </w:rPr>
              <w:t>包括</w:t>
            </w:r>
            <w:r>
              <w:rPr>
                <w:color w:val="auto"/>
                <w:sz w:val="24"/>
              </w:rPr>
              <w:t>非甲烷总烃</w:t>
            </w:r>
            <w:r>
              <w:rPr>
                <w:rFonts w:hint="eastAsia"/>
                <w:color w:val="auto"/>
                <w:sz w:val="24"/>
              </w:rPr>
              <w:t>、甲苯、二甲苯，现状</w:t>
            </w:r>
            <w:r>
              <w:rPr>
                <w:color w:val="auto"/>
                <w:sz w:val="24"/>
              </w:rPr>
              <w:t>监测数据引用</w:t>
            </w:r>
            <w:r>
              <w:rPr>
                <w:rFonts w:hint="eastAsia"/>
                <w:color w:val="auto"/>
                <w:sz w:val="24"/>
              </w:rPr>
              <w:t>《濮阳市挥发性有机物综合治理废活性炭集中再生中心</w:t>
            </w:r>
            <w:r>
              <w:rPr>
                <w:rFonts w:hint="eastAsia" w:ascii="宋体" w:hAnsi="宋体" w:cs="宋体"/>
                <w:color w:val="auto"/>
                <w:sz w:val="24"/>
              </w:rPr>
              <w:t>（绿岛）</w:t>
            </w:r>
            <w:r>
              <w:rPr>
                <w:rFonts w:hint="eastAsia"/>
                <w:color w:val="auto"/>
                <w:sz w:val="24"/>
              </w:rPr>
              <w:t>项目环境影响评价报告书》中2023年4月26日~2023年5月2日对后荣花树村（E2159m）的监测数据。后荣花树村位于项目周边5千米范围内，且检测时间在3年有效期内，故引用数据可行，</w:t>
            </w:r>
            <w:r>
              <w:rPr>
                <w:color w:val="auto"/>
                <w:sz w:val="24"/>
              </w:rPr>
              <w:t>环境空气质量现状</w:t>
            </w:r>
            <w:r>
              <w:rPr>
                <w:rFonts w:hint="eastAsia"/>
                <w:color w:val="auto"/>
                <w:sz w:val="24"/>
              </w:rPr>
              <w:t>监测数据</w:t>
            </w:r>
            <w:r>
              <w:rPr>
                <w:color w:val="auto"/>
                <w:sz w:val="24"/>
              </w:rPr>
              <w:t>见</w:t>
            </w:r>
            <w:r>
              <w:rPr>
                <w:rFonts w:hint="eastAsia"/>
                <w:color w:val="auto"/>
                <w:sz w:val="24"/>
              </w:rPr>
              <w:t>下</w:t>
            </w:r>
            <w:r>
              <w:rPr>
                <w:color w:val="auto"/>
                <w:sz w:val="24"/>
              </w:rPr>
              <w:t>表。</w:t>
            </w:r>
          </w:p>
          <w:p w14:paraId="2D646989">
            <w:pPr>
              <w:pStyle w:val="46"/>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eastAsia" w:ascii="Times New Roman" w:hAnsi="Arial Unicode MS" w:eastAsia="宋体" w:cs="Times New Roman"/>
                <w:b/>
                <w:color w:val="auto"/>
                <w:kern w:val="2"/>
                <w:sz w:val="24"/>
                <w:szCs w:val="24"/>
                <w:lang w:val="en-US" w:eastAsia="zh-CN" w:bidi="ar-SA"/>
              </w:rPr>
            </w:pPr>
            <w:r>
              <w:rPr>
                <w:rFonts w:hint="eastAsia" w:ascii="Times New Roman" w:hAnsi="Arial Unicode MS" w:eastAsia="宋体" w:cs="Times New Roman"/>
                <w:b/>
                <w:color w:val="auto"/>
                <w:kern w:val="2"/>
                <w:sz w:val="24"/>
                <w:szCs w:val="24"/>
                <w:lang w:val="en-US" w:eastAsia="zh-CN" w:bidi="ar-SA"/>
              </w:rPr>
              <w:t>环境空气质量现状监测结果表</w:t>
            </w:r>
          </w:p>
          <w:tbl>
            <w:tblPr>
              <w:tblStyle w:val="25"/>
              <w:tblW w:w="83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1"/>
              <w:gridCol w:w="1387"/>
              <w:gridCol w:w="1248"/>
              <w:gridCol w:w="1220"/>
              <w:gridCol w:w="1498"/>
              <w:gridCol w:w="904"/>
              <w:gridCol w:w="1135"/>
            </w:tblGrid>
            <w:tr w14:paraId="100F6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91" w:type="dxa"/>
                  <w:vAlign w:val="center"/>
                </w:tcPr>
                <w:p w14:paraId="290D2994">
                  <w:pPr>
                    <w:keepNext/>
                    <w:keepLines/>
                    <w:snapToGrid w:val="0"/>
                    <w:jc w:val="center"/>
                    <w:rPr>
                      <w:b/>
                      <w:bCs/>
                      <w:color w:val="auto"/>
                      <w:szCs w:val="21"/>
                    </w:rPr>
                  </w:pPr>
                  <w:r>
                    <w:rPr>
                      <w:b/>
                      <w:bCs/>
                      <w:color w:val="auto"/>
                      <w:szCs w:val="21"/>
                    </w:rPr>
                    <w:t>项目</w:t>
                  </w:r>
                </w:p>
              </w:tc>
              <w:tc>
                <w:tcPr>
                  <w:tcW w:w="1387" w:type="dxa"/>
                  <w:vAlign w:val="center"/>
                </w:tcPr>
                <w:p w14:paraId="7938F08F">
                  <w:pPr>
                    <w:keepNext/>
                    <w:keepLines/>
                    <w:tabs>
                      <w:tab w:val="left" w:pos="420"/>
                    </w:tabs>
                    <w:snapToGrid w:val="0"/>
                    <w:jc w:val="center"/>
                    <w:rPr>
                      <w:b/>
                      <w:bCs/>
                      <w:color w:val="auto"/>
                      <w:szCs w:val="21"/>
                    </w:rPr>
                  </w:pPr>
                  <w:r>
                    <w:rPr>
                      <w:b/>
                      <w:bCs/>
                      <w:color w:val="auto"/>
                      <w:szCs w:val="21"/>
                    </w:rPr>
                    <w:t>监测点位</w:t>
                  </w:r>
                </w:p>
              </w:tc>
              <w:tc>
                <w:tcPr>
                  <w:tcW w:w="1248" w:type="dxa"/>
                  <w:vAlign w:val="center"/>
                </w:tcPr>
                <w:p w14:paraId="5A6B3839">
                  <w:pPr>
                    <w:keepNext/>
                    <w:keepLines/>
                    <w:tabs>
                      <w:tab w:val="left" w:pos="420"/>
                    </w:tabs>
                    <w:snapToGrid w:val="0"/>
                    <w:jc w:val="center"/>
                    <w:rPr>
                      <w:b/>
                      <w:bCs/>
                      <w:color w:val="auto"/>
                      <w:szCs w:val="21"/>
                    </w:rPr>
                  </w:pPr>
                  <w:r>
                    <w:rPr>
                      <w:b/>
                      <w:bCs/>
                      <w:color w:val="auto"/>
                      <w:szCs w:val="21"/>
                    </w:rPr>
                    <w:t>浓度值（mg/m</w:t>
                  </w:r>
                  <w:r>
                    <w:rPr>
                      <w:b/>
                      <w:bCs/>
                      <w:color w:val="auto"/>
                      <w:szCs w:val="21"/>
                      <w:vertAlign w:val="superscript"/>
                    </w:rPr>
                    <w:t>3</w:t>
                  </w:r>
                  <w:r>
                    <w:rPr>
                      <w:b/>
                      <w:bCs/>
                      <w:color w:val="auto"/>
                      <w:szCs w:val="21"/>
                    </w:rPr>
                    <w:t>）</w:t>
                  </w:r>
                </w:p>
              </w:tc>
              <w:tc>
                <w:tcPr>
                  <w:tcW w:w="1220" w:type="dxa"/>
                  <w:vAlign w:val="center"/>
                </w:tcPr>
                <w:p w14:paraId="5B36DCE9">
                  <w:pPr>
                    <w:keepNext/>
                    <w:keepLines/>
                    <w:tabs>
                      <w:tab w:val="left" w:pos="420"/>
                    </w:tabs>
                    <w:snapToGrid w:val="0"/>
                    <w:jc w:val="center"/>
                    <w:rPr>
                      <w:b/>
                      <w:bCs/>
                      <w:color w:val="auto"/>
                      <w:szCs w:val="21"/>
                    </w:rPr>
                  </w:pPr>
                  <w:r>
                    <w:rPr>
                      <w:b/>
                      <w:bCs/>
                      <w:color w:val="auto"/>
                      <w:szCs w:val="21"/>
                    </w:rPr>
                    <w:t>标准限值（mg/m</w:t>
                  </w:r>
                  <w:r>
                    <w:rPr>
                      <w:b/>
                      <w:bCs/>
                      <w:color w:val="auto"/>
                      <w:szCs w:val="21"/>
                      <w:vertAlign w:val="superscript"/>
                    </w:rPr>
                    <w:t>3</w:t>
                  </w:r>
                  <w:r>
                    <w:rPr>
                      <w:b/>
                      <w:bCs/>
                      <w:color w:val="auto"/>
                      <w:szCs w:val="21"/>
                    </w:rPr>
                    <w:t>）</w:t>
                  </w:r>
                </w:p>
              </w:tc>
              <w:tc>
                <w:tcPr>
                  <w:tcW w:w="1498" w:type="dxa"/>
                  <w:vAlign w:val="center"/>
                </w:tcPr>
                <w:p w14:paraId="1CDAF3D0">
                  <w:pPr>
                    <w:keepNext/>
                    <w:keepLines/>
                    <w:tabs>
                      <w:tab w:val="left" w:pos="420"/>
                    </w:tabs>
                    <w:snapToGrid w:val="0"/>
                    <w:jc w:val="center"/>
                    <w:rPr>
                      <w:b/>
                      <w:bCs/>
                      <w:color w:val="auto"/>
                      <w:szCs w:val="21"/>
                    </w:rPr>
                  </w:pPr>
                  <w:r>
                    <w:rPr>
                      <w:b/>
                      <w:bCs/>
                      <w:color w:val="auto"/>
                      <w:szCs w:val="21"/>
                    </w:rPr>
                    <w:t>标准指数范围</w:t>
                  </w:r>
                </w:p>
              </w:tc>
              <w:tc>
                <w:tcPr>
                  <w:tcW w:w="904" w:type="dxa"/>
                  <w:vAlign w:val="center"/>
                </w:tcPr>
                <w:p w14:paraId="61BA61A1">
                  <w:pPr>
                    <w:keepNext/>
                    <w:keepLines/>
                    <w:tabs>
                      <w:tab w:val="left" w:pos="420"/>
                    </w:tabs>
                    <w:snapToGrid w:val="0"/>
                    <w:jc w:val="center"/>
                    <w:rPr>
                      <w:b/>
                      <w:bCs/>
                      <w:color w:val="auto"/>
                      <w:szCs w:val="21"/>
                    </w:rPr>
                  </w:pPr>
                  <w:r>
                    <w:rPr>
                      <w:b/>
                      <w:bCs/>
                      <w:color w:val="auto"/>
                      <w:szCs w:val="21"/>
                    </w:rPr>
                    <w:t>超标率</w:t>
                  </w:r>
                </w:p>
              </w:tc>
              <w:tc>
                <w:tcPr>
                  <w:tcW w:w="1135" w:type="dxa"/>
                  <w:vAlign w:val="center"/>
                </w:tcPr>
                <w:p w14:paraId="63CE9A7C">
                  <w:pPr>
                    <w:keepNext/>
                    <w:keepLines/>
                    <w:tabs>
                      <w:tab w:val="left" w:pos="420"/>
                    </w:tabs>
                    <w:snapToGrid w:val="0"/>
                    <w:jc w:val="center"/>
                    <w:rPr>
                      <w:b/>
                      <w:bCs/>
                      <w:color w:val="auto"/>
                      <w:szCs w:val="21"/>
                    </w:rPr>
                  </w:pPr>
                  <w:r>
                    <w:rPr>
                      <w:b/>
                      <w:bCs/>
                      <w:color w:val="auto"/>
                      <w:szCs w:val="21"/>
                    </w:rPr>
                    <w:t>达标情况</w:t>
                  </w:r>
                </w:p>
              </w:tc>
            </w:tr>
            <w:tr w14:paraId="4DC59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91" w:type="dxa"/>
                  <w:vAlign w:val="center"/>
                </w:tcPr>
                <w:p w14:paraId="41BE0CDF">
                  <w:pPr>
                    <w:pStyle w:val="4"/>
                    <w:numPr>
                      <w:ilvl w:val="0"/>
                      <w:numId w:val="0"/>
                    </w:numPr>
                    <w:snapToGrid w:val="0"/>
                    <w:spacing w:line="240" w:lineRule="auto"/>
                    <w:jc w:val="center"/>
                    <w:rPr>
                      <w:b w:val="0"/>
                      <w:color w:val="auto"/>
                      <w:sz w:val="21"/>
                      <w:szCs w:val="21"/>
                    </w:rPr>
                  </w:pPr>
                  <w:bookmarkStart w:id="79" w:name="_Toc19040"/>
                  <w:bookmarkStart w:id="80" w:name="_Toc20860"/>
                  <w:r>
                    <w:rPr>
                      <w:b w:val="0"/>
                      <w:color w:val="auto"/>
                      <w:sz w:val="21"/>
                      <w:szCs w:val="21"/>
                    </w:rPr>
                    <w:t>非甲烷总烃</w:t>
                  </w:r>
                  <w:bookmarkEnd w:id="79"/>
                  <w:bookmarkEnd w:id="80"/>
                </w:p>
              </w:tc>
              <w:tc>
                <w:tcPr>
                  <w:tcW w:w="1387" w:type="dxa"/>
                  <w:vMerge w:val="restart"/>
                  <w:vAlign w:val="center"/>
                </w:tcPr>
                <w:p w14:paraId="4637CD12">
                  <w:pPr>
                    <w:snapToGrid w:val="0"/>
                    <w:jc w:val="center"/>
                    <w:rPr>
                      <w:color w:val="auto"/>
                      <w:szCs w:val="21"/>
                    </w:rPr>
                  </w:pPr>
                  <w:r>
                    <w:rPr>
                      <w:color w:val="auto"/>
                      <w:szCs w:val="21"/>
                    </w:rPr>
                    <w:t>后荣花树村</w:t>
                  </w:r>
                </w:p>
              </w:tc>
              <w:tc>
                <w:tcPr>
                  <w:tcW w:w="1248" w:type="dxa"/>
                  <w:vAlign w:val="center"/>
                </w:tcPr>
                <w:p w14:paraId="239C4A63">
                  <w:pPr>
                    <w:snapToGrid w:val="0"/>
                    <w:jc w:val="center"/>
                    <w:rPr>
                      <w:color w:val="auto"/>
                      <w:szCs w:val="21"/>
                    </w:rPr>
                  </w:pPr>
                  <w:r>
                    <w:rPr>
                      <w:rFonts w:hint="eastAsia"/>
                      <w:color w:val="auto"/>
                      <w:szCs w:val="21"/>
                    </w:rPr>
                    <w:t>0.76~0.95</w:t>
                  </w:r>
                </w:p>
              </w:tc>
              <w:tc>
                <w:tcPr>
                  <w:tcW w:w="1220" w:type="dxa"/>
                  <w:vAlign w:val="center"/>
                </w:tcPr>
                <w:p w14:paraId="22A912E8">
                  <w:pPr>
                    <w:pStyle w:val="4"/>
                    <w:numPr>
                      <w:ilvl w:val="0"/>
                      <w:numId w:val="0"/>
                    </w:numPr>
                    <w:snapToGrid w:val="0"/>
                    <w:spacing w:line="240" w:lineRule="auto"/>
                    <w:jc w:val="center"/>
                    <w:rPr>
                      <w:b w:val="0"/>
                      <w:color w:val="auto"/>
                      <w:sz w:val="21"/>
                      <w:szCs w:val="21"/>
                    </w:rPr>
                  </w:pPr>
                  <w:bookmarkStart w:id="81" w:name="_Toc908"/>
                  <w:r>
                    <w:rPr>
                      <w:b w:val="0"/>
                      <w:color w:val="auto"/>
                      <w:sz w:val="21"/>
                      <w:szCs w:val="21"/>
                    </w:rPr>
                    <w:t>2.0</w:t>
                  </w:r>
                  <w:bookmarkEnd w:id="81"/>
                </w:p>
              </w:tc>
              <w:tc>
                <w:tcPr>
                  <w:tcW w:w="1498" w:type="dxa"/>
                  <w:vAlign w:val="center"/>
                </w:tcPr>
                <w:p w14:paraId="5124F68D">
                  <w:pPr>
                    <w:snapToGrid w:val="0"/>
                    <w:jc w:val="center"/>
                    <w:rPr>
                      <w:color w:val="auto"/>
                      <w:szCs w:val="21"/>
                    </w:rPr>
                  </w:pPr>
                  <w:r>
                    <w:rPr>
                      <w:color w:val="auto"/>
                      <w:szCs w:val="21"/>
                    </w:rPr>
                    <w:t>0.</w:t>
                  </w:r>
                  <w:r>
                    <w:rPr>
                      <w:rFonts w:hint="eastAsia"/>
                      <w:color w:val="auto"/>
                      <w:szCs w:val="21"/>
                    </w:rPr>
                    <w:t>38~</w:t>
                  </w:r>
                  <w:r>
                    <w:rPr>
                      <w:color w:val="auto"/>
                      <w:szCs w:val="21"/>
                    </w:rPr>
                    <w:t>0.</w:t>
                  </w:r>
                  <w:r>
                    <w:rPr>
                      <w:rFonts w:hint="eastAsia"/>
                      <w:color w:val="auto"/>
                      <w:szCs w:val="21"/>
                    </w:rPr>
                    <w:t>475</w:t>
                  </w:r>
                </w:p>
              </w:tc>
              <w:tc>
                <w:tcPr>
                  <w:tcW w:w="904" w:type="dxa"/>
                  <w:vAlign w:val="center"/>
                </w:tcPr>
                <w:p w14:paraId="389FF006">
                  <w:pPr>
                    <w:pStyle w:val="4"/>
                    <w:numPr>
                      <w:ilvl w:val="0"/>
                      <w:numId w:val="0"/>
                    </w:numPr>
                    <w:snapToGrid w:val="0"/>
                    <w:spacing w:line="240" w:lineRule="auto"/>
                    <w:jc w:val="center"/>
                    <w:rPr>
                      <w:b w:val="0"/>
                      <w:color w:val="auto"/>
                      <w:sz w:val="21"/>
                      <w:szCs w:val="21"/>
                    </w:rPr>
                  </w:pPr>
                  <w:bookmarkStart w:id="82" w:name="_Toc10609"/>
                  <w:r>
                    <w:rPr>
                      <w:b w:val="0"/>
                      <w:color w:val="auto"/>
                      <w:sz w:val="21"/>
                      <w:szCs w:val="21"/>
                    </w:rPr>
                    <w:t>0</w:t>
                  </w:r>
                  <w:bookmarkEnd w:id="82"/>
                </w:p>
              </w:tc>
              <w:tc>
                <w:tcPr>
                  <w:tcW w:w="1135" w:type="dxa"/>
                  <w:vAlign w:val="center"/>
                </w:tcPr>
                <w:p w14:paraId="4D443291">
                  <w:pPr>
                    <w:pStyle w:val="4"/>
                    <w:numPr>
                      <w:ilvl w:val="0"/>
                      <w:numId w:val="0"/>
                    </w:numPr>
                    <w:snapToGrid w:val="0"/>
                    <w:spacing w:line="240" w:lineRule="auto"/>
                    <w:jc w:val="center"/>
                    <w:rPr>
                      <w:b w:val="0"/>
                      <w:color w:val="auto"/>
                      <w:sz w:val="21"/>
                      <w:szCs w:val="21"/>
                    </w:rPr>
                  </w:pPr>
                  <w:bookmarkStart w:id="83" w:name="_Toc14709"/>
                  <w:r>
                    <w:rPr>
                      <w:b w:val="0"/>
                      <w:color w:val="auto"/>
                      <w:sz w:val="21"/>
                      <w:szCs w:val="21"/>
                    </w:rPr>
                    <w:t>达标</w:t>
                  </w:r>
                  <w:bookmarkEnd w:id="83"/>
                </w:p>
              </w:tc>
            </w:tr>
            <w:tr w14:paraId="3D8B3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91" w:type="dxa"/>
                  <w:vAlign w:val="center"/>
                </w:tcPr>
                <w:p w14:paraId="4C674111">
                  <w:pPr>
                    <w:pStyle w:val="4"/>
                    <w:numPr>
                      <w:ilvl w:val="0"/>
                      <w:numId w:val="0"/>
                    </w:numPr>
                    <w:snapToGrid w:val="0"/>
                    <w:spacing w:line="240" w:lineRule="auto"/>
                    <w:jc w:val="center"/>
                    <w:rPr>
                      <w:rFonts w:hint="eastAsia"/>
                      <w:b w:val="0"/>
                      <w:color w:val="auto"/>
                      <w:sz w:val="21"/>
                      <w:szCs w:val="21"/>
                    </w:rPr>
                  </w:pPr>
                  <w:bookmarkStart w:id="84" w:name="_Toc8833"/>
                  <w:r>
                    <w:rPr>
                      <w:rFonts w:hint="eastAsia"/>
                      <w:b w:val="0"/>
                      <w:color w:val="auto"/>
                      <w:sz w:val="21"/>
                      <w:szCs w:val="21"/>
                    </w:rPr>
                    <w:t>甲苯</w:t>
                  </w:r>
                  <w:bookmarkEnd w:id="84"/>
                </w:p>
              </w:tc>
              <w:tc>
                <w:tcPr>
                  <w:tcW w:w="1387" w:type="dxa"/>
                  <w:vMerge w:val="continue"/>
                  <w:vAlign w:val="center"/>
                </w:tcPr>
                <w:p w14:paraId="17F54561">
                  <w:pPr>
                    <w:snapToGrid w:val="0"/>
                    <w:jc w:val="center"/>
                    <w:rPr>
                      <w:color w:val="auto"/>
                      <w:szCs w:val="21"/>
                    </w:rPr>
                  </w:pPr>
                </w:p>
              </w:tc>
              <w:tc>
                <w:tcPr>
                  <w:tcW w:w="1248" w:type="dxa"/>
                  <w:vAlign w:val="center"/>
                </w:tcPr>
                <w:p w14:paraId="28CB94A2">
                  <w:pPr>
                    <w:snapToGrid w:val="0"/>
                    <w:jc w:val="center"/>
                    <w:rPr>
                      <w:color w:val="auto"/>
                      <w:szCs w:val="21"/>
                    </w:rPr>
                  </w:pPr>
                  <w:r>
                    <w:rPr>
                      <w:rFonts w:hint="eastAsia"/>
                      <w:color w:val="auto"/>
                      <w:szCs w:val="21"/>
                    </w:rPr>
                    <w:t>未检出</w:t>
                  </w:r>
                </w:p>
              </w:tc>
              <w:tc>
                <w:tcPr>
                  <w:tcW w:w="1220" w:type="dxa"/>
                  <w:vAlign w:val="center"/>
                </w:tcPr>
                <w:p w14:paraId="2ADD2E49">
                  <w:pPr>
                    <w:pStyle w:val="4"/>
                    <w:numPr>
                      <w:ilvl w:val="0"/>
                      <w:numId w:val="0"/>
                    </w:numPr>
                    <w:snapToGrid w:val="0"/>
                    <w:spacing w:line="240" w:lineRule="auto"/>
                    <w:jc w:val="center"/>
                    <w:rPr>
                      <w:b w:val="0"/>
                      <w:color w:val="auto"/>
                      <w:sz w:val="21"/>
                      <w:szCs w:val="21"/>
                    </w:rPr>
                  </w:pPr>
                  <w:bookmarkStart w:id="85" w:name="_Toc382"/>
                  <w:r>
                    <w:rPr>
                      <w:rFonts w:hint="eastAsia"/>
                      <w:b w:val="0"/>
                      <w:color w:val="auto"/>
                      <w:sz w:val="21"/>
                      <w:szCs w:val="21"/>
                    </w:rPr>
                    <w:t>0.2</w:t>
                  </w:r>
                  <w:bookmarkEnd w:id="85"/>
                </w:p>
              </w:tc>
              <w:tc>
                <w:tcPr>
                  <w:tcW w:w="1498" w:type="dxa"/>
                  <w:vAlign w:val="center"/>
                </w:tcPr>
                <w:p w14:paraId="10075455">
                  <w:pPr>
                    <w:snapToGrid w:val="0"/>
                    <w:jc w:val="center"/>
                    <w:rPr>
                      <w:color w:val="auto"/>
                      <w:szCs w:val="21"/>
                    </w:rPr>
                  </w:pPr>
                  <w:r>
                    <w:rPr>
                      <w:rFonts w:hint="eastAsia"/>
                      <w:color w:val="auto"/>
                      <w:szCs w:val="21"/>
                    </w:rPr>
                    <w:t>/</w:t>
                  </w:r>
                </w:p>
              </w:tc>
              <w:tc>
                <w:tcPr>
                  <w:tcW w:w="904" w:type="dxa"/>
                  <w:vAlign w:val="center"/>
                </w:tcPr>
                <w:p w14:paraId="3928A6A1">
                  <w:pPr>
                    <w:pStyle w:val="4"/>
                    <w:numPr>
                      <w:ilvl w:val="0"/>
                      <w:numId w:val="0"/>
                    </w:numPr>
                    <w:snapToGrid w:val="0"/>
                    <w:spacing w:line="240" w:lineRule="auto"/>
                    <w:jc w:val="center"/>
                    <w:rPr>
                      <w:b w:val="0"/>
                      <w:color w:val="auto"/>
                      <w:sz w:val="21"/>
                      <w:szCs w:val="21"/>
                    </w:rPr>
                  </w:pPr>
                  <w:bookmarkStart w:id="86" w:name="_Toc9687"/>
                  <w:r>
                    <w:rPr>
                      <w:b w:val="0"/>
                      <w:color w:val="auto"/>
                      <w:sz w:val="21"/>
                      <w:szCs w:val="21"/>
                    </w:rPr>
                    <w:t>0</w:t>
                  </w:r>
                  <w:bookmarkEnd w:id="86"/>
                </w:p>
              </w:tc>
              <w:tc>
                <w:tcPr>
                  <w:tcW w:w="1135" w:type="dxa"/>
                  <w:vAlign w:val="center"/>
                </w:tcPr>
                <w:p w14:paraId="2A9C6EC1">
                  <w:pPr>
                    <w:pStyle w:val="4"/>
                    <w:numPr>
                      <w:ilvl w:val="0"/>
                      <w:numId w:val="0"/>
                    </w:numPr>
                    <w:snapToGrid w:val="0"/>
                    <w:spacing w:line="240" w:lineRule="auto"/>
                    <w:jc w:val="center"/>
                    <w:rPr>
                      <w:b w:val="0"/>
                      <w:color w:val="auto"/>
                      <w:sz w:val="21"/>
                      <w:szCs w:val="21"/>
                    </w:rPr>
                  </w:pPr>
                  <w:bookmarkStart w:id="87" w:name="_Toc1485"/>
                  <w:r>
                    <w:rPr>
                      <w:b w:val="0"/>
                      <w:color w:val="auto"/>
                      <w:sz w:val="21"/>
                      <w:szCs w:val="21"/>
                    </w:rPr>
                    <w:t>达标</w:t>
                  </w:r>
                  <w:bookmarkEnd w:id="87"/>
                </w:p>
              </w:tc>
            </w:tr>
            <w:tr w14:paraId="79781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91" w:type="dxa"/>
                  <w:vAlign w:val="center"/>
                </w:tcPr>
                <w:p w14:paraId="09B3B18D">
                  <w:pPr>
                    <w:pStyle w:val="4"/>
                    <w:numPr>
                      <w:ilvl w:val="0"/>
                      <w:numId w:val="0"/>
                    </w:numPr>
                    <w:snapToGrid w:val="0"/>
                    <w:spacing w:line="240" w:lineRule="auto"/>
                    <w:jc w:val="center"/>
                    <w:rPr>
                      <w:b w:val="0"/>
                      <w:color w:val="auto"/>
                      <w:sz w:val="21"/>
                      <w:szCs w:val="21"/>
                    </w:rPr>
                  </w:pPr>
                  <w:bookmarkStart w:id="88" w:name="_Toc3096"/>
                  <w:r>
                    <w:rPr>
                      <w:rFonts w:hint="eastAsia"/>
                      <w:b w:val="0"/>
                      <w:color w:val="auto"/>
                      <w:sz w:val="21"/>
                      <w:szCs w:val="21"/>
                    </w:rPr>
                    <w:t>二甲苯</w:t>
                  </w:r>
                  <w:bookmarkEnd w:id="88"/>
                </w:p>
              </w:tc>
              <w:tc>
                <w:tcPr>
                  <w:tcW w:w="1387" w:type="dxa"/>
                  <w:vMerge w:val="continue"/>
                  <w:vAlign w:val="center"/>
                </w:tcPr>
                <w:p w14:paraId="4563B4AA">
                  <w:pPr>
                    <w:snapToGrid w:val="0"/>
                    <w:jc w:val="center"/>
                    <w:rPr>
                      <w:color w:val="auto"/>
                      <w:szCs w:val="21"/>
                    </w:rPr>
                  </w:pPr>
                </w:p>
              </w:tc>
              <w:tc>
                <w:tcPr>
                  <w:tcW w:w="1248" w:type="dxa"/>
                  <w:vAlign w:val="center"/>
                </w:tcPr>
                <w:p w14:paraId="0E51F00C">
                  <w:pPr>
                    <w:snapToGrid w:val="0"/>
                    <w:jc w:val="center"/>
                    <w:rPr>
                      <w:color w:val="auto"/>
                      <w:szCs w:val="21"/>
                    </w:rPr>
                  </w:pPr>
                  <w:r>
                    <w:rPr>
                      <w:rFonts w:hint="eastAsia"/>
                      <w:color w:val="auto"/>
                      <w:szCs w:val="21"/>
                    </w:rPr>
                    <w:t>未检出</w:t>
                  </w:r>
                </w:p>
              </w:tc>
              <w:tc>
                <w:tcPr>
                  <w:tcW w:w="1220" w:type="dxa"/>
                  <w:vAlign w:val="center"/>
                </w:tcPr>
                <w:p w14:paraId="529FB3F8">
                  <w:pPr>
                    <w:pStyle w:val="4"/>
                    <w:numPr>
                      <w:ilvl w:val="0"/>
                      <w:numId w:val="0"/>
                    </w:numPr>
                    <w:snapToGrid w:val="0"/>
                    <w:spacing w:line="240" w:lineRule="auto"/>
                    <w:jc w:val="center"/>
                    <w:rPr>
                      <w:b w:val="0"/>
                      <w:color w:val="auto"/>
                      <w:sz w:val="21"/>
                      <w:szCs w:val="21"/>
                    </w:rPr>
                  </w:pPr>
                  <w:bookmarkStart w:id="89" w:name="_Toc7973"/>
                  <w:r>
                    <w:rPr>
                      <w:rFonts w:hint="eastAsia"/>
                      <w:b w:val="0"/>
                      <w:color w:val="auto"/>
                      <w:sz w:val="21"/>
                      <w:szCs w:val="21"/>
                    </w:rPr>
                    <w:t>0.2</w:t>
                  </w:r>
                  <w:bookmarkEnd w:id="89"/>
                </w:p>
              </w:tc>
              <w:tc>
                <w:tcPr>
                  <w:tcW w:w="1498" w:type="dxa"/>
                  <w:vAlign w:val="center"/>
                </w:tcPr>
                <w:p w14:paraId="1FD3F556">
                  <w:pPr>
                    <w:snapToGrid w:val="0"/>
                    <w:jc w:val="center"/>
                    <w:rPr>
                      <w:rFonts w:hint="eastAsia"/>
                      <w:color w:val="auto"/>
                      <w:szCs w:val="21"/>
                    </w:rPr>
                  </w:pPr>
                  <w:r>
                    <w:rPr>
                      <w:rFonts w:hint="eastAsia"/>
                      <w:color w:val="auto"/>
                      <w:szCs w:val="21"/>
                    </w:rPr>
                    <w:t>/</w:t>
                  </w:r>
                </w:p>
              </w:tc>
              <w:tc>
                <w:tcPr>
                  <w:tcW w:w="904" w:type="dxa"/>
                  <w:vAlign w:val="center"/>
                </w:tcPr>
                <w:p w14:paraId="32F222D3">
                  <w:pPr>
                    <w:pStyle w:val="4"/>
                    <w:numPr>
                      <w:ilvl w:val="0"/>
                      <w:numId w:val="0"/>
                    </w:numPr>
                    <w:snapToGrid w:val="0"/>
                    <w:spacing w:line="240" w:lineRule="auto"/>
                    <w:jc w:val="center"/>
                    <w:rPr>
                      <w:b w:val="0"/>
                      <w:color w:val="auto"/>
                      <w:sz w:val="21"/>
                      <w:szCs w:val="21"/>
                    </w:rPr>
                  </w:pPr>
                  <w:bookmarkStart w:id="90" w:name="_Toc27364"/>
                  <w:r>
                    <w:rPr>
                      <w:b w:val="0"/>
                      <w:color w:val="auto"/>
                      <w:sz w:val="21"/>
                      <w:szCs w:val="21"/>
                    </w:rPr>
                    <w:t>0</w:t>
                  </w:r>
                  <w:bookmarkEnd w:id="90"/>
                </w:p>
              </w:tc>
              <w:tc>
                <w:tcPr>
                  <w:tcW w:w="1135" w:type="dxa"/>
                  <w:vAlign w:val="center"/>
                </w:tcPr>
                <w:p w14:paraId="16CBDC2B">
                  <w:pPr>
                    <w:pStyle w:val="4"/>
                    <w:numPr>
                      <w:ilvl w:val="0"/>
                      <w:numId w:val="0"/>
                    </w:numPr>
                    <w:snapToGrid w:val="0"/>
                    <w:spacing w:line="240" w:lineRule="auto"/>
                    <w:jc w:val="center"/>
                    <w:rPr>
                      <w:b w:val="0"/>
                      <w:color w:val="auto"/>
                      <w:sz w:val="21"/>
                      <w:szCs w:val="21"/>
                    </w:rPr>
                  </w:pPr>
                  <w:bookmarkStart w:id="91" w:name="_Toc21733"/>
                  <w:r>
                    <w:rPr>
                      <w:b w:val="0"/>
                      <w:color w:val="auto"/>
                      <w:sz w:val="21"/>
                      <w:szCs w:val="21"/>
                    </w:rPr>
                    <w:t>达标</w:t>
                  </w:r>
                  <w:bookmarkEnd w:id="91"/>
                </w:p>
              </w:tc>
            </w:tr>
          </w:tbl>
          <w:p w14:paraId="44385A8E">
            <w:pPr>
              <w:snapToGrid w:val="0"/>
              <w:spacing w:line="360" w:lineRule="auto"/>
              <w:ind w:firstLine="480" w:firstLineChars="200"/>
              <w:jc w:val="left"/>
              <w:rPr>
                <w:color w:val="auto"/>
                <w:sz w:val="24"/>
              </w:rPr>
            </w:pPr>
            <w:r>
              <w:rPr>
                <w:rFonts w:hint="eastAsia"/>
                <w:color w:val="auto"/>
                <w:sz w:val="24"/>
              </w:rPr>
              <w:t>根据</w:t>
            </w:r>
            <w:r>
              <w:rPr>
                <w:color w:val="auto"/>
                <w:sz w:val="24"/>
              </w:rPr>
              <w:t>监测结果可知，</w:t>
            </w:r>
            <w:r>
              <w:rPr>
                <w:rFonts w:hint="eastAsia"/>
                <w:color w:val="auto"/>
                <w:sz w:val="24"/>
              </w:rPr>
              <w:t>项目区域内</w:t>
            </w:r>
            <w:r>
              <w:rPr>
                <w:color w:val="auto"/>
                <w:sz w:val="24"/>
              </w:rPr>
              <w:t>非甲烷总烃</w:t>
            </w:r>
            <w:r>
              <w:rPr>
                <w:rFonts w:hint="eastAsia"/>
                <w:color w:val="auto"/>
                <w:sz w:val="24"/>
              </w:rPr>
              <w:t>浓度值</w:t>
            </w:r>
            <w:r>
              <w:rPr>
                <w:color w:val="auto"/>
                <w:sz w:val="24"/>
              </w:rPr>
              <w:t>满足《大气污染物综合排放标准详解》</w:t>
            </w:r>
            <w:r>
              <w:rPr>
                <w:rFonts w:hint="eastAsia"/>
                <w:color w:val="auto"/>
                <w:sz w:val="24"/>
              </w:rPr>
              <w:t>中限值要求；甲苯、二甲苯浓度值均能满足《环境影响评价技术导则 大气环境》（HJ2.2-2018）附录D表D.1中其他污染物空气质量浓度参考限值</w:t>
            </w:r>
            <w:r>
              <w:rPr>
                <w:color w:val="auto"/>
                <w:sz w:val="24"/>
              </w:rPr>
              <w:t>。</w:t>
            </w:r>
          </w:p>
          <w:p w14:paraId="2E86C982">
            <w:pPr>
              <w:snapToGrid w:val="0"/>
              <w:spacing w:line="360" w:lineRule="auto"/>
              <w:rPr>
                <w:b/>
                <w:bCs/>
                <w:color w:val="auto"/>
                <w:sz w:val="24"/>
              </w:rPr>
            </w:pPr>
            <w:r>
              <w:rPr>
                <w:b/>
                <w:bCs/>
                <w:color w:val="auto"/>
                <w:sz w:val="24"/>
              </w:rPr>
              <w:t>2、地表水环境质量现状</w:t>
            </w:r>
          </w:p>
          <w:p w14:paraId="7E90328B">
            <w:pPr>
              <w:snapToGrid w:val="0"/>
              <w:spacing w:line="360" w:lineRule="auto"/>
              <w:ind w:firstLine="480" w:firstLineChars="200"/>
              <w:rPr>
                <w:rFonts w:hint="eastAsia" w:ascii="Times New Roman" w:hAnsi="Arial Unicode MS" w:eastAsia="宋体" w:cs="Times New Roman"/>
                <w:b/>
                <w:color w:val="auto"/>
                <w:kern w:val="2"/>
                <w:sz w:val="24"/>
                <w:szCs w:val="24"/>
                <w:lang w:val="zh-CN" w:eastAsia="zh-CN" w:bidi="ar-SA"/>
              </w:rPr>
            </w:pPr>
            <w:r>
              <w:rPr>
                <w:color w:val="auto"/>
                <w:sz w:val="24"/>
              </w:rPr>
              <w:t>本项目</w:t>
            </w:r>
            <w:r>
              <w:rPr>
                <w:color w:val="auto"/>
                <w:sz w:val="24"/>
                <w:lang w:val="zh-CN"/>
              </w:rPr>
              <w:t>废水经处理后排入清丰中州水务有限公司第二污水处理厂（原清丰县姚庄污水处理厂）。</w:t>
            </w:r>
            <w:r>
              <w:rPr>
                <w:color w:val="auto"/>
                <w:sz w:val="24"/>
              </w:rPr>
              <w:t>项目最近的地表水体为</w:t>
            </w:r>
            <w:r>
              <w:rPr>
                <w:rFonts w:hint="eastAsia"/>
                <w:color w:val="auto"/>
                <w:sz w:val="24"/>
              </w:rPr>
              <w:t>西侧2km的</w:t>
            </w:r>
            <w:r>
              <w:rPr>
                <w:color w:val="auto"/>
                <w:sz w:val="24"/>
              </w:rPr>
              <w:t>马颊河</w:t>
            </w:r>
            <w:r>
              <w:rPr>
                <w:rFonts w:hint="eastAsia"/>
                <w:color w:val="auto"/>
                <w:sz w:val="24"/>
              </w:rPr>
              <w:t>，水质目标为III类</w:t>
            </w:r>
            <w:r>
              <w:rPr>
                <w:color w:val="auto"/>
                <w:sz w:val="24"/>
              </w:rPr>
              <w:t>。</w:t>
            </w:r>
            <w:r>
              <w:rPr>
                <w:rFonts w:hint="default" w:ascii="Times New Roman" w:hAnsi="Times New Roman" w:eastAsia="宋体" w:cs="Times New Roman"/>
                <w:b/>
                <w:bCs/>
                <w:color w:val="auto"/>
                <w:sz w:val="24"/>
                <w:szCs w:val="24"/>
                <w:highlight w:val="none"/>
                <w:u w:val="single"/>
              </w:rPr>
              <w:t>地表水环境质量现状数据引用濮阳市生态环境局公布的濮阳市环境质量月报2022年马颊河西吉七断面（该断面为其最近地表水体下游的第一个断面）及2023年濮阳市生态环境局公布的濮阳市环境质量月报2023年马颊河南乐水文站断面（最近地表水体下游断面）监测结果</w:t>
            </w:r>
            <w:r>
              <w:rPr>
                <w:color w:val="auto"/>
                <w:sz w:val="24"/>
              </w:rPr>
              <w:t>，监测数据统计见</w:t>
            </w:r>
            <w:r>
              <w:rPr>
                <w:rFonts w:hint="eastAsia"/>
                <w:color w:val="auto"/>
                <w:sz w:val="24"/>
              </w:rPr>
              <w:t>下</w:t>
            </w:r>
            <w:r>
              <w:rPr>
                <w:color w:val="auto"/>
                <w:sz w:val="24"/>
              </w:rPr>
              <w:t>表</w:t>
            </w:r>
            <w:r>
              <w:rPr>
                <w:color w:val="auto"/>
                <w:kern w:val="0"/>
                <w:sz w:val="24"/>
                <w:lang w:val="zh-CN"/>
              </w:rPr>
              <w:t>。</w:t>
            </w:r>
          </w:p>
          <w:p w14:paraId="2C20A1D9">
            <w:pPr>
              <w:pStyle w:val="46"/>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ascii="宋体" w:hAnsi="宋体" w:cs="宋体"/>
                <w:bCs/>
                <w:color w:val="auto"/>
                <w:kern w:val="0"/>
                <w:sz w:val="24"/>
                <w:szCs w:val="24"/>
              </w:rPr>
            </w:pPr>
            <w:r>
              <w:rPr>
                <w:rFonts w:hint="eastAsia" w:ascii="Times New Roman" w:hAnsi="Arial Unicode MS" w:eastAsia="宋体" w:cs="Times New Roman"/>
                <w:b/>
                <w:color w:val="auto"/>
                <w:kern w:val="2"/>
                <w:sz w:val="24"/>
                <w:szCs w:val="24"/>
                <w:lang w:val="en-US" w:eastAsia="zh-CN" w:bidi="ar-SA"/>
              </w:rPr>
              <w:t>地表水环境质量现状统计           单位：mg/L</w:t>
            </w:r>
          </w:p>
          <w:tbl>
            <w:tblPr>
              <w:tblStyle w:val="25"/>
              <w:tblW w:w="80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1522"/>
              <w:gridCol w:w="1235"/>
              <w:gridCol w:w="872"/>
              <w:gridCol w:w="828"/>
              <w:gridCol w:w="974"/>
              <w:gridCol w:w="974"/>
              <w:gridCol w:w="959"/>
            </w:tblGrid>
            <w:tr w14:paraId="539CB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653" w:type="dxa"/>
                  <w:noWrap w:val="0"/>
                  <w:vAlign w:val="center"/>
                </w:tcPr>
                <w:p w14:paraId="0CFAEB9E">
                  <w:pPr>
                    <w:pStyle w:val="52"/>
                    <w:widowControl w:val="0"/>
                    <w:adjustRightInd/>
                    <w:snapToGrid/>
                    <w:spacing w:before="0" w:after="0"/>
                    <w:ind w:right="0"/>
                    <w:rPr>
                      <w:b/>
                      <w:bCs/>
                      <w:color w:val="auto"/>
                      <w:szCs w:val="21"/>
                    </w:rPr>
                  </w:pPr>
                  <w:r>
                    <w:rPr>
                      <w:b/>
                      <w:bCs/>
                      <w:color w:val="auto"/>
                      <w:szCs w:val="21"/>
                    </w:rPr>
                    <w:t>断面</w:t>
                  </w:r>
                </w:p>
              </w:tc>
              <w:tc>
                <w:tcPr>
                  <w:tcW w:w="1522" w:type="dxa"/>
                  <w:noWrap w:val="0"/>
                  <w:vAlign w:val="center"/>
                </w:tcPr>
                <w:p w14:paraId="0B79575F">
                  <w:pPr>
                    <w:pStyle w:val="52"/>
                    <w:widowControl w:val="0"/>
                    <w:adjustRightInd/>
                    <w:snapToGrid/>
                    <w:spacing w:before="0" w:after="0"/>
                    <w:ind w:right="0"/>
                    <w:rPr>
                      <w:b/>
                      <w:bCs/>
                      <w:color w:val="auto"/>
                      <w:szCs w:val="21"/>
                    </w:rPr>
                  </w:pPr>
                  <w:r>
                    <w:rPr>
                      <w:b/>
                      <w:bCs/>
                      <w:color w:val="auto"/>
                      <w:szCs w:val="21"/>
                    </w:rPr>
                    <w:t>监测因子</w:t>
                  </w:r>
                </w:p>
              </w:tc>
              <w:tc>
                <w:tcPr>
                  <w:tcW w:w="1235" w:type="dxa"/>
                  <w:noWrap w:val="0"/>
                  <w:vAlign w:val="center"/>
                </w:tcPr>
                <w:p w14:paraId="360F86D9">
                  <w:pPr>
                    <w:pStyle w:val="52"/>
                    <w:widowControl w:val="0"/>
                    <w:adjustRightInd/>
                    <w:snapToGrid/>
                    <w:spacing w:before="0" w:after="0"/>
                    <w:ind w:right="0"/>
                    <w:rPr>
                      <w:b/>
                      <w:bCs/>
                      <w:color w:val="auto"/>
                      <w:szCs w:val="21"/>
                    </w:rPr>
                  </w:pPr>
                  <w:r>
                    <w:rPr>
                      <w:b/>
                      <w:bCs/>
                      <w:color w:val="auto"/>
                      <w:szCs w:val="21"/>
                    </w:rPr>
                    <w:t>监测时间</w:t>
                  </w:r>
                </w:p>
              </w:tc>
              <w:tc>
                <w:tcPr>
                  <w:tcW w:w="872" w:type="dxa"/>
                  <w:noWrap w:val="0"/>
                  <w:vAlign w:val="center"/>
                </w:tcPr>
                <w:p w14:paraId="37F4DE80">
                  <w:pPr>
                    <w:pStyle w:val="52"/>
                    <w:widowControl w:val="0"/>
                    <w:adjustRightInd/>
                    <w:snapToGrid/>
                    <w:spacing w:before="0" w:after="0"/>
                    <w:ind w:right="0"/>
                    <w:rPr>
                      <w:b/>
                      <w:bCs/>
                      <w:color w:val="auto"/>
                      <w:szCs w:val="21"/>
                    </w:rPr>
                  </w:pPr>
                  <w:r>
                    <w:rPr>
                      <w:b/>
                      <w:bCs/>
                      <w:color w:val="auto"/>
                      <w:szCs w:val="21"/>
                    </w:rPr>
                    <w:t>监测</w:t>
                  </w:r>
                </w:p>
                <w:p w14:paraId="23BB4D39">
                  <w:pPr>
                    <w:pStyle w:val="52"/>
                    <w:widowControl w:val="0"/>
                    <w:adjustRightInd/>
                    <w:snapToGrid/>
                    <w:spacing w:before="0" w:after="0"/>
                    <w:ind w:right="0"/>
                    <w:rPr>
                      <w:b/>
                      <w:bCs/>
                      <w:color w:val="auto"/>
                      <w:szCs w:val="21"/>
                    </w:rPr>
                  </w:pPr>
                  <w:r>
                    <w:rPr>
                      <w:b/>
                      <w:bCs/>
                      <w:color w:val="auto"/>
                      <w:szCs w:val="21"/>
                    </w:rPr>
                    <w:t>结果</w:t>
                  </w:r>
                </w:p>
              </w:tc>
              <w:tc>
                <w:tcPr>
                  <w:tcW w:w="828" w:type="dxa"/>
                  <w:noWrap w:val="0"/>
                  <w:vAlign w:val="center"/>
                </w:tcPr>
                <w:p w14:paraId="2FB61975">
                  <w:pPr>
                    <w:pStyle w:val="52"/>
                    <w:widowControl w:val="0"/>
                    <w:adjustRightInd/>
                    <w:snapToGrid/>
                    <w:spacing w:before="0" w:after="0"/>
                    <w:ind w:right="0"/>
                    <w:rPr>
                      <w:b/>
                      <w:bCs/>
                      <w:color w:val="auto"/>
                      <w:szCs w:val="21"/>
                    </w:rPr>
                  </w:pPr>
                  <w:r>
                    <w:rPr>
                      <w:b/>
                      <w:bCs/>
                      <w:color w:val="auto"/>
                      <w:szCs w:val="21"/>
                    </w:rPr>
                    <w:t>标准</w:t>
                  </w:r>
                </w:p>
              </w:tc>
              <w:tc>
                <w:tcPr>
                  <w:tcW w:w="974" w:type="dxa"/>
                  <w:noWrap w:val="0"/>
                  <w:vAlign w:val="center"/>
                </w:tcPr>
                <w:p w14:paraId="47D5FE4F">
                  <w:pPr>
                    <w:pStyle w:val="52"/>
                    <w:widowControl w:val="0"/>
                    <w:adjustRightInd/>
                    <w:snapToGrid/>
                    <w:spacing w:before="0" w:after="0"/>
                    <w:ind w:right="0"/>
                    <w:rPr>
                      <w:b/>
                      <w:bCs/>
                      <w:color w:val="auto"/>
                      <w:szCs w:val="21"/>
                    </w:rPr>
                  </w:pPr>
                  <w:r>
                    <w:rPr>
                      <w:b/>
                      <w:bCs/>
                      <w:color w:val="auto"/>
                      <w:szCs w:val="21"/>
                    </w:rPr>
                    <w:t>标准</w:t>
                  </w:r>
                </w:p>
                <w:p w14:paraId="6811A6D5">
                  <w:pPr>
                    <w:pStyle w:val="52"/>
                    <w:widowControl w:val="0"/>
                    <w:adjustRightInd/>
                    <w:snapToGrid/>
                    <w:spacing w:before="0" w:after="0"/>
                    <w:ind w:right="0"/>
                    <w:rPr>
                      <w:b/>
                      <w:bCs/>
                      <w:color w:val="auto"/>
                      <w:szCs w:val="21"/>
                    </w:rPr>
                  </w:pPr>
                  <w:r>
                    <w:rPr>
                      <w:b/>
                      <w:bCs/>
                      <w:color w:val="auto"/>
                      <w:szCs w:val="21"/>
                    </w:rPr>
                    <w:t>指数</w:t>
                  </w:r>
                </w:p>
              </w:tc>
              <w:tc>
                <w:tcPr>
                  <w:tcW w:w="974" w:type="dxa"/>
                  <w:noWrap w:val="0"/>
                  <w:vAlign w:val="center"/>
                </w:tcPr>
                <w:p w14:paraId="2920FCB6">
                  <w:pPr>
                    <w:pStyle w:val="52"/>
                    <w:widowControl w:val="0"/>
                    <w:adjustRightInd/>
                    <w:snapToGrid/>
                    <w:spacing w:before="0" w:after="0"/>
                    <w:ind w:right="0"/>
                    <w:rPr>
                      <w:b/>
                      <w:bCs/>
                      <w:color w:val="auto"/>
                      <w:szCs w:val="21"/>
                    </w:rPr>
                  </w:pPr>
                  <w:r>
                    <w:rPr>
                      <w:b/>
                      <w:bCs/>
                      <w:color w:val="auto"/>
                      <w:szCs w:val="21"/>
                    </w:rPr>
                    <w:t>超标</w:t>
                  </w:r>
                </w:p>
                <w:p w14:paraId="42ABA3C6">
                  <w:pPr>
                    <w:pStyle w:val="52"/>
                    <w:widowControl w:val="0"/>
                    <w:adjustRightInd/>
                    <w:snapToGrid/>
                    <w:spacing w:before="0" w:after="0"/>
                    <w:ind w:right="0"/>
                    <w:rPr>
                      <w:b/>
                      <w:bCs/>
                      <w:color w:val="auto"/>
                      <w:szCs w:val="21"/>
                    </w:rPr>
                  </w:pPr>
                  <w:r>
                    <w:rPr>
                      <w:b/>
                      <w:bCs/>
                      <w:color w:val="auto"/>
                      <w:szCs w:val="21"/>
                    </w:rPr>
                    <w:t>倍数</w:t>
                  </w:r>
                </w:p>
              </w:tc>
              <w:tc>
                <w:tcPr>
                  <w:tcW w:w="959" w:type="dxa"/>
                  <w:noWrap w:val="0"/>
                  <w:vAlign w:val="center"/>
                </w:tcPr>
                <w:p w14:paraId="04091C2A">
                  <w:pPr>
                    <w:pStyle w:val="52"/>
                    <w:widowControl w:val="0"/>
                    <w:adjustRightInd/>
                    <w:snapToGrid/>
                    <w:spacing w:before="0" w:after="0"/>
                    <w:ind w:right="0"/>
                    <w:rPr>
                      <w:b/>
                      <w:bCs/>
                      <w:color w:val="auto"/>
                      <w:szCs w:val="21"/>
                    </w:rPr>
                  </w:pPr>
                  <w:r>
                    <w:rPr>
                      <w:b/>
                      <w:bCs/>
                      <w:color w:val="auto"/>
                      <w:szCs w:val="21"/>
                    </w:rPr>
                    <w:t>达标</w:t>
                  </w:r>
                </w:p>
              </w:tc>
            </w:tr>
            <w:tr w14:paraId="19B8F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653" w:type="dxa"/>
                  <w:vMerge w:val="restart"/>
                  <w:noWrap w:val="0"/>
                  <w:vAlign w:val="center"/>
                </w:tcPr>
                <w:p w14:paraId="3838E06A">
                  <w:pPr>
                    <w:pStyle w:val="52"/>
                    <w:widowControl w:val="0"/>
                    <w:adjustRightInd/>
                    <w:snapToGrid/>
                    <w:ind w:right="0"/>
                    <w:rPr>
                      <w:color w:val="auto"/>
                      <w:szCs w:val="21"/>
                    </w:rPr>
                  </w:pPr>
                  <w:r>
                    <w:rPr>
                      <w:color w:val="auto"/>
                      <w:szCs w:val="21"/>
                    </w:rPr>
                    <w:t>马颊河西吉七</w:t>
                  </w:r>
                </w:p>
              </w:tc>
              <w:tc>
                <w:tcPr>
                  <w:tcW w:w="1522" w:type="dxa"/>
                  <w:noWrap w:val="0"/>
                  <w:vAlign w:val="center"/>
                </w:tcPr>
                <w:p w14:paraId="42F94700">
                  <w:pPr>
                    <w:pStyle w:val="57"/>
                    <w:rPr>
                      <w:rFonts w:ascii="Times New Roman" w:hAnsi="Times New Roman" w:cs="Times New Roman"/>
                      <w:color w:val="auto"/>
                      <w:position w:val="2"/>
                      <w:szCs w:val="21"/>
                    </w:rPr>
                  </w:pPr>
                  <w:r>
                    <w:rPr>
                      <w:rFonts w:ascii="Times New Roman" w:hAnsi="Times New Roman" w:cs="Times New Roman"/>
                      <w:color w:val="auto"/>
                      <w:szCs w:val="21"/>
                    </w:rPr>
                    <w:t>高锰酸盐指数</w:t>
                  </w:r>
                </w:p>
              </w:tc>
              <w:tc>
                <w:tcPr>
                  <w:tcW w:w="1235" w:type="dxa"/>
                  <w:vMerge w:val="restart"/>
                  <w:noWrap w:val="0"/>
                  <w:vAlign w:val="center"/>
                </w:tcPr>
                <w:p w14:paraId="113D9390">
                  <w:pPr>
                    <w:pStyle w:val="57"/>
                    <w:rPr>
                      <w:rFonts w:ascii="Times New Roman" w:hAnsi="Times New Roman" w:cs="Times New Roman"/>
                      <w:color w:val="auto"/>
                      <w:position w:val="2"/>
                      <w:szCs w:val="21"/>
                    </w:rPr>
                  </w:pPr>
                  <w:r>
                    <w:rPr>
                      <w:rFonts w:ascii="Times New Roman" w:hAnsi="Times New Roman" w:cs="Times New Roman"/>
                      <w:color w:val="auto"/>
                      <w:position w:val="2"/>
                      <w:szCs w:val="21"/>
                    </w:rPr>
                    <w:t>2022年第</w:t>
                  </w:r>
                  <w:r>
                    <w:rPr>
                      <w:rFonts w:hint="eastAsia" w:ascii="Times New Roman" w:hAnsi="Times New Roman" w:cs="Times New Roman"/>
                      <w:color w:val="auto"/>
                      <w:position w:val="2"/>
                      <w:szCs w:val="21"/>
                      <w:lang w:val="en-US" w:eastAsia="zh-CN"/>
                    </w:rPr>
                    <w:t>一</w:t>
                  </w:r>
                  <w:r>
                    <w:rPr>
                      <w:rFonts w:ascii="Times New Roman" w:hAnsi="Times New Roman" w:cs="Times New Roman"/>
                      <w:color w:val="auto"/>
                      <w:position w:val="2"/>
                      <w:szCs w:val="21"/>
                    </w:rPr>
                    <w:t>季度</w:t>
                  </w:r>
                </w:p>
              </w:tc>
              <w:tc>
                <w:tcPr>
                  <w:tcW w:w="872" w:type="dxa"/>
                  <w:noWrap w:val="0"/>
                  <w:vAlign w:val="center"/>
                </w:tcPr>
                <w:p w14:paraId="2685971C">
                  <w:pPr>
                    <w:autoSpaceDE w:val="0"/>
                    <w:adjustRightInd w:val="0"/>
                    <w:snapToGrid w:val="0"/>
                    <w:jc w:val="center"/>
                    <w:rPr>
                      <w:color w:val="auto"/>
                      <w:position w:val="2"/>
                      <w:szCs w:val="21"/>
                    </w:rPr>
                  </w:pPr>
                  <w:r>
                    <w:rPr>
                      <w:bCs/>
                      <w:color w:val="auto"/>
                      <w:kern w:val="0"/>
                      <w:szCs w:val="21"/>
                    </w:rPr>
                    <w:t>3.3</w:t>
                  </w:r>
                </w:p>
              </w:tc>
              <w:tc>
                <w:tcPr>
                  <w:tcW w:w="828" w:type="dxa"/>
                  <w:noWrap w:val="0"/>
                  <w:vAlign w:val="center"/>
                </w:tcPr>
                <w:p w14:paraId="0B426963">
                  <w:pPr>
                    <w:pStyle w:val="57"/>
                    <w:rPr>
                      <w:rFonts w:ascii="Times New Roman" w:hAnsi="Times New Roman" w:cs="Times New Roman"/>
                      <w:color w:val="auto"/>
                      <w:position w:val="2"/>
                      <w:szCs w:val="21"/>
                    </w:rPr>
                  </w:pPr>
                  <w:r>
                    <w:rPr>
                      <w:rFonts w:ascii="Times New Roman" w:hAnsi="Times New Roman" w:cs="Times New Roman"/>
                      <w:color w:val="auto"/>
                      <w:szCs w:val="21"/>
                    </w:rPr>
                    <w:t>≤10</w:t>
                  </w:r>
                </w:p>
              </w:tc>
              <w:tc>
                <w:tcPr>
                  <w:tcW w:w="974" w:type="dxa"/>
                  <w:noWrap w:val="0"/>
                  <w:vAlign w:val="center"/>
                </w:tcPr>
                <w:p w14:paraId="3D91ACC5">
                  <w:pPr>
                    <w:pStyle w:val="57"/>
                    <w:rPr>
                      <w:rFonts w:ascii="Times New Roman" w:hAnsi="Times New Roman" w:cs="Times New Roman"/>
                      <w:color w:val="auto"/>
                      <w:position w:val="2"/>
                      <w:szCs w:val="21"/>
                    </w:rPr>
                  </w:pPr>
                  <w:r>
                    <w:rPr>
                      <w:rFonts w:ascii="Times New Roman" w:hAnsi="Times New Roman" w:cs="Times New Roman"/>
                      <w:color w:val="auto"/>
                      <w:position w:val="2"/>
                      <w:szCs w:val="21"/>
                    </w:rPr>
                    <w:t>0.33</w:t>
                  </w:r>
                </w:p>
              </w:tc>
              <w:tc>
                <w:tcPr>
                  <w:tcW w:w="974" w:type="dxa"/>
                  <w:noWrap w:val="0"/>
                  <w:vAlign w:val="center"/>
                </w:tcPr>
                <w:p w14:paraId="543436E5">
                  <w:pPr>
                    <w:pStyle w:val="57"/>
                    <w:rPr>
                      <w:rFonts w:ascii="Times New Roman" w:hAnsi="Times New Roman" w:cs="Times New Roman"/>
                      <w:color w:val="auto"/>
                      <w:position w:val="2"/>
                      <w:szCs w:val="21"/>
                    </w:rPr>
                  </w:pPr>
                  <w:r>
                    <w:rPr>
                      <w:rFonts w:ascii="Times New Roman" w:hAnsi="Times New Roman" w:cs="Times New Roman"/>
                      <w:color w:val="auto"/>
                      <w:position w:val="2"/>
                      <w:szCs w:val="21"/>
                    </w:rPr>
                    <w:t>0</w:t>
                  </w:r>
                </w:p>
              </w:tc>
              <w:tc>
                <w:tcPr>
                  <w:tcW w:w="959" w:type="dxa"/>
                  <w:noWrap w:val="0"/>
                  <w:vAlign w:val="center"/>
                </w:tcPr>
                <w:p w14:paraId="53F495AC">
                  <w:pPr>
                    <w:pStyle w:val="57"/>
                    <w:rPr>
                      <w:rFonts w:ascii="Times New Roman" w:hAnsi="Times New Roman" w:cs="Times New Roman"/>
                      <w:color w:val="auto"/>
                      <w:position w:val="2"/>
                      <w:szCs w:val="21"/>
                    </w:rPr>
                  </w:pPr>
                  <w:r>
                    <w:rPr>
                      <w:rFonts w:ascii="Times New Roman" w:hAnsi="Times New Roman" w:cs="Times New Roman"/>
                      <w:color w:val="auto"/>
                      <w:position w:val="2"/>
                      <w:szCs w:val="21"/>
                    </w:rPr>
                    <w:t>达标</w:t>
                  </w:r>
                </w:p>
              </w:tc>
            </w:tr>
            <w:tr w14:paraId="35D66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653" w:type="dxa"/>
                  <w:vMerge w:val="continue"/>
                  <w:noWrap w:val="0"/>
                  <w:vAlign w:val="center"/>
                </w:tcPr>
                <w:p w14:paraId="3218EE1F">
                  <w:pPr>
                    <w:pStyle w:val="52"/>
                    <w:widowControl w:val="0"/>
                    <w:adjustRightInd/>
                    <w:snapToGrid/>
                    <w:ind w:right="0"/>
                    <w:rPr>
                      <w:color w:val="auto"/>
                      <w:szCs w:val="21"/>
                    </w:rPr>
                  </w:pPr>
                </w:p>
              </w:tc>
              <w:tc>
                <w:tcPr>
                  <w:tcW w:w="1522" w:type="dxa"/>
                  <w:noWrap w:val="0"/>
                  <w:vAlign w:val="center"/>
                </w:tcPr>
                <w:p w14:paraId="136851AD">
                  <w:pPr>
                    <w:pStyle w:val="57"/>
                    <w:rPr>
                      <w:rFonts w:ascii="Times New Roman" w:hAnsi="Times New Roman" w:cs="Times New Roman"/>
                      <w:color w:val="auto"/>
                      <w:szCs w:val="21"/>
                    </w:rPr>
                  </w:pPr>
                  <w:r>
                    <w:rPr>
                      <w:rFonts w:ascii="Times New Roman" w:hAnsi="Times New Roman" w:cs="Times New Roman"/>
                      <w:color w:val="auto"/>
                      <w:position w:val="2"/>
                      <w:szCs w:val="21"/>
                    </w:rPr>
                    <w:t>NH</w:t>
                  </w:r>
                  <w:r>
                    <w:rPr>
                      <w:rFonts w:ascii="Times New Roman" w:hAnsi="Times New Roman" w:cs="Times New Roman"/>
                      <w:color w:val="auto"/>
                      <w:position w:val="2"/>
                      <w:szCs w:val="21"/>
                      <w:vertAlign w:val="subscript"/>
                    </w:rPr>
                    <w:t>3</w:t>
                  </w:r>
                  <w:r>
                    <w:rPr>
                      <w:rFonts w:ascii="Times New Roman" w:hAnsi="Times New Roman" w:cs="Times New Roman"/>
                      <w:color w:val="auto"/>
                      <w:position w:val="2"/>
                      <w:szCs w:val="21"/>
                    </w:rPr>
                    <w:t>-N</w:t>
                  </w:r>
                </w:p>
              </w:tc>
              <w:tc>
                <w:tcPr>
                  <w:tcW w:w="1235" w:type="dxa"/>
                  <w:vMerge w:val="continue"/>
                  <w:noWrap w:val="0"/>
                  <w:vAlign w:val="center"/>
                </w:tcPr>
                <w:p w14:paraId="52D8CD66">
                  <w:pPr>
                    <w:jc w:val="center"/>
                    <w:rPr>
                      <w:color w:val="auto"/>
                      <w:szCs w:val="21"/>
                    </w:rPr>
                  </w:pPr>
                </w:p>
              </w:tc>
              <w:tc>
                <w:tcPr>
                  <w:tcW w:w="872" w:type="dxa"/>
                  <w:noWrap w:val="0"/>
                  <w:vAlign w:val="center"/>
                </w:tcPr>
                <w:p w14:paraId="15905EEE">
                  <w:pPr>
                    <w:autoSpaceDE w:val="0"/>
                    <w:adjustRightInd w:val="0"/>
                    <w:snapToGrid w:val="0"/>
                    <w:jc w:val="center"/>
                    <w:rPr>
                      <w:color w:val="auto"/>
                      <w:szCs w:val="21"/>
                    </w:rPr>
                  </w:pPr>
                  <w:r>
                    <w:rPr>
                      <w:bCs/>
                      <w:color w:val="auto"/>
                      <w:kern w:val="0"/>
                      <w:szCs w:val="21"/>
                    </w:rPr>
                    <w:t>0.74</w:t>
                  </w:r>
                </w:p>
              </w:tc>
              <w:tc>
                <w:tcPr>
                  <w:tcW w:w="828" w:type="dxa"/>
                  <w:noWrap w:val="0"/>
                  <w:vAlign w:val="center"/>
                </w:tcPr>
                <w:p w14:paraId="70615D17">
                  <w:pPr>
                    <w:pStyle w:val="57"/>
                    <w:rPr>
                      <w:rFonts w:ascii="Times New Roman" w:hAnsi="Times New Roman" w:cs="Times New Roman"/>
                      <w:color w:val="auto"/>
                      <w:szCs w:val="21"/>
                    </w:rPr>
                  </w:pPr>
                  <w:r>
                    <w:rPr>
                      <w:rFonts w:ascii="Times New Roman" w:hAnsi="Times New Roman" w:cs="Times New Roman"/>
                      <w:color w:val="auto"/>
                      <w:szCs w:val="21"/>
                    </w:rPr>
                    <w:t>≤1.5</w:t>
                  </w:r>
                </w:p>
              </w:tc>
              <w:tc>
                <w:tcPr>
                  <w:tcW w:w="974" w:type="dxa"/>
                  <w:noWrap w:val="0"/>
                  <w:vAlign w:val="center"/>
                </w:tcPr>
                <w:p w14:paraId="5A15772C">
                  <w:pPr>
                    <w:pStyle w:val="57"/>
                    <w:rPr>
                      <w:rFonts w:ascii="Times New Roman" w:hAnsi="Times New Roman" w:cs="Times New Roman"/>
                      <w:color w:val="auto"/>
                      <w:szCs w:val="21"/>
                    </w:rPr>
                  </w:pPr>
                  <w:r>
                    <w:rPr>
                      <w:rFonts w:ascii="Times New Roman" w:hAnsi="Times New Roman" w:cs="Times New Roman"/>
                      <w:color w:val="auto"/>
                      <w:szCs w:val="21"/>
                    </w:rPr>
                    <w:t>0.49</w:t>
                  </w:r>
                </w:p>
              </w:tc>
              <w:tc>
                <w:tcPr>
                  <w:tcW w:w="974" w:type="dxa"/>
                  <w:noWrap w:val="0"/>
                  <w:vAlign w:val="center"/>
                </w:tcPr>
                <w:p w14:paraId="43FD5E3E">
                  <w:pPr>
                    <w:jc w:val="center"/>
                    <w:rPr>
                      <w:color w:val="auto"/>
                      <w:szCs w:val="21"/>
                    </w:rPr>
                  </w:pPr>
                  <w:r>
                    <w:rPr>
                      <w:color w:val="auto"/>
                      <w:szCs w:val="21"/>
                    </w:rPr>
                    <w:t>0</w:t>
                  </w:r>
                </w:p>
              </w:tc>
              <w:tc>
                <w:tcPr>
                  <w:tcW w:w="959" w:type="dxa"/>
                  <w:noWrap w:val="0"/>
                  <w:vAlign w:val="center"/>
                </w:tcPr>
                <w:p w14:paraId="3E5DD878">
                  <w:pPr>
                    <w:jc w:val="center"/>
                    <w:rPr>
                      <w:color w:val="auto"/>
                      <w:szCs w:val="21"/>
                    </w:rPr>
                  </w:pPr>
                  <w:r>
                    <w:rPr>
                      <w:color w:val="auto"/>
                      <w:szCs w:val="21"/>
                    </w:rPr>
                    <w:t>达标</w:t>
                  </w:r>
                </w:p>
              </w:tc>
            </w:tr>
            <w:tr w14:paraId="61134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653" w:type="dxa"/>
                  <w:vMerge w:val="continue"/>
                  <w:noWrap w:val="0"/>
                  <w:vAlign w:val="center"/>
                </w:tcPr>
                <w:p w14:paraId="5B3C8ECE">
                  <w:pPr>
                    <w:pStyle w:val="52"/>
                    <w:widowControl w:val="0"/>
                    <w:adjustRightInd/>
                    <w:snapToGrid/>
                    <w:ind w:right="0"/>
                    <w:rPr>
                      <w:color w:val="auto"/>
                      <w:szCs w:val="21"/>
                    </w:rPr>
                  </w:pPr>
                </w:p>
              </w:tc>
              <w:tc>
                <w:tcPr>
                  <w:tcW w:w="1522" w:type="dxa"/>
                  <w:noWrap w:val="0"/>
                  <w:vAlign w:val="center"/>
                </w:tcPr>
                <w:p w14:paraId="423D8E0E">
                  <w:pPr>
                    <w:pStyle w:val="57"/>
                    <w:rPr>
                      <w:rFonts w:ascii="Times New Roman" w:hAnsi="Times New Roman" w:cs="Times New Roman"/>
                      <w:color w:val="auto"/>
                      <w:szCs w:val="21"/>
                    </w:rPr>
                  </w:pPr>
                  <w:r>
                    <w:rPr>
                      <w:rFonts w:ascii="Times New Roman" w:hAnsi="Times New Roman" w:cs="Times New Roman"/>
                      <w:color w:val="auto"/>
                      <w:szCs w:val="21"/>
                    </w:rPr>
                    <w:t>总磷</w:t>
                  </w:r>
                </w:p>
              </w:tc>
              <w:tc>
                <w:tcPr>
                  <w:tcW w:w="1235" w:type="dxa"/>
                  <w:vMerge w:val="continue"/>
                  <w:noWrap w:val="0"/>
                  <w:vAlign w:val="center"/>
                </w:tcPr>
                <w:p w14:paraId="14B8C20A">
                  <w:pPr>
                    <w:jc w:val="center"/>
                    <w:rPr>
                      <w:color w:val="auto"/>
                      <w:szCs w:val="21"/>
                    </w:rPr>
                  </w:pPr>
                </w:p>
              </w:tc>
              <w:tc>
                <w:tcPr>
                  <w:tcW w:w="872" w:type="dxa"/>
                  <w:noWrap w:val="0"/>
                  <w:vAlign w:val="center"/>
                </w:tcPr>
                <w:p w14:paraId="79BB331C">
                  <w:pPr>
                    <w:autoSpaceDE w:val="0"/>
                    <w:adjustRightInd w:val="0"/>
                    <w:snapToGrid w:val="0"/>
                    <w:jc w:val="center"/>
                    <w:rPr>
                      <w:color w:val="auto"/>
                      <w:szCs w:val="21"/>
                    </w:rPr>
                  </w:pPr>
                  <w:r>
                    <w:rPr>
                      <w:bCs/>
                      <w:color w:val="auto"/>
                      <w:kern w:val="0"/>
                      <w:szCs w:val="21"/>
                    </w:rPr>
                    <w:t>0.10</w:t>
                  </w:r>
                </w:p>
              </w:tc>
              <w:tc>
                <w:tcPr>
                  <w:tcW w:w="828" w:type="dxa"/>
                  <w:noWrap w:val="0"/>
                  <w:vAlign w:val="center"/>
                </w:tcPr>
                <w:p w14:paraId="4B635338">
                  <w:pPr>
                    <w:pStyle w:val="57"/>
                    <w:rPr>
                      <w:rFonts w:ascii="Times New Roman" w:hAnsi="Times New Roman" w:cs="Times New Roman"/>
                      <w:color w:val="auto"/>
                      <w:szCs w:val="21"/>
                    </w:rPr>
                  </w:pPr>
                  <w:r>
                    <w:rPr>
                      <w:rFonts w:ascii="Times New Roman" w:hAnsi="Times New Roman" w:cs="Times New Roman"/>
                      <w:color w:val="auto"/>
                      <w:szCs w:val="21"/>
                    </w:rPr>
                    <w:t>≤0.3</w:t>
                  </w:r>
                </w:p>
              </w:tc>
              <w:tc>
                <w:tcPr>
                  <w:tcW w:w="974" w:type="dxa"/>
                  <w:noWrap w:val="0"/>
                  <w:vAlign w:val="center"/>
                </w:tcPr>
                <w:p w14:paraId="726FA2E3">
                  <w:pPr>
                    <w:pStyle w:val="57"/>
                    <w:rPr>
                      <w:rFonts w:ascii="Times New Roman" w:hAnsi="Times New Roman" w:cs="Times New Roman"/>
                      <w:color w:val="auto"/>
                      <w:szCs w:val="21"/>
                    </w:rPr>
                  </w:pPr>
                  <w:r>
                    <w:rPr>
                      <w:rFonts w:ascii="Times New Roman" w:hAnsi="Times New Roman" w:cs="Times New Roman"/>
                      <w:color w:val="auto"/>
                      <w:szCs w:val="21"/>
                    </w:rPr>
                    <w:t>0.33</w:t>
                  </w:r>
                </w:p>
              </w:tc>
              <w:tc>
                <w:tcPr>
                  <w:tcW w:w="974" w:type="dxa"/>
                  <w:noWrap w:val="0"/>
                  <w:vAlign w:val="center"/>
                </w:tcPr>
                <w:p w14:paraId="57C5240A">
                  <w:pPr>
                    <w:jc w:val="center"/>
                    <w:rPr>
                      <w:color w:val="auto"/>
                      <w:szCs w:val="21"/>
                    </w:rPr>
                  </w:pPr>
                  <w:r>
                    <w:rPr>
                      <w:color w:val="auto"/>
                      <w:szCs w:val="21"/>
                    </w:rPr>
                    <w:t>0</w:t>
                  </w:r>
                </w:p>
              </w:tc>
              <w:tc>
                <w:tcPr>
                  <w:tcW w:w="959" w:type="dxa"/>
                  <w:noWrap w:val="0"/>
                  <w:vAlign w:val="center"/>
                </w:tcPr>
                <w:p w14:paraId="4032D75E">
                  <w:pPr>
                    <w:jc w:val="center"/>
                    <w:rPr>
                      <w:color w:val="auto"/>
                      <w:szCs w:val="21"/>
                    </w:rPr>
                  </w:pPr>
                  <w:r>
                    <w:rPr>
                      <w:color w:val="auto"/>
                      <w:szCs w:val="21"/>
                    </w:rPr>
                    <w:t>达标</w:t>
                  </w:r>
                </w:p>
              </w:tc>
            </w:tr>
            <w:tr w14:paraId="15CA4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653" w:type="dxa"/>
                  <w:vMerge w:val="continue"/>
                  <w:noWrap w:val="0"/>
                  <w:vAlign w:val="center"/>
                </w:tcPr>
                <w:p w14:paraId="66DFBBC4">
                  <w:pPr>
                    <w:pStyle w:val="52"/>
                    <w:widowControl w:val="0"/>
                    <w:adjustRightInd/>
                    <w:snapToGrid/>
                    <w:ind w:right="0"/>
                    <w:rPr>
                      <w:color w:val="auto"/>
                      <w:szCs w:val="21"/>
                    </w:rPr>
                  </w:pPr>
                </w:p>
              </w:tc>
              <w:tc>
                <w:tcPr>
                  <w:tcW w:w="1522" w:type="dxa"/>
                  <w:noWrap w:val="0"/>
                  <w:vAlign w:val="center"/>
                </w:tcPr>
                <w:p w14:paraId="1E7A79D3">
                  <w:pPr>
                    <w:pStyle w:val="57"/>
                    <w:rPr>
                      <w:rFonts w:ascii="Times New Roman" w:hAnsi="Times New Roman" w:cs="Times New Roman"/>
                      <w:color w:val="auto"/>
                      <w:szCs w:val="21"/>
                    </w:rPr>
                  </w:pPr>
                  <w:r>
                    <w:rPr>
                      <w:rFonts w:ascii="Times New Roman" w:hAnsi="Times New Roman" w:cs="Times New Roman"/>
                      <w:color w:val="auto"/>
                      <w:szCs w:val="21"/>
                    </w:rPr>
                    <w:t>高锰酸盐指数</w:t>
                  </w:r>
                </w:p>
              </w:tc>
              <w:tc>
                <w:tcPr>
                  <w:tcW w:w="1235" w:type="dxa"/>
                  <w:vMerge w:val="restart"/>
                  <w:noWrap w:val="0"/>
                  <w:vAlign w:val="center"/>
                </w:tcPr>
                <w:p w14:paraId="7C5FD098">
                  <w:pPr>
                    <w:jc w:val="center"/>
                    <w:rPr>
                      <w:color w:val="auto"/>
                      <w:szCs w:val="21"/>
                    </w:rPr>
                  </w:pPr>
                  <w:r>
                    <w:rPr>
                      <w:color w:val="auto"/>
                      <w:szCs w:val="21"/>
                    </w:rPr>
                    <w:t>2022年第</w:t>
                  </w:r>
                  <w:r>
                    <w:rPr>
                      <w:rFonts w:hint="eastAsia"/>
                      <w:color w:val="auto"/>
                      <w:szCs w:val="21"/>
                      <w:lang w:val="en-US" w:eastAsia="zh-CN"/>
                    </w:rPr>
                    <w:t>二</w:t>
                  </w:r>
                  <w:r>
                    <w:rPr>
                      <w:color w:val="auto"/>
                      <w:szCs w:val="21"/>
                    </w:rPr>
                    <w:t>季度</w:t>
                  </w:r>
                </w:p>
              </w:tc>
              <w:tc>
                <w:tcPr>
                  <w:tcW w:w="872" w:type="dxa"/>
                  <w:noWrap w:val="0"/>
                  <w:vAlign w:val="center"/>
                </w:tcPr>
                <w:p w14:paraId="5ACE28D9">
                  <w:pPr>
                    <w:autoSpaceDE w:val="0"/>
                    <w:adjustRightInd w:val="0"/>
                    <w:snapToGrid w:val="0"/>
                    <w:jc w:val="center"/>
                    <w:rPr>
                      <w:color w:val="auto"/>
                      <w:szCs w:val="21"/>
                    </w:rPr>
                  </w:pPr>
                  <w:r>
                    <w:rPr>
                      <w:bCs/>
                      <w:color w:val="auto"/>
                      <w:kern w:val="0"/>
                      <w:szCs w:val="21"/>
                    </w:rPr>
                    <w:t>7.1</w:t>
                  </w:r>
                </w:p>
              </w:tc>
              <w:tc>
                <w:tcPr>
                  <w:tcW w:w="828" w:type="dxa"/>
                  <w:noWrap w:val="0"/>
                  <w:vAlign w:val="center"/>
                </w:tcPr>
                <w:p w14:paraId="2FF81BFE">
                  <w:pPr>
                    <w:pStyle w:val="57"/>
                    <w:rPr>
                      <w:rFonts w:ascii="Times New Roman" w:hAnsi="Times New Roman" w:cs="Times New Roman"/>
                      <w:color w:val="auto"/>
                      <w:szCs w:val="21"/>
                    </w:rPr>
                  </w:pPr>
                  <w:r>
                    <w:rPr>
                      <w:rFonts w:ascii="Times New Roman" w:hAnsi="Times New Roman" w:cs="Times New Roman"/>
                      <w:color w:val="auto"/>
                      <w:szCs w:val="21"/>
                    </w:rPr>
                    <w:t>≤10</w:t>
                  </w:r>
                </w:p>
              </w:tc>
              <w:tc>
                <w:tcPr>
                  <w:tcW w:w="974" w:type="dxa"/>
                  <w:noWrap w:val="0"/>
                  <w:vAlign w:val="center"/>
                </w:tcPr>
                <w:p w14:paraId="1DC3811C">
                  <w:pPr>
                    <w:pStyle w:val="57"/>
                    <w:rPr>
                      <w:rFonts w:ascii="Times New Roman" w:hAnsi="Times New Roman" w:cs="Times New Roman"/>
                      <w:color w:val="auto"/>
                      <w:szCs w:val="21"/>
                    </w:rPr>
                  </w:pPr>
                  <w:r>
                    <w:rPr>
                      <w:rFonts w:hint="eastAsia" w:ascii="Times New Roman" w:hAnsi="Times New Roman" w:cs="Times New Roman"/>
                      <w:color w:val="auto"/>
                      <w:szCs w:val="21"/>
                    </w:rPr>
                    <w:t>0.71</w:t>
                  </w:r>
                </w:p>
              </w:tc>
              <w:tc>
                <w:tcPr>
                  <w:tcW w:w="974" w:type="dxa"/>
                  <w:noWrap w:val="0"/>
                  <w:vAlign w:val="center"/>
                </w:tcPr>
                <w:p w14:paraId="021C6CA8">
                  <w:pPr>
                    <w:jc w:val="center"/>
                    <w:rPr>
                      <w:color w:val="auto"/>
                      <w:szCs w:val="21"/>
                    </w:rPr>
                  </w:pPr>
                  <w:r>
                    <w:rPr>
                      <w:rFonts w:hint="eastAsia"/>
                      <w:color w:val="auto"/>
                      <w:szCs w:val="21"/>
                    </w:rPr>
                    <w:t>0</w:t>
                  </w:r>
                </w:p>
              </w:tc>
              <w:tc>
                <w:tcPr>
                  <w:tcW w:w="959" w:type="dxa"/>
                  <w:noWrap w:val="0"/>
                  <w:vAlign w:val="center"/>
                </w:tcPr>
                <w:p w14:paraId="1ACC064C">
                  <w:pPr>
                    <w:jc w:val="center"/>
                    <w:rPr>
                      <w:color w:val="auto"/>
                      <w:szCs w:val="21"/>
                    </w:rPr>
                  </w:pPr>
                  <w:r>
                    <w:rPr>
                      <w:color w:val="auto"/>
                      <w:szCs w:val="21"/>
                    </w:rPr>
                    <w:t>达标</w:t>
                  </w:r>
                </w:p>
              </w:tc>
            </w:tr>
            <w:tr w14:paraId="031EB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653" w:type="dxa"/>
                  <w:vMerge w:val="continue"/>
                  <w:noWrap w:val="0"/>
                  <w:vAlign w:val="center"/>
                </w:tcPr>
                <w:p w14:paraId="4C2C753B">
                  <w:pPr>
                    <w:pStyle w:val="52"/>
                    <w:widowControl w:val="0"/>
                    <w:adjustRightInd/>
                    <w:snapToGrid/>
                    <w:ind w:right="0"/>
                    <w:rPr>
                      <w:color w:val="auto"/>
                      <w:szCs w:val="21"/>
                    </w:rPr>
                  </w:pPr>
                </w:p>
              </w:tc>
              <w:tc>
                <w:tcPr>
                  <w:tcW w:w="1522" w:type="dxa"/>
                  <w:noWrap w:val="0"/>
                  <w:vAlign w:val="center"/>
                </w:tcPr>
                <w:p w14:paraId="4E8621E1">
                  <w:pPr>
                    <w:pStyle w:val="57"/>
                    <w:rPr>
                      <w:rFonts w:ascii="Times New Roman" w:hAnsi="Times New Roman" w:cs="Times New Roman"/>
                      <w:color w:val="auto"/>
                      <w:szCs w:val="21"/>
                    </w:rPr>
                  </w:pPr>
                  <w:r>
                    <w:rPr>
                      <w:rFonts w:ascii="Times New Roman" w:hAnsi="Times New Roman" w:cs="Times New Roman"/>
                      <w:color w:val="auto"/>
                      <w:position w:val="2"/>
                      <w:szCs w:val="21"/>
                    </w:rPr>
                    <w:t>NH</w:t>
                  </w:r>
                  <w:r>
                    <w:rPr>
                      <w:rFonts w:ascii="Times New Roman" w:hAnsi="Times New Roman" w:cs="Times New Roman"/>
                      <w:color w:val="auto"/>
                      <w:position w:val="2"/>
                      <w:szCs w:val="21"/>
                      <w:vertAlign w:val="subscript"/>
                    </w:rPr>
                    <w:t>3</w:t>
                  </w:r>
                  <w:r>
                    <w:rPr>
                      <w:rFonts w:ascii="Times New Roman" w:hAnsi="Times New Roman" w:cs="Times New Roman"/>
                      <w:color w:val="auto"/>
                      <w:position w:val="2"/>
                      <w:szCs w:val="21"/>
                    </w:rPr>
                    <w:t>-N</w:t>
                  </w:r>
                </w:p>
              </w:tc>
              <w:tc>
                <w:tcPr>
                  <w:tcW w:w="1235" w:type="dxa"/>
                  <w:vMerge w:val="continue"/>
                  <w:noWrap w:val="0"/>
                  <w:vAlign w:val="center"/>
                </w:tcPr>
                <w:p w14:paraId="11298B54">
                  <w:pPr>
                    <w:jc w:val="center"/>
                    <w:rPr>
                      <w:color w:val="auto"/>
                      <w:szCs w:val="21"/>
                    </w:rPr>
                  </w:pPr>
                </w:p>
              </w:tc>
              <w:tc>
                <w:tcPr>
                  <w:tcW w:w="872" w:type="dxa"/>
                  <w:noWrap w:val="0"/>
                  <w:vAlign w:val="center"/>
                </w:tcPr>
                <w:p w14:paraId="1313F4F1">
                  <w:pPr>
                    <w:autoSpaceDE w:val="0"/>
                    <w:adjustRightInd w:val="0"/>
                    <w:snapToGrid w:val="0"/>
                    <w:jc w:val="center"/>
                    <w:rPr>
                      <w:color w:val="auto"/>
                      <w:szCs w:val="21"/>
                    </w:rPr>
                  </w:pPr>
                  <w:r>
                    <w:rPr>
                      <w:bCs/>
                      <w:color w:val="auto"/>
                      <w:kern w:val="0"/>
                      <w:szCs w:val="21"/>
                    </w:rPr>
                    <w:t>0.20</w:t>
                  </w:r>
                </w:p>
              </w:tc>
              <w:tc>
                <w:tcPr>
                  <w:tcW w:w="828" w:type="dxa"/>
                  <w:noWrap w:val="0"/>
                  <w:vAlign w:val="center"/>
                </w:tcPr>
                <w:p w14:paraId="480AF2DE">
                  <w:pPr>
                    <w:pStyle w:val="57"/>
                    <w:rPr>
                      <w:rFonts w:ascii="Times New Roman" w:hAnsi="Times New Roman" w:cs="Times New Roman"/>
                      <w:color w:val="auto"/>
                      <w:szCs w:val="21"/>
                    </w:rPr>
                  </w:pPr>
                  <w:r>
                    <w:rPr>
                      <w:rFonts w:ascii="Times New Roman" w:hAnsi="Times New Roman" w:cs="Times New Roman"/>
                      <w:color w:val="auto"/>
                      <w:szCs w:val="21"/>
                    </w:rPr>
                    <w:t>≤1.5</w:t>
                  </w:r>
                </w:p>
              </w:tc>
              <w:tc>
                <w:tcPr>
                  <w:tcW w:w="974" w:type="dxa"/>
                  <w:noWrap w:val="0"/>
                  <w:vAlign w:val="center"/>
                </w:tcPr>
                <w:p w14:paraId="5F11B8FB">
                  <w:pPr>
                    <w:pStyle w:val="57"/>
                    <w:rPr>
                      <w:rFonts w:ascii="Times New Roman" w:hAnsi="Times New Roman" w:cs="Times New Roman"/>
                      <w:color w:val="auto"/>
                      <w:szCs w:val="21"/>
                    </w:rPr>
                  </w:pPr>
                  <w:r>
                    <w:rPr>
                      <w:rFonts w:hint="eastAsia" w:ascii="Times New Roman" w:hAnsi="Times New Roman" w:cs="Times New Roman"/>
                      <w:color w:val="auto"/>
                      <w:szCs w:val="21"/>
                    </w:rPr>
                    <w:t>0.13</w:t>
                  </w:r>
                </w:p>
              </w:tc>
              <w:tc>
                <w:tcPr>
                  <w:tcW w:w="974" w:type="dxa"/>
                  <w:noWrap w:val="0"/>
                  <w:vAlign w:val="center"/>
                </w:tcPr>
                <w:p w14:paraId="1813B923">
                  <w:pPr>
                    <w:jc w:val="center"/>
                    <w:rPr>
                      <w:color w:val="auto"/>
                      <w:szCs w:val="21"/>
                    </w:rPr>
                  </w:pPr>
                  <w:r>
                    <w:rPr>
                      <w:color w:val="auto"/>
                      <w:szCs w:val="21"/>
                    </w:rPr>
                    <w:t>0</w:t>
                  </w:r>
                </w:p>
              </w:tc>
              <w:tc>
                <w:tcPr>
                  <w:tcW w:w="959" w:type="dxa"/>
                  <w:noWrap w:val="0"/>
                  <w:vAlign w:val="center"/>
                </w:tcPr>
                <w:p w14:paraId="15DA4DCF">
                  <w:pPr>
                    <w:jc w:val="center"/>
                    <w:rPr>
                      <w:color w:val="auto"/>
                      <w:szCs w:val="21"/>
                    </w:rPr>
                  </w:pPr>
                  <w:r>
                    <w:rPr>
                      <w:color w:val="auto"/>
                      <w:szCs w:val="21"/>
                    </w:rPr>
                    <w:t>达标</w:t>
                  </w:r>
                </w:p>
              </w:tc>
            </w:tr>
            <w:tr w14:paraId="453A6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653" w:type="dxa"/>
                  <w:vMerge w:val="continue"/>
                  <w:noWrap w:val="0"/>
                  <w:vAlign w:val="center"/>
                </w:tcPr>
                <w:p w14:paraId="29EFBE5A">
                  <w:pPr>
                    <w:pStyle w:val="52"/>
                    <w:widowControl w:val="0"/>
                    <w:adjustRightInd/>
                    <w:snapToGrid/>
                    <w:ind w:right="0"/>
                    <w:rPr>
                      <w:color w:val="auto"/>
                      <w:szCs w:val="21"/>
                    </w:rPr>
                  </w:pPr>
                </w:p>
              </w:tc>
              <w:tc>
                <w:tcPr>
                  <w:tcW w:w="1522" w:type="dxa"/>
                  <w:noWrap w:val="0"/>
                  <w:vAlign w:val="center"/>
                </w:tcPr>
                <w:p w14:paraId="510CDB5C">
                  <w:pPr>
                    <w:pStyle w:val="57"/>
                    <w:rPr>
                      <w:rFonts w:ascii="Times New Roman" w:hAnsi="Times New Roman" w:cs="Times New Roman"/>
                      <w:color w:val="auto"/>
                      <w:szCs w:val="21"/>
                    </w:rPr>
                  </w:pPr>
                  <w:r>
                    <w:rPr>
                      <w:rFonts w:ascii="Times New Roman" w:hAnsi="Times New Roman" w:cs="Times New Roman"/>
                      <w:color w:val="auto"/>
                      <w:szCs w:val="21"/>
                    </w:rPr>
                    <w:t>总磷</w:t>
                  </w:r>
                </w:p>
              </w:tc>
              <w:tc>
                <w:tcPr>
                  <w:tcW w:w="1235" w:type="dxa"/>
                  <w:vMerge w:val="continue"/>
                  <w:noWrap w:val="0"/>
                  <w:vAlign w:val="center"/>
                </w:tcPr>
                <w:p w14:paraId="60131A8C">
                  <w:pPr>
                    <w:jc w:val="center"/>
                    <w:rPr>
                      <w:color w:val="auto"/>
                      <w:szCs w:val="21"/>
                    </w:rPr>
                  </w:pPr>
                </w:p>
              </w:tc>
              <w:tc>
                <w:tcPr>
                  <w:tcW w:w="872" w:type="dxa"/>
                  <w:noWrap w:val="0"/>
                  <w:vAlign w:val="center"/>
                </w:tcPr>
                <w:p w14:paraId="7FC7602A">
                  <w:pPr>
                    <w:autoSpaceDE w:val="0"/>
                    <w:adjustRightInd w:val="0"/>
                    <w:snapToGrid w:val="0"/>
                    <w:jc w:val="center"/>
                    <w:rPr>
                      <w:color w:val="auto"/>
                      <w:szCs w:val="21"/>
                    </w:rPr>
                  </w:pPr>
                  <w:r>
                    <w:rPr>
                      <w:bCs/>
                      <w:color w:val="auto"/>
                      <w:kern w:val="0"/>
                      <w:szCs w:val="21"/>
                    </w:rPr>
                    <w:t>0.13</w:t>
                  </w:r>
                </w:p>
              </w:tc>
              <w:tc>
                <w:tcPr>
                  <w:tcW w:w="828" w:type="dxa"/>
                  <w:noWrap w:val="0"/>
                  <w:vAlign w:val="center"/>
                </w:tcPr>
                <w:p w14:paraId="2BE4EA9B">
                  <w:pPr>
                    <w:pStyle w:val="57"/>
                    <w:rPr>
                      <w:rFonts w:ascii="Times New Roman" w:hAnsi="Times New Roman" w:cs="Times New Roman"/>
                      <w:color w:val="auto"/>
                      <w:szCs w:val="21"/>
                    </w:rPr>
                  </w:pPr>
                  <w:r>
                    <w:rPr>
                      <w:rFonts w:ascii="Times New Roman" w:hAnsi="Times New Roman" w:cs="Times New Roman"/>
                      <w:color w:val="auto"/>
                      <w:szCs w:val="21"/>
                    </w:rPr>
                    <w:t>≤0.3</w:t>
                  </w:r>
                </w:p>
              </w:tc>
              <w:tc>
                <w:tcPr>
                  <w:tcW w:w="974" w:type="dxa"/>
                  <w:noWrap w:val="0"/>
                  <w:vAlign w:val="center"/>
                </w:tcPr>
                <w:p w14:paraId="1A04E154">
                  <w:pPr>
                    <w:pStyle w:val="57"/>
                    <w:rPr>
                      <w:rFonts w:ascii="Times New Roman" w:hAnsi="Times New Roman" w:cs="Times New Roman"/>
                      <w:color w:val="auto"/>
                      <w:szCs w:val="21"/>
                    </w:rPr>
                  </w:pPr>
                  <w:r>
                    <w:rPr>
                      <w:rFonts w:ascii="Times New Roman" w:hAnsi="Times New Roman" w:cs="Times New Roman"/>
                      <w:color w:val="auto"/>
                      <w:szCs w:val="21"/>
                    </w:rPr>
                    <w:t>0.</w:t>
                  </w:r>
                  <w:r>
                    <w:rPr>
                      <w:rFonts w:hint="eastAsia" w:ascii="Times New Roman" w:hAnsi="Times New Roman" w:cs="Times New Roman"/>
                      <w:color w:val="auto"/>
                      <w:szCs w:val="21"/>
                    </w:rPr>
                    <w:t>43</w:t>
                  </w:r>
                </w:p>
              </w:tc>
              <w:tc>
                <w:tcPr>
                  <w:tcW w:w="974" w:type="dxa"/>
                  <w:noWrap w:val="0"/>
                  <w:vAlign w:val="center"/>
                </w:tcPr>
                <w:p w14:paraId="1F7084CD">
                  <w:pPr>
                    <w:jc w:val="center"/>
                    <w:rPr>
                      <w:color w:val="auto"/>
                      <w:szCs w:val="21"/>
                    </w:rPr>
                  </w:pPr>
                  <w:r>
                    <w:rPr>
                      <w:color w:val="auto"/>
                      <w:szCs w:val="21"/>
                    </w:rPr>
                    <w:t>0</w:t>
                  </w:r>
                </w:p>
              </w:tc>
              <w:tc>
                <w:tcPr>
                  <w:tcW w:w="959" w:type="dxa"/>
                  <w:noWrap w:val="0"/>
                  <w:vAlign w:val="center"/>
                </w:tcPr>
                <w:p w14:paraId="417D8A07">
                  <w:pPr>
                    <w:jc w:val="center"/>
                    <w:rPr>
                      <w:color w:val="auto"/>
                      <w:szCs w:val="21"/>
                    </w:rPr>
                  </w:pPr>
                  <w:r>
                    <w:rPr>
                      <w:color w:val="auto"/>
                      <w:szCs w:val="21"/>
                    </w:rPr>
                    <w:t>达标</w:t>
                  </w:r>
                </w:p>
              </w:tc>
            </w:tr>
            <w:tr w14:paraId="08566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653" w:type="dxa"/>
                  <w:vMerge w:val="continue"/>
                  <w:noWrap w:val="0"/>
                  <w:vAlign w:val="center"/>
                </w:tcPr>
                <w:p w14:paraId="4E44597C">
                  <w:pPr>
                    <w:pStyle w:val="52"/>
                    <w:widowControl w:val="0"/>
                    <w:adjustRightInd/>
                    <w:snapToGrid/>
                    <w:ind w:right="0"/>
                    <w:rPr>
                      <w:color w:val="auto"/>
                      <w:szCs w:val="21"/>
                    </w:rPr>
                  </w:pPr>
                </w:p>
              </w:tc>
              <w:tc>
                <w:tcPr>
                  <w:tcW w:w="1522" w:type="dxa"/>
                  <w:noWrap w:val="0"/>
                  <w:vAlign w:val="center"/>
                </w:tcPr>
                <w:p w14:paraId="4BE8676B">
                  <w:pPr>
                    <w:pStyle w:val="57"/>
                    <w:rPr>
                      <w:rFonts w:ascii="Times New Roman" w:hAnsi="Times New Roman" w:cs="Times New Roman"/>
                      <w:color w:val="auto"/>
                      <w:szCs w:val="21"/>
                    </w:rPr>
                  </w:pPr>
                  <w:r>
                    <w:rPr>
                      <w:rFonts w:ascii="Times New Roman" w:hAnsi="Times New Roman" w:cs="Times New Roman"/>
                      <w:color w:val="auto"/>
                      <w:szCs w:val="21"/>
                    </w:rPr>
                    <w:t>高锰酸盐指数</w:t>
                  </w:r>
                </w:p>
              </w:tc>
              <w:tc>
                <w:tcPr>
                  <w:tcW w:w="1235" w:type="dxa"/>
                  <w:vMerge w:val="restart"/>
                  <w:noWrap w:val="0"/>
                  <w:vAlign w:val="center"/>
                </w:tcPr>
                <w:p w14:paraId="49ECD073">
                  <w:pPr>
                    <w:jc w:val="center"/>
                    <w:rPr>
                      <w:color w:val="auto"/>
                      <w:szCs w:val="21"/>
                    </w:rPr>
                  </w:pPr>
                  <w:r>
                    <w:rPr>
                      <w:color w:val="auto"/>
                      <w:szCs w:val="21"/>
                    </w:rPr>
                    <w:t>2022年第</w:t>
                  </w:r>
                  <w:r>
                    <w:rPr>
                      <w:rFonts w:hint="eastAsia"/>
                      <w:color w:val="auto"/>
                      <w:szCs w:val="21"/>
                      <w:lang w:val="en-US" w:eastAsia="zh-CN"/>
                    </w:rPr>
                    <w:t>三</w:t>
                  </w:r>
                  <w:r>
                    <w:rPr>
                      <w:color w:val="auto"/>
                      <w:szCs w:val="21"/>
                    </w:rPr>
                    <w:t>季度</w:t>
                  </w:r>
                </w:p>
              </w:tc>
              <w:tc>
                <w:tcPr>
                  <w:tcW w:w="872" w:type="dxa"/>
                  <w:noWrap w:val="0"/>
                  <w:vAlign w:val="center"/>
                </w:tcPr>
                <w:p w14:paraId="2C78FE82">
                  <w:pPr>
                    <w:autoSpaceDE w:val="0"/>
                    <w:adjustRightInd w:val="0"/>
                    <w:snapToGrid w:val="0"/>
                    <w:jc w:val="center"/>
                    <w:rPr>
                      <w:color w:val="auto"/>
                      <w:szCs w:val="21"/>
                    </w:rPr>
                  </w:pPr>
                  <w:r>
                    <w:rPr>
                      <w:bCs/>
                      <w:color w:val="auto"/>
                      <w:kern w:val="0"/>
                      <w:szCs w:val="21"/>
                    </w:rPr>
                    <w:t>4.4</w:t>
                  </w:r>
                </w:p>
              </w:tc>
              <w:tc>
                <w:tcPr>
                  <w:tcW w:w="828" w:type="dxa"/>
                  <w:noWrap w:val="0"/>
                  <w:vAlign w:val="center"/>
                </w:tcPr>
                <w:p w14:paraId="3FCDBD95">
                  <w:pPr>
                    <w:pStyle w:val="57"/>
                    <w:rPr>
                      <w:rFonts w:ascii="Times New Roman" w:hAnsi="Times New Roman" w:cs="Times New Roman"/>
                      <w:color w:val="auto"/>
                      <w:szCs w:val="21"/>
                    </w:rPr>
                  </w:pPr>
                  <w:r>
                    <w:rPr>
                      <w:rFonts w:ascii="Times New Roman" w:hAnsi="Times New Roman" w:cs="Times New Roman"/>
                      <w:color w:val="auto"/>
                      <w:szCs w:val="21"/>
                    </w:rPr>
                    <w:t>≤10</w:t>
                  </w:r>
                </w:p>
              </w:tc>
              <w:tc>
                <w:tcPr>
                  <w:tcW w:w="974" w:type="dxa"/>
                  <w:noWrap w:val="0"/>
                  <w:vAlign w:val="center"/>
                </w:tcPr>
                <w:p w14:paraId="09FA9FB0">
                  <w:pPr>
                    <w:pStyle w:val="57"/>
                    <w:rPr>
                      <w:rFonts w:ascii="Times New Roman" w:hAnsi="Times New Roman" w:cs="Times New Roman"/>
                      <w:color w:val="auto"/>
                      <w:szCs w:val="21"/>
                    </w:rPr>
                  </w:pPr>
                  <w:r>
                    <w:rPr>
                      <w:rFonts w:ascii="Times New Roman" w:hAnsi="Times New Roman" w:cs="Times New Roman"/>
                      <w:color w:val="auto"/>
                      <w:szCs w:val="21"/>
                    </w:rPr>
                    <w:t>0.</w:t>
                  </w:r>
                  <w:r>
                    <w:rPr>
                      <w:rFonts w:hint="eastAsia" w:ascii="Times New Roman" w:hAnsi="Times New Roman" w:cs="Times New Roman"/>
                      <w:color w:val="auto"/>
                      <w:szCs w:val="21"/>
                    </w:rPr>
                    <w:t>44</w:t>
                  </w:r>
                </w:p>
              </w:tc>
              <w:tc>
                <w:tcPr>
                  <w:tcW w:w="974" w:type="dxa"/>
                  <w:noWrap w:val="0"/>
                  <w:vAlign w:val="center"/>
                </w:tcPr>
                <w:p w14:paraId="031459F2">
                  <w:pPr>
                    <w:jc w:val="center"/>
                    <w:rPr>
                      <w:color w:val="auto"/>
                      <w:szCs w:val="21"/>
                    </w:rPr>
                  </w:pPr>
                  <w:r>
                    <w:rPr>
                      <w:color w:val="auto"/>
                      <w:szCs w:val="21"/>
                    </w:rPr>
                    <w:t>0</w:t>
                  </w:r>
                </w:p>
              </w:tc>
              <w:tc>
                <w:tcPr>
                  <w:tcW w:w="959" w:type="dxa"/>
                  <w:noWrap w:val="0"/>
                  <w:vAlign w:val="center"/>
                </w:tcPr>
                <w:p w14:paraId="2E182DC1">
                  <w:pPr>
                    <w:jc w:val="center"/>
                    <w:rPr>
                      <w:color w:val="auto"/>
                      <w:szCs w:val="21"/>
                    </w:rPr>
                  </w:pPr>
                  <w:r>
                    <w:rPr>
                      <w:color w:val="auto"/>
                      <w:szCs w:val="21"/>
                    </w:rPr>
                    <w:t>达标</w:t>
                  </w:r>
                </w:p>
              </w:tc>
            </w:tr>
            <w:tr w14:paraId="5FB00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653" w:type="dxa"/>
                  <w:vMerge w:val="continue"/>
                  <w:noWrap w:val="0"/>
                  <w:vAlign w:val="center"/>
                </w:tcPr>
                <w:p w14:paraId="5A13A1F5">
                  <w:pPr>
                    <w:pStyle w:val="52"/>
                    <w:widowControl w:val="0"/>
                    <w:adjustRightInd/>
                    <w:snapToGrid/>
                    <w:ind w:right="0"/>
                    <w:rPr>
                      <w:color w:val="auto"/>
                      <w:szCs w:val="21"/>
                    </w:rPr>
                  </w:pPr>
                </w:p>
              </w:tc>
              <w:tc>
                <w:tcPr>
                  <w:tcW w:w="1522" w:type="dxa"/>
                  <w:noWrap w:val="0"/>
                  <w:vAlign w:val="center"/>
                </w:tcPr>
                <w:p w14:paraId="4E57504B">
                  <w:pPr>
                    <w:pStyle w:val="57"/>
                    <w:rPr>
                      <w:rFonts w:ascii="Times New Roman" w:hAnsi="Times New Roman" w:cs="Times New Roman"/>
                      <w:color w:val="auto"/>
                      <w:szCs w:val="21"/>
                    </w:rPr>
                  </w:pPr>
                  <w:r>
                    <w:rPr>
                      <w:rFonts w:ascii="Times New Roman" w:hAnsi="Times New Roman" w:cs="Times New Roman"/>
                      <w:color w:val="auto"/>
                      <w:position w:val="2"/>
                      <w:szCs w:val="21"/>
                    </w:rPr>
                    <w:t>NH</w:t>
                  </w:r>
                  <w:r>
                    <w:rPr>
                      <w:rFonts w:ascii="Times New Roman" w:hAnsi="Times New Roman" w:cs="Times New Roman"/>
                      <w:color w:val="auto"/>
                      <w:position w:val="2"/>
                      <w:szCs w:val="21"/>
                      <w:vertAlign w:val="subscript"/>
                    </w:rPr>
                    <w:t>3</w:t>
                  </w:r>
                  <w:r>
                    <w:rPr>
                      <w:rFonts w:ascii="Times New Roman" w:hAnsi="Times New Roman" w:cs="Times New Roman"/>
                      <w:color w:val="auto"/>
                      <w:position w:val="2"/>
                      <w:szCs w:val="21"/>
                    </w:rPr>
                    <w:t>-N</w:t>
                  </w:r>
                </w:p>
              </w:tc>
              <w:tc>
                <w:tcPr>
                  <w:tcW w:w="1235" w:type="dxa"/>
                  <w:vMerge w:val="continue"/>
                  <w:noWrap w:val="0"/>
                  <w:vAlign w:val="center"/>
                </w:tcPr>
                <w:p w14:paraId="18FDEE62">
                  <w:pPr>
                    <w:jc w:val="center"/>
                    <w:rPr>
                      <w:color w:val="auto"/>
                      <w:szCs w:val="21"/>
                    </w:rPr>
                  </w:pPr>
                </w:p>
              </w:tc>
              <w:tc>
                <w:tcPr>
                  <w:tcW w:w="872" w:type="dxa"/>
                  <w:noWrap w:val="0"/>
                  <w:vAlign w:val="center"/>
                </w:tcPr>
                <w:p w14:paraId="25063DDF">
                  <w:pPr>
                    <w:autoSpaceDE w:val="0"/>
                    <w:adjustRightInd w:val="0"/>
                    <w:snapToGrid w:val="0"/>
                    <w:jc w:val="center"/>
                    <w:rPr>
                      <w:color w:val="auto"/>
                      <w:szCs w:val="21"/>
                    </w:rPr>
                  </w:pPr>
                  <w:r>
                    <w:rPr>
                      <w:bCs/>
                      <w:color w:val="auto"/>
                      <w:kern w:val="0"/>
                      <w:szCs w:val="21"/>
                    </w:rPr>
                    <w:t>3.26</w:t>
                  </w:r>
                </w:p>
              </w:tc>
              <w:tc>
                <w:tcPr>
                  <w:tcW w:w="828" w:type="dxa"/>
                  <w:noWrap w:val="0"/>
                  <w:vAlign w:val="center"/>
                </w:tcPr>
                <w:p w14:paraId="54D7FDF9">
                  <w:pPr>
                    <w:pStyle w:val="57"/>
                    <w:rPr>
                      <w:rFonts w:ascii="Times New Roman" w:hAnsi="Times New Roman" w:cs="Times New Roman"/>
                      <w:color w:val="auto"/>
                      <w:szCs w:val="21"/>
                    </w:rPr>
                  </w:pPr>
                  <w:r>
                    <w:rPr>
                      <w:rFonts w:ascii="Times New Roman" w:hAnsi="Times New Roman" w:cs="Times New Roman"/>
                      <w:color w:val="auto"/>
                      <w:szCs w:val="21"/>
                    </w:rPr>
                    <w:t>≤1.5</w:t>
                  </w:r>
                </w:p>
              </w:tc>
              <w:tc>
                <w:tcPr>
                  <w:tcW w:w="974" w:type="dxa"/>
                  <w:noWrap w:val="0"/>
                  <w:vAlign w:val="center"/>
                </w:tcPr>
                <w:p w14:paraId="06770E6E">
                  <w:pPr>
                    <w:pStyle w:val="57"/>
                    <w:rPr>
                      <w:rFonts w:ascii="Times New Roman" w:hAnsi="Times New Roman" w:cs="Times New Roman"/>
                      <w:color w:val="auto"/>
                      <w:szCs w:val="21"/>
                    </w:rPr>
                  </w:pPr>
                  <w:r>
                    <w:rPr>
                      <w:rFonts w:hint="eastAsia" w:ascii="Times New Roman" w:hAnsi="Times New Roman" w:cs="Times New Roman"/>
                      <w:color w:val="auto"/>
                      <w:szCs w:val="21"/>
                    </w:rPr>
                    <w:t>2.17</w:t>
                  </w:r>
                </w:p>
              </w:tc>
              <w:tc>
                <w:tcPr>
                  <w:tcW w:w="974" w:type="dxa"/>
                  <w:noWrap w:val="0"/>
                  <w:vAlign w:val="center"/>
                </w:tcPr>
                <w:p w14:paraId="311632F3">
                  <w:pPr>
                    <w:jc w:val="center"/>
                    <w:rPr>
                      <w:color w:val="auto"/>
                      <w:szCs w:val="21"/>
                    </w:rPr>
                  </w:pPr>
                  <w:r>
                    <w:rPr>
                      <w:rFonts w:hint="eastAsia"/>
                      <w:color w:val="auto"/>
                      <w:szCs w:val="21"/>
                    </w:rPr>
                    <w:t>1.17</w:t>
                  </w:r>
                </w:p>
              </w:tc>
              <w:tc>
                <w:tcPr>
                  <w:tcW w:w="959" w:type="dxa"/>
                  <w:noWrap w:val="0"/>
                  <w:vAlign w:val="center"/>
                </w:tcPr>
                <w:p w14:paraId="076FF6CC">
                  <w:pPr>
                    <w:jc w:val="center"/>
                    <w:rPr>
                      <w:color w:val="auto"/>
                      <w:szCs w:val="21"/>
                    </w:rPr>
                  </w:pPr>
                  <w:r>
                    <w:rPr>
                      <w:b/>
                      <w:bCs/>
                      <w:color w:val="auto"/>
                      <w:szCs w:val="21"/>
                    </w:rPr>
                    <w:t>超标</w:t>
                  </w:r>
                </w:p>
              </w:tc>
            </w:tr>
            <w:tr w14:paraId="2FD8E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653" w:type="dxa"/>
                  <w:vMerge w:val="continue"/>
                  <w:noWrap w:val="0"/>
                  <w:vAlign w:val="center"/>
                </w:tcPr>
                <w:p w14:paraId="535DF583">
                  <w:pPr>
                    <w:pStyle w:val="52"/>
                    <w:widowControl w:val="0"/>
                    <w:adjustRightInd/>
                    <w:snapToGrid/>
                    <w:ind w:right="0"/>
                    <w:rPr>
                      <w:color w:val="auto"/>
                      <w:szCs w:val="21"/>
                    </w:rPr>
                  </w:pPr>
                </w:p>
              </w:tc>
              <w:tc>
                <w:tcPr>
                  <w:tcW w:w="1522" w:type="dxa"/>
                  <w:noWrap w:val="0"/>
                  <w:vAlign w:val="center"/>
                </w:tcPr>
                <w:p w14:paraId="35CEF14D">
                  <w:pPr>
                    <w:pStyle w:val="57"/>
                    <w:rPr>
                      <w:rFonts w:ascii="Times New Roman" w:hAnsi="Times New Roman" w:cs="Times New Roman"/>
                      <w:color w:val="auto"/>
                      <w:szCs w:val="21"/>
                    </w:rPr>
                  </w:pPr>
                  <w:r>
                    <w:rPr>
                      <w:rFonts w:ascii="Times New Roman" w:hAnsi="Times New Roman" w:cs="Times New Roman"/>
                      <w:color w:val="auto"/>
                      <w:szCs w:val="21"/>
                    </w:rPr>
                    <w:t>总磷</w:t>
                  </w:r>
                </w:p>
              </w:tc>
              <w:tc>
                <w:tcPr>
                  <w:tcW w:w="1235" w:type="dxa"/>
                  <w:vMerge w:val="continue"/>
                  <w:noWrap w:val="0"/>
                  <w:vAlign w:val="center"/>
                </w:tcPr>
                <w:p w14:paraId="1BB85D54">
                  <w:pPr>
                    <w:jc w:val="center"/>
                    <w:rPr>
                      <w:color w:val="auto"/>
                      <w:szCs w:val="21"/>
                    </w:rPr>
                  </w:pPr>
                </w:p>
              </w:tc>
              <w:tc>
                <w:tcPr>
                  <w:tcW w:w="872" w:type="dxa"/>
                  <w:noWrap w:val="0"/>
                  <w:vAlign w:val="center"/>
                </w:tcPr>
                <w:p w14:paraId="101F3214">
                  <w:pPr>
                    <w:autoSpaceDE w:val="0"/>
                    <w:adjustRightInd w:val="0"/>
                    <w:snapToGrid w:val="0"/>
                    <w:jc w:val="center"/>
                    <w:rPr>
                      <w:color w:val="auto"/>
                      <w:szCs w:val="21"/>
                    </w:rPr>
                  </w:pPr>
                  <w:r>
                    <w:rPr>
                      <w:bCs/>
                      <w:color w:val="auto"/>
                      <w:kern w:val="0"/>
                      <w:szCs w:val="21"/>
                    </w:rPr>
                    <w:t>0.27</w:t>
                  </w:r>
                </w:p>
              </w:tc>
              <w:tc>
                <w:tcPr>
                  <w:tcW w:w="828" w:type="dxa"/>
                  <w:noWrap w:val="0"/>
                  <w:vAlign w:val="center"/>
                </w:tcPr>
                <w:p w14:paraId="5B34EC82">
                  <w:pPr>
                    <w:pStyle w:val="57"/>
                    <w:rPr>
                      <w:rFonts w:ascii="Times New Roman" w:hAnsi="Times New Roman" w:cs="Times New Roman"/>
                      <w:color w:val="auto"/>
                      <w:szCs w:val="21"/>
                    </w:rPr>
                  </w:pPr>
                  <w:r>
                    <w:rPr>
                      <w:rFonts w:ascii="Times New Roman" w:hAnsi="Times New Roman" w:cs="Times New Roman"/>
                      <w:color w:val="auto"/>
                      <w:szCs w:val="21"/>
                    </w:rPr>
                    <w:t>≤0.3</w:t>
                  </w:r>
                </w:p>
              </w:tc>
              <w:tc>
                <w:tcPr>
                  <w:tcW w:w="974" w:type="dxa"/>
                  <w:noWrap w:val="0"/>
                  <w:vAlign w:val="center"/>
                </w:tcPr>
                <w:p w14:paraId="06AA5A4E">
                  <w:pPr>
                    <w:pStyle w:val="57"/>
                    <w:rPr>
                      <w:rFonts w:ascii="Times New Roman" w:hAnsi="Times New Roman" w:cs="Times New Roman"/>
                      <w:color w:val="auto"/>
                      <w:szCs w:val="21"/>
                    </w:rPr>
                  </w:pPr>
                  <w:r>
                    <w:rPr>
                      <w:rFonts w:hint="eastAsia" w:ascii="Times New Roman" w:hAnsi="Times New Roman" w:cs="Times New Roman"/>
                      <w:color w:val="auto"/>
                      <w:szCs w:val="21"/>
                    </w:rPr>
                    <w:t>0.9</w:t>
                  </w:r>
                </w:p>
              </w:tc>
              <w:tc>
                <w:tcPr>
                  <w:tcW w:w="974" w:type="dxa"/>
                  <w:noWrap w:val="0"/>
                  <w:vAlign w:val="center"/>
                </w:tcPr>
                <w:p w14:paraId="3444D425">
                  <w:pPr>
                    <w:jc w:val="center"/>
                    <w:rPr>
                      <w:rFonts w:hint="eastAsia"/>
                      <w:color w:val="auto"/>
                      <w:szCs w:val="21"/>
                    </w:rPr>
                  </w:pPr>
                  <w:r>
                    <w:rPr>
                      <w:rFonts w:hint="eastAsia"/>
                      <w:color w:val="auto"/>
                      <w:szCs w:val="21"/>
                    </w:rPr>
                    <w:t>0</w:t>
                  </w:r>
                </w:p>
              </w:tc>
              <w:tc>
                <w:tcPr>
                  <w:tcW w:w="959" w:type="dxa"/>
                  <w:noWrap w:val="0"/>
                  <w:vAlign w:val="center"/>
                </w:tcPr>
                <w:p w14:paraId="78731F79">
                  <w:pPr>
                    <w:jc w:val="center"/>
                    <w:rPr>
                      <w:color w:val="auto"/>
                      <w:szCs w:val="21"/>
                    </w:rPr>
                  </w:pPr>
                  <w:r>
                    <w:rPr>
                      <w:color w:val="auto"/>
                      <w:szCs w:val="21"/>
                    </w:rPr>
                    <w:t>达标</w:t>
                  </w:r>
                </w:p>
              </w:tc>
            </w:tr>
            <w:tr w14:paraId="51386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653" w:type="dxa"/>
                  <w:vMerge w:val="continue"/>
                  <w:noWrap w:val="0"/>
                  <w:vAlign w:val="center"/>
                </w:tcPr>
                <w:p w14:paraId="06927643">
                  <w:pPr>
                    <w:pStyle w:val="52"/>
                    <w:widowControl w:val="0"/>
                    <w:adjustRightInd/>
                    <w:snapToGrid/>
                    <w:ind w:right="0"/>
                    <w:rPr>
                      <w:color w:val="auto"/>
                      <w:szCs w:val="21"/>
                    </w:rPr>
                  </w:pPr>
                </w:p>
              </w:tc>
              <w:tc>
                <w:tcPr>
                  <w:tcW w:w="1522" w:type="dxa"/>
                  <w:noWrap w:val="0"/>
                  <w:vAlign w:val="center"/>
                </w:tcPr>
                <w:p w14:paraId="7F0ABA5A">
                  <w:pPr>
                    <w:pStyle w:val="57"/>
                    <w:rPr>
                      <w:rFonts w:ascii="Times New Roman" w:hAnsi="Times New Roman" w:cs="Times New Roman"/>
                      <w:color w:val="auto"/>
                      <w:szCs w:val="21"/>
                    </w:rPr>
                  </w:pPr>
                  <w:r>
                    <w:rPr>
                      <w:rFonts w:ascii="Times New Roman" w:hAnsi="Times New Roman" w:cs="Times New Roman"/>
                      <w:color w:val="auto"/>
                      <w:szCs w:val="21"/>
                    </w:rPr>
                    <w:t>高锰酸盐指数</w:t>
                  </w:r>
                </w:p>
              </w:tc>
              <w:tc>
                <w:tcPr>
                  <w:tcW w:w="1235" w:type="dxa"/>
                  <w:vMerge w:val="restart"/>
                  <w:noWrap w:val="0"/>
                  <w:vAlign w:val="center"/>
                </w:tcPr>
                <w:p w14:paraId="162F6F11">
                  <w:pPr>
                    <w:jc w:val="center"/>
                    <w:rPr>
                      <w:color w:val="auto"/>
                      <w:szCs w:val="21"/>
                    </w:rPr>
                  </w:pPr>
                  <w:r>
                    <w:rPr>
                      <w:color w:val="auto"/>
                      <w:szCs w:val="21"/>
                    </w:rPr>
                    <w:t>2022年第</w:t>
                  </w:r>
                  <w:r>
                    <w:rPr>
                      <w:rFonts w:hint="eastAsia"/>
                      <w:color w:val="auto"/>
                      <w:szCs w:val="21"/>
                      <w:lang w:val="en-US" w:eastAsia="zh-CN"/>
                    </w:rPr>
                    <w:t>四</w:t>
                  </w:r>
                  <w:r>
                    <w:rPr>
                      <w:color w:val="auto"/>
                      <w:szCs w:val="21"/>
                    </w:rPr>
                    <w:t>季度</w:t>
                  </w:r>
                </w:p>
              </w:tc>
              <w:tc>
                <w:tcPr>
                  <w:tcW w:w="872" w:type="dxa"/>
                  <w:noWrap w:val="0"/>
                  <w:vAlign w:val="center"/>
                </w:tcPr>
                <w:p w14:paraId="5BC08979">
                  <w:pPr>
                    <w:autoSpaceDE w:val="0"/>
                    <w:adjustRightInd w:val="0"/>
                    <w:snapToGrid w:val="0"/>
                    <w:jc w:val="center"/>
                    <w:rPr>
                      <w:color w:val="auto"/>
                      <w:szCs w:val="21"/>
                    </w:rPr>
                  </w:pPr>
                  <w:r>
                    <w:rPr>
                      <w:bCs/>
                      <w:color w:val="auto"/>
                      <w:kern w:val="0"/>
                      <w:szCs w:val="21"/>
                    </w:rPr>
                    <w:t>5.9</w:t>
                  </w:r>
                </w:p>
              </w:tc>
              <w:tc>
                <w:tcPr>
                  <w:tcW w:w="828" w:type="dxa"/>
                  <w:noWrap w:val="0"/>
                  <w:vAlign w:val="center"/>
                </w:tcPr>
                <w:p w14:paraId="7C781571">
                  <w:pPr>
                    <w:pStyle w:val="57"/>
                    <w:rPr>
                      <w:rFonts w:ascii="Times New Roman" w:hAnsi="Times New Roman" w:cs="Times New Roman"/>
                      <w:color w:val="auto"/>
                      <w:szCs w:val="21"/>
                    </w:rPr>
                  </w:pPr>
                  <w:r>
                    <w:rPr>
                      <w:rFonts w:ascii="Times New Roman" w:hAnsi="Times New Roman" w:cs="Times New Roman"/>
                      <w:color w:val="auto"/>
                      <w:szCs w:val="21"/>
                    </w:rPr>
                    <w:t>≤10</w:t>
                  </w:r>
                </w:p>
              </w:tc>
              <w:tc>
                <w:tcPr>
                  <w:tcW w:w="974" w:type="dxa"/>
                  <w:noWrap w:val="0"/>
                  <w:vAlign w:val="center"/>
                </w:tcPr>
                <w:p w14:paraId="59E7D34D">
                  <w:pPr>
                    <w:pStyle w:val="57"/>
                    <w:rPr>
                      <w:rFonts w:ascii="Times New Roman" w:hAnsi="Times New Roman" w:cs="Times New Roman"/>
                      <w:color w:val="auto"/>
                      <w:szCs w:val="21"/>
                    </w:rPr>
                  </w:pPr>
                  <w:r>
                    <w:rPr>
                      <w:rFonts w:ascii="Times New Roman" w:hAnsi="Times New Roman" w:cs="Times New Roman"/>
                      <w:color w:val="auto"/>
                      <w:szCs w:val="21"/>
                    </w:rPr>
                    <w:t>0.</w:t>
                  </w:r>
                  <w:r>
                    <w:rPr>
                      <w:rFonts w:hint="eastAsia" w:ascii="Times New Roman" w:hAnsi="Times New Roman" w:cs="Times New Roman"/>
                      <w:color w:val="auto"/>
                      <w:szCs w:val="21"/>
                    </w:rPr>
                    <w:t>59</w:t>
                  </w:r>
                </w:p>
              </w:tc>
              <w:tc>
                <w:tcPr>
                  <w:tcW w:w="974" w:type="dxa"/>
                  <w:noWrap w:val="0"/>
                  <w:vAlign w:val="center"/>
                </w:tcPr>
                <w:p w14:paraId="0FFC2CB0">
                  <w:pPr>
                    <w:jc w:val="center"/>
                    <w:rPr>
                      <w:color w:val="auto"/>
                      <w:szCs w:val="21"/>
                    </w:rPr>
                  </w:pPr>
                  <w:r>
                    <w:rPr>
                      <w:color w:val="auto"/>
                      <w:szCs w:val="21"/>
                    </w:rPr>
                    <w:t>0</w:t>
                  </w:r>
                </w:p>
              </w:tc>
              <w:tc>
                <w:tcPr>
                  <w:tcW w:w="959" w:type="dxa"/>
                  <w:noWrap w:val="0"/>
                  <w:vAlign w:val="center"/>
                </w:tcPr>
                <w:p w14:paraId="1C8622F6">
                  <w:pPr>
                    <w:jc w:val="center"/>
                    <w:rPr>
                      <w:color w:val="auto"/>
                      <w:szCs w:val="21"/>
                    </w:rPr>
                  </w:pPr>
                  <w:r>
                    <w:rPr>
                      <w:color w:val="auto"/>
                      <w:szCs w:val="21"/>
                    </w:rPr>
                    <w:t>达标</w:t>
                  </w:r>
                </w:p>
              </w:tc>
            </w:tr>
            <w:tr w14:paraId="59680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653" w:type="dxa"/>
                  <w:vMerge w:val="continue"/>
                  <w:noWrap w:val="0"/>
                  <w:vAlign w:val="center"/>
                </w:tcPr>
                <w:p w14:paraId="4A2B2899">
                  <w:pPr>
                    <w:pStyle w:val="52"/>
                    <w:widowControl w:val="0"/>
                    <w:adjustRightInd/>
                    <w:snapToGrid/>
                    <w:ind w:right="0"/>
                    <w:rPr>
                      <w:color w:val="auto"/>
                      <w:szCs w:val="21"/>
                    </w:rPr>
                  </w:pPr>
                </w:p>
              </w:tc>
              <w:tc>
                <w:tcPr>
                  <w:tcW w:w="1522" w:type="dxa"/>
                  <w:noWrap w:val="0"/>
                  <w:vAlign w:val="center"/>
                </w:tcPr>
                <w:p w14:paraId="5D25A167">
                  <w:pPr>
                    <w:pStyle w:val="57"/>
                    <w:rPr>
                      <w:rFonts w:ascii="Times New Roman" w:hAnsi="Times New Roman" w:cs="Times New Roman"/>
                      <w:color w:val="auto"/>
                      <w:szCs w:val="21"/>
                    </w:rPr>
                  </w:pPr>
                  <w:r>
                    <w:rPr>
                      <w:rFonts w:ascii="Times New Roman" w:hAnsi="Times New Roman" w:cs="Times New Roman"/>
                      <w:color w:val="auto"/>
                      <w:position w:val="2"/>
                      <w:szCs w:val="21"/>
                    </w:rPr>
                    <w:t>NH</w:t>
                  </w:r>
                  <w:r>
                    <w:rPr>
                      <w:rFonts w:ascii="Times New Roman" w:hAnsi="Times New Roman" w:cs="Times New Roman"/>
                      <w:color w:val="auto"/>
                      <w:position w:val="2"/>
                      <w:szCs w:val="21"/>
                      <w:vertAlign w:val="subscript"/>
                    </w:rPr>
                    <w:t>3</w:t>
                  </w:r>
                  <w:r>
                    <w:rPr>
                      <w:rFonts w:ascii="Times New Roman" w:hAnsi="Times New Roman" w:cs="Times New Roman"/>
                      <w:color w:val="auto"/>
                      <w:position w:val="2"/>
                      <w:szCs w:val="21"/>
                    </w:rPr>
                    <w:t>-N</w:t>
                  </w:r>
                </w:p>
              </w:tc>
              <w:tc>
                <w:tcPr>
                  <w:tcW w:w="1235" w:type="dxa"/>
                  <w:vMerge w:val="continue"/>
                  <w:noWrap w:val="0"/>
                  <w:vAlign w:val="center"/>
                </w:tcPr>
                <w:p w14:paraId="62C73836">
                  <w:pPr>
                    <w:jc w:val="center"/>
                    <w:rPr>
                      <w:color w:val="auto"/>
                      <w:szCs w:val="21"/>
                    </w:rPr>
                  </w:pPr>
                </w:p>
              </w:tc>
              <w:tc>
                <w:tcPr>
                  <w:tcW w:w="872" w:type="dxa"/>
                  <w:noWrap w:val="0"/>
                  <w:vAlign w:val="center"/>
                </w:tcPr>
                <w:p w14:paraId="5C122DF7">
                  <w:pPr>
                    <w:autoSpaceDE w:val="0"/>
                    <w:adjustRightInd w:val="0"/>
                    <w:snapToGrid w:val="0"/>
                    <w:jc w:val="center"/>
                    <w:rPr>
                      <w:color w:val="auto"/>
                      <w:szCs w:val="21"/>
                    </w:rPr>
                  </w:pPr>
                  <w:r>
                    <w:rPr>
                      <w:bCs/>
                      <w:color w:val="auto"/>
                      <w:kern w:val="0"/>
                      <w:szCs w:val="21"/>
                    </w:rPr>
                    <w:t>2.78</w:t>
                  </w:r>
                </w:p>
              </w:tc>
              <w:tc>
                <w:tcPr>
                  <w:tcW w:w="828" w:type="dxa"/>
                  <w:noWrap w:val="0"/>
                  <w:vAlign w:val="center"/>
                </w:tcPr>
                <w:p w14:paraId="1E75FC46">
                  <w:pPr>
                    <w:pStyle w:val="57"/>
                    <w:rPr>
                      <w:rFonts w:ascii="Times New Roman" w:hAnsi="Times New Roman" w:cs="Times New Roman"/>
                      <w:color w:val="auto"/>
                      <w:szCs w:val="21"/>
                    </w:rPr>
                  </w:pPr>
                  <w:r>
                    <w:rPr>
                      <w:rFonts w:ascii="Times New Roman" w:hAnsi="Times New Roman" w:cs="Times New Roman"/>
                      <w:color w:val="auto"/>
                      <w:szCs w:val="21"/>
                    </w:rPr>
                    <w:t>≤1.5</w:t>
                  </w:r>
                </w:p>
              </w:tc>
              <w:tc>
                <w:tcPr>
                  <w:tcW w:w="974" w:type="dxa"/>
                  <w:noWrap w:val="0"/>
                  <w:vAlign w:val="center"/>
                </w:tcPr>
                <w:p w14:paraId="523BB524">
                  <w:pPr>
                    <w:pStyle w:val="57"/>
                    <w:rPr>
                      <w:rFonts w:ascii="Times New Roman" w:hAnsi="Times New Roman" w:cs="Times New Roman"/>
                      <w:color w:val="auto"/>
                      <w:szCs w:val="21"/>
                    </w:rPr>
                  </w:pPr>
                  <w:r>
                    <w:rPr>
                      <w:rFonts w:hint="eastAsia" w:ascii="Times New Roman" w:hAnsi="Times New Roman" w:cs="Times New Roman"/>
                      <w:color w:val="auto"/>
                      <w:szCs w:val="21"/>
                    </w:rPr>
                    <w:t>1.85</w:t>
                  </w:r>
                </w:p>
              </w:tc>
              <w:tc>
                <w:tcPr>
                  <w:tcW w:w="974" w:type="dxa"/>
                  <w:noWrap w:val="0"/>
                  <w:vAlign w:val="center"/>
                </w:tcPr>
                <w:p w14:paraId="48399E72">
                  <w:pPr>
                    <w:jc w:val="center"/>
                    <w:rPr>
                      <w:color w:val="auto"/>
                      <w:szCs w:val="21"/>
                    </w:rPr>
                  </w:pPr>
                  <w:r>
                    <w:rPr>
                      <w:rFonts w:hint="eastAsia"/>
                      <w:color w:val="auto"/>
                      <w:szCs w:val="21"/>
                    </w:rPr>
                    <w:t>0.85</w:t>
                  </w:r>
                </w:p>
              </w:tc>
              <w:tc>
                <w:tcPr>
                  <w:tcW w:w="959" w:type="dxa"/>
                  <w:noWrap w:val="0"/>
                  <w:vAlign w:val="center"/>
                </w:tcPr>
                <w:p w14:paraId="1E39131C">
                  <w:pPr>
                    <w:jc w:val="center"/>
                    <w:rPr>
                      <w:b/>
                      <w:bCs/>
                      <w:color w:val="auto"/>
                      <w:szCs w:val="21"/>
                    </w:rPr>
                  </w:pPr>
                  <w:r>
                    <w:rPr>
                      <w:b/>
                      <w:bCs/>
                      <w:color w:val="auto"/>
                      <w:szCs w:val="21"/>
                    </w:rPr>
                    <w:t>超标</w:t>
                  </w:r>
                </w:p>
              </w:tc>
            </w:tr>
            <w:tr w14:paraId="1ACA4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653" w:type="dxa"/>
                  <w:vMerge w:val="continue"/>
                  <w:noWrap w:val="0"/>
                  <w:vAlign w:val="center"/>
                </w:tcPr>
                <w:p w14:paraId="24310834">
                  <w:pPr>
                    <w:pStyle w:val="52"/>
                    <w:widowControl w:val="0"/>
                    <w:adjustRightInd/>
                    <w:snapToGrid/>
                    <w:ind w:right="0"/>
                    <w:rPr>
                      <w:color w:val="auto"/>
                      <w:szCs w:val="21"/>
                    </w:rPr>
                  </w:pPr>
                </w:p>
              </w:tc>
              <w:tc>
                <w:tcPr>
                  <w:tcW w:w="1522" w:type="dxa"/>
                  <w:noWrap w:val="0"/>
                  <w:vAlign w:val="center"/>
                </w:tcPr>
                <w:p w14:paraId="50043521">
                  <w:pPr>
                    <w:pStyle w:val="57"/>
                    <w:rPr>
                      <w:rFonts w:ascii="Times New Roman" w:hAnsi="Times New Roman" w:cs="Times New Roman"/>
                      <w:color w:val="auto"/>
                      <w:szCs w:val="21"/>
                    </w:rPr>
                  </w:pPr>
                  <w:r>
                    <w:rPr>
                      <w:rFonts w:ascii="Times New Roman" w:hAnsi="Times New Roman" w:cs="Times New Roman"/>
                      <w:color w:val="auto"/>
                      <w:szCs w:val="21"/>
                    </w:rPr>
                    <w:t>总磷</w:t>
                  </w:r>
                </w:p>
              </w:tc>
              <w:tc>
                <w:tcPr>
                  <w:tcW w:w="1235" w:type="dxa"/>
                  <w:vMerge w:val="continue"/>
                  <w:noWrap w:val="0"/>
                  <w:vAlign w:val="center"/>
                </w:tcPr>
                <w:p w14:paraId="5924DB31">
                  <w:pPr>
                    <w:jc w:val="center"/>
                    <w:rPr>
                      <w:color w:val="auto"/>
                      <w:szCs w:val="21"/>
                    </w:rPr>
                  </w:pPr>
                </w:p>
              </w:tc>
              <w:tc>
                <w:tcPr>
                  <w:tcW w:w="872" w:type="dxa"/>
                  <w:noWrap w:val="0"/>
                  <w:vAlign w:val="center"/>
                </w:tcPr>
                <w:p w14:paraId="085E290C">
                  <w:pPr>
                    <w:autoSpaceDE w:val="0"/>
                    <w:adjustRightInd w:val="0"/>
                    <w:snapToGrid w:val="0"/>
                    <w:jc w:val="center"/>
                    <w:rPr>
                      <w:color w:val="auto"/>
                      <w:szCs w:val="21"/>
                    </w:rPr>
                  </w:pPr>
                  <w:r>
                    <w:rPr>
                      <w:bCs/>
                      <w:color w:val="auto"/>
                      <w:kern w:val="0"/>
                      <w:szCs w:val="21"/>
                    </w:rPr>
                    <w:t>0.13</w:t>
                  </w:r>
                </w:p>
              </w:tc>
              <w:tc>
                <w:tcPr>
                  <w:tcW w:w="828" w:type="dxa"/>
                  <w:noWrap w:val="0"/>
                  <w:vAlign w:val="center"/>
                </w:tcPr>
                <w:p w14:paraId="7F406B4A">
                  <w:pPr>
                    <w:pStyle w:val="57"/>
                    <w:rPr>
                      <w:rFonts w:ascii="Times New Roman" w:hAnsi="Times New Roman" w:cs="Times New Roman"/>
                      <w:color w:val="auto"/>
                      <w:szCs w:val="21"/>
                    </w:rPr>
                  </w:pPr>
                  <w:r>
                    <w:rPr>
                      <w:rFonts w:ascii="Times New Roman" w:hAnsi="Times New Roman" w:cs="Times New Roman"/>
                      <w:color w:val="auto"/>
                      <w:szCs w:val="21"/>
                    </w:rPr>
                    <w:t>≤0.3</w:t>
                  </w:r>
                </w:p>
              </w:tc>
              <w:tc>
                <w:tcPr>
                  <w:tcW w:w="974" w:type="dxa"/>
                  <w:noWrap w:val="0"/>
                  <w:vAlign w:val="center"/>
                </w:tcPr>
                <w:p w14:paraId="3BE9DF98">
                  <w:pPr>
                    <w:pStyle w:val="57"/>
                    <w:rPr>
                      <w:rFonts w:ascii="Times New Roman" w:hAnsi="Times New Roman" w:cs="Times New Roman"/>
                      <w:color w:val="auto"/>
                      <w:szCs w:val="21"/>
                    </w:rPr>
                  </w:pPr>
                  <w:r>
                    <w:rPr>
                      <w:rFonts w:ascii="Times New Roman" w:hAnsi="Times New Roman" w:cs="Times New Roman"/>
                      <w:color w:val="auto"/>
                      <w:szCs w:val="21"/>
                    </w:rPr>
                    <w:t>0.</w:t>
                  </w:r>
                  <w:r>
                    <w:rPr>
                      <w:rFonts w:hint="eastAsia" w:ascii="Times New Roman" w:hAnsi="Times New Roman" w:cs="Times New Roman"/>
                      <w:color w:val="auto"/>
                      <w:szCs w:val="21"/>
                    </w:rPr>
                    <w:t>43</w:t>
                  </w:r>
                </w:p>
              </w:tc>
              <w:tc>
                <w:tcPr>
                  <w:tcW w:w="974" w:type="dxa"/>
                  <w:noWrap w:val="0"/>
                  <w:vAlign w:val="center"/>
                </w:tcPr>
                <w:p w14:paraId="673C5F7B">
                  <w:pPr>
                    <w:jc w:val="center"/>
                    <w:rPr>
                      <w:rFonts w:hint="eastAsia"/>
                      <w:color w:val="auto"/>
                      <w:szCs w:val="21"/>
                    </w:rPr>
                  </w:pPr>
                  <w:r>
                    <w:rPr>
                      <w:rFonts w:hint="eastAsia"/>
                      <w:color w:val="auto"/>
                      <w:szCs w:val="21"/>
                    </w:rPr>
                    <w:t>0</w:t>
                  </w:r>
                </w:p>
              </w:tc>
              <w:tc>
                <w:tcPr>
                  <w:tcW w:w="959" w:type="dxa"/>
                  <w:noWrap w:val="0"/>
                  <w:vAlign w:val="center"/>
                </w:tcPr>
                <w:p w14:paraId="187093EB">
                  <w:pPr>
                    <w:jc w:val="center"/>
                    <w:rPr>
                      <w:b/>
                      <w:bCs/>
                      <w:color w:val="auto"/>
                      <w:szCs w:val="21"/>
                    </w:rPr>
                  </w:pPr>
                  <w:r>
                    <w:rPr>
                      <w:color w:val="auto"/>
                      <w:szCs w:val="21"/>
                    </w:rPr>
                    <w:t>达标</w:t>
                  </w:r>
                </w:p>
              </w:tc>
            </w:tr>
            <w:tr w14:paraId="7B746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653" w:type="dxa"/>
                  <w:vMerge w:val="restart"/>
                  <w:noWrap w:val="0"/>
                  <w:vAlign w:val="center"/>
                </w:tcPr>
                <w:p w14:paraId="004301E6">
                  <w:pPr>
                    <w:keepNext w:val="0"/>
                    <w:keepLines w:val="0"/>
                    <w:widowControl/>
                    <w:suppressLineNumbers w:val="0"/>
                    <w:jc w:val="left"/>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马颊</w:t>
                  </w:r>
                </w:p>
                <w:p w14:paraId="4C269D3B">
                  <w:pPr>
                    <w:keepNext w:val="0"/>
                    <w:keepLines w:val="0"/>
                    <w:widowControl/>
                    <w:suppressLineNumbers w:val="0"/>
                    <w:jc w:val="left"/>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河南</w:t>
                  </w:r>
                </w:p>
                <w:p w14:paraId="30B41FE3">
                  <w:pPr>
                    <w:keepNext w:val="0"/>
                    <w:keepLines w:val="0"/>
                    <w:widowControl/>
                    <w:suppressLineNumbers w:val="0"/>
                    <w:jc w:val="left"/>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乐水</w:t>
                  </w:r>
                </w:p>
                <w:p w14:paraId="1EA98452">
                  <w:pPr>
                    <w:keepNext w:val="0"/>
                    <w:keepLines w:val="0"/>
                    <w:widowControl/>
                    <w:suppressLineNumbers w:val="0"/>
                    <w:jc w:val="left"/>
                    <w:rPr>
                      <w:color w:val="auto"/>
                      <w:szCs w:val="21"/>
                    </w:rPr>
                  </w:pPr>
                  <w:r>
                    <w:rPr>
                      <w:rFonts w:hint="eastAsia" w:ascii="Times New Roman" w:hAnsi="Times New Roman" w:eastAsia="宋体" w:cs="Times New Roman"/>
                      <w:color w:val="auto"/>
                      <w:kern w:val="0"/>
                      <w:sz w:val="21"/>
                      <w:szCs w:val="21"/>
                      <w:lang w:val="en-US" w:eastAsia="zh-CN" w:bidi="ar-SA"/>
                    </w:rPr>
                    <w:t>文站</w:t>
                  </w:r>
                </w:p>
              </w:tc>
              <w:tc>
                <w:tcPr>
                  <w:tcW w:w="1522" w:type="dxa"/>
                  <w:noWrap w:val="0"/>
                  <w:vAlign w:val="center"/>
                </w:tcPr>
                <w:p w14:paraId="03701C98">
                  <w:pPr>
                    <w:pStyle w:val="57"/>
                    <w:rPr>
                      <w:rFonts w:ascii="Times New Roman" w:hAnsi="Times New Roman" w:cs="Times New Roman"/>
                      <w:color w:val="auto"/>
                      <w:szCs w:val="21"/>
                    </w:rPr>
                  </w:pPr>
                  <w:r>
                    <w:rPr>
                      <w:rFonts w:ascii="Times New Roman" w:hAnsi="Times New Roman" w:cs="Times New Roman"/>
                      <w:color w:val="auto"/>
                      <w:szCs w:val="21"/>
                    </w:rPr>
                    <w:t>高锰酸盐指数</w:t>
                  </w:r>
                </w:p>
              </w:tc>
              <w:tc>
                <w:tcPr>
                  <w:tcW w:w="1235" w:type="dxa"/>
                  <w:vMerge w:val="restart"/>
                  <w:noWrap w:val="0"/>
                  <w:vAlign w:val="center"/>
                </w:tcPr>
                <w:p w14:paraId="364CCB34">
                  <w:pPr>
                    <w:jc w:val="center"/>
                    <w:rPr>
                      <w:rFonts w:hint="default" w:eastAsia="宋体"/>
                      <w:color w:val="auto"/>
                      <w:szCs w:val="21"/>
                      <w:lang w:val="en-US" w:eastAsia="zh-CN"/>
                    </w:rPr>
                  </w:pPr>
                  <w:r>
                    <w:rPr>
                      <w:rFonts w:hint="eastAsia"/>
                      <w:color w:val="auto"/>
                      <w:szCs w:val="21"/>
                      <w:lang w:val="en-US" w:eastAsia="zh-CN"/>
                    </w:rPr>
                    <w:t>2023年1月</w:t>
                  </w:r>
                </w:p>
              </w:tc>
              <w:tc>
                <w:tcPr>
                  <w:tcW w:w="872" w:type="dxa"/>
                  <w:noWrap w:val="0"/>
                  <w:vAlign w:val="center"/>
                </w:tcPr>
                <w:p w14:paraId="076EA612">
                  <w:pPr>
                    <w:autoSpaceDE w:val="0"/>
                    <w:adjustRightInd w:val="0"/>
                    <w:snapToGrid w:val="0"/>
                    <w:jc w:val="center"/>
                    <w:rPr>
                      <w:rFonts w:hint="default" w:eastAsia="宋体"/>
                      <w:bCs/>
                      <w:color w:val="auto"/>
                      <w:kern w:val="0"/>
                      <w:szCs w:val="21"/>
                      <w:lang w:val="en-US" w:eastAsia="zh-CN"/>
                    </w:rPr>
                  </w:pPr>
                  <w:r>
                    <w:rPr>
                      <w:rFonts w:hint="eastAsia"/>
                      <w:bCs/>
                      <w:color w:val="auto"/>
                      <w:kern w:val="0"/>
                      <w:szCs w:val="21"/>
                      <w:lang w:val="en-US" w:eastAsia="zh-CN"/>
                    </w:rPr>
                    <w:t>4.4</w:t>
                  </w:r>
                </w:p>
              </w:tc>
              <w:tc>
                <w:tcPr>
                  <w:tcW w:w="828" w:type="dxa"/>
                  <w:noWrap w:val="0"/>
                  <w:vAlign w:val="center"/>
                </w:tcPr>
                <w:p w14:paraId="59347B8A">
                  <w:pPr>
                    <w:pStyle w:val="57"/>
                    <w:rPr>
                      <w:rFonts w:ascii="Times New Roman" w:hAnsi="Times New Roman" w:cs="Times New Roman"/>
                      <w:color w:val="auto"/>
                      <w:szCs w:val="21"/>
                    </w:rPr>
                  </w:pPr>
                  <w:r>
                    <w:rPr>
                      <w:rFonts w:ascii="Times New Roman" w:hAnsi="Times New Roman" w:cs="Times New Roman"/>
                      <w:color w:val="auto"/>
                      <w:szCs w:val="21"/>
                    </w:rPr>
                    <w:t>≤10</w:t>
                  </w:r>
                </w:p>
              </w:tc>
              <w:tc>
                <w:tcPr>
                  <w:tcW w:w="974" w:type="dxa"/>
                  <w:noWrap w:val="0"/>
                  <w:vAlign w:val="center"/>
                </w:tcPr>
                <w:p w14:paraId="5E7C3A09">
                  <w:pPr>
                    <w:pStyle w:val="57"/>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0.44</w:t>
                  </w:r>
                </w:p>
              </w:tc>
              <w:tc>
                <w:tcPr>
                  <w:tcW w:w="974" w:type="dxa"/>
                  <w:noWrap w:val="0"/>
                  <w:vAlign w:val="center"/>
                </w:tcPr>
                <w:p w14:paraId="0A7B297A">
                  <w:pPr>
                    <w:jc w:val="center"/>
                    <w:rPr>
                      <w:rFonts w:hint="eastAsia" w:eastAsia="宋体"/>
                      <w:color w:val="auto"/>
                      <w:szCs w:val="21"/>
                      <w:lang w:val="en-US" w:eastAsia="zh-CN"/>
                    </w:rPr>
                  </w:pPr>
                  <w:r>
                    <w:rPr>
                      <w:rFonts w:hint="eastAsia"/>
                      <w:color w:val="auto"/>
                      <w:szCs w:val="21"/>
                      <w:lang w:val="en-US" w:eastAsia="zh-CN"/>
                    </w:rPr>
                    <w:t>0</w:t>
                  </w:r>
                </w:p>
              </w:tc>
              <w:tc>
                <w:tcPr>
                  <w:tcW w:w="959" w:type="dxa"/>
                  <w:noWrap w:val="0"/>
                  <w:vAlign w:val="center"/>
                </w:tcPr>
                <w:p w14:paraId="3B449369">
                  <w:pPr>
                    <w:jc w:val="center"/>
                    <w:rPr>
                      <w:color w:val="auto"/>
                      <w:szCs w:val="21"/>
                    </w:rPr>
                  </w:pPr>
                  <w:r>
                    <w:rPr>
                      <w:color w:val="auto"/>
                      <w:szCs w:val="21"/>
                    </w:rPr>
                    <w:t>达标</w:t>
                  </w:r>
                </w:p>
              </w:tc>
            </w:tr>
            <w:tr w14:paraId="289F9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653" w:type="dxa"/>
                  <w:vMerge w:val="continue"/>
                  <w:noWrap w:val="0"/>
                  <w:vAlign w:val="center"/>
                </w:tcPr>
                <w:p w14:paraId="33C03FC1">
                  <w:pPr>
                    <w:pStyle w:val="52"/>
                    <w:widowControl w:val="0"/>
                    <w:adjustRightInd/>
                    <w:snapToGrid/>
                    <w:ind w:right="0"/>
                    <w:rPr>
                      <w:color w:val="auto"/>
                      <w:szCs w:val="21"/>
                    </w:rPr>
                  </w:pPr>
                </w:p>
              </w:tc>
              <w:tc>
                <w:tcPr>
                  <w:tcW w:w="1522" w:type="dxa"/>
                  <w:noWrap w:val="0"/>
                  <w:vAlign w:val="center"/>
                </w:tcPr>
                <w:p w14:paraId="190E1E48">
                  <w:pPr>
                    <w:pStyle w:val="57"/>
                    <w:rPr>
                      <w:rFonts w:ascii="Times New Roman" w:hAnsi="Times New Roman" w:cs="Times New Roman"/>
                      <w:color w:val="auto"/>
                      <w:szCs w:val="21"/>
                    </w:rPr>
                  </w:pPr>
                  <w:r>
                    <w:rPr>
                      <w:rFonts w:ascii="Times New Roman" w:hAnsi="Times New Roman" w:cs="Times New Roman"/>
                      <w:color w:val="auto"/>
                      <w:position w:val="2"/>
                      <w:szCs w:val="21"/>
                    </w:rPr>
                    <w:t>NH</w:t>
                  </w:r>
                  <w:r>
                    <w:rPr>
                      <w:rFonts w:ascii="Times New Roman" w:hAnsi="Times New Roman" w:cs="Times New Roman"/>
                      <w:color w:val="auto"/>
                      <w:position w:val="2"/>
                      <w:szCs w:val="21"/>
                      <w:vertAlign w:val="subscript"/>
                    </w:rPr>
                    <w:t>3</w:t>
                  </w:r>
                  <w:r>
                    <w:rPr>
                      <w:rFonts w:ascii="Times New Roman" w:hAnsi="Times New Roman" w:cs="Times New Roman"/>
                      <w:color w:val="auto"/>
                      <w:position w:val="2"/>
                      <w:szCs w:val="21"/>
                    </w:rPr>
                    <w:t>-N</w:t>
                  </w:r>
                </w:p>
              </w:tc>
              <w:tc>
                <w:tcPr>
                  <w:tcW w:w="1235" w:type="dxa"/>
                  <w:vMerge w:val="continue"/>
                  <w:noWrap w:val="0"/>
                  <w:vAlign w:val="center"/>
                </w:tcPr>
                <w:p w14:paraId="722F0271">
                  <w:pPr>
                    <w:jc w:val="center"/>
                    <w:rPr>
                      <w:color w:val="auto"/>
                      <w:szCs w:val="21"/>
                    </w:rPr>
                  </w:pPr>
                </w:p>
              </w:tc>
              <w:tc>
                <w:tcPr>
                  <w:tcW w:w="872" w:type="dxa"/>
                  <w:noWrap w:val="0"/>
                  <w:vAlign w:val="center"/>
                </w:tcPr>
                <w:p w14:paraId="03D8B792">
                  <w:pPr>
                    <w:autoSpaceDE w:val="0"/>
                    <w:adjustRightInd w:val="0"/>
                    <w:snapToGrid w:val="0"/>
                    <w:jc w:val="center"/>
                    <w:rPr>
                      <w:rFonts w:hint="default" w:eastAsia="宋体"/>
                      <w:bCs/>
                      <w:color w:val="auto"/>
                      <w:kern w:val="0"/>
                      <w:szCs w:val="21"/>
                      <w:lang w:val="en-US" w:eastAsia="zh-CN"/>
                    </w:rPr>
                  </w:pPr>
                  <w:r>
                    <w:rPr>
                      <w:rFonts w:hint="eastAsia"/>
                      <w:bCs/>
                      <w:color w:val="auto"/>
                      <w:kern w:val="0"/>
                      <w:szCs w:val="21"/>
                      <w:lang w:val="en-US" w:eastAsia="zh-CN"/>
                    </w:rPr>
                    <w:t>0.1</w:t>
                  </w:r>
                </w:p>
              </w:tc>
              <w:tc>
                <w:tcPr>
                  <w:tcW w:w="828" w:type="dxa"/>
                  <w:noWrap w:val="0"/>
                  <w:vAlign w:val="center"/>
                </w:tcPr>
                <w:p w14:paraId="68827635">
                  <w:pPr>
                    <w:pStyle w:val="57"/>
                    <w:rPr>
                      <w:rFonts w:ascii="Times New Roman" w:hAnsi="Times New Roman" w:cs="Times New Roman"/>
                      <w:color w:val="auto"/>
                      <w:szCs w:val="21"/>
                    </w:rPr>
                  </w:pPr>
                  <w:r>
                    <w:rPr>
                      <w:rFonts w:ascii="Times New Roman" w:hAnsi="Times New Roman" w:cs="Times New Roman"/>
                      <w:color w:val="auto"/>
                      <w:szCs w:val="21"/>
                    </w:rPr>
                    <w:t>≤1.5</w:t>
                  </w:r>
                </w:p>
              </w:tc>
              <w:tc>
                <w:tcPr>
                  <w:tcW w:w="974" w:type="dxa"/>
                  <w:noWrap w:val="0"/>
                  <w:vAlign w:val="center"/>
                </w:tcPr>
                <w:p w14:paraId="102B3D24">
                  <w:pPr>
                    <w:pStyle w:val="57"/>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0.067</w:t>
                  </w:r>
                </w:p>
              </w:tc>
              <w:tc>
                <w:tcPr>
                  <w:tcW w:w="974" w:type="dxa"/>
                  <w:noWrap w:val="0"/>
                  <w:vAlign w:val="center"/>
                </w:tcPr>
                <w:p w14:paraId="12BB84D2">
                  <w:pPr>
                    <w:jc w:val="center"/>
                    <w:rPr>
                      <w:rFonts w:hint="eastAsia" w:eastAsia="宋体"/>
                      <w:color w:val="auto"/>
                      <w:szCs w:val="21"/>
                      <w:lang w:val="en-US" w:eastAsia="zh-CN"/>
                    </w:rPr>
                  </w:pPr>
                  <w:r>
                    <w:rPr>
                      <w:rFonts w:hint="eastAsia"/>
                      <w:color w:val="auto"/>
                      <w:szCs w:val="21"/>
                      <w:lang w:val="en-US" w:eastAsia="zh-CN"/>
                    </w:rPr>
                    <w:t>0</w:t>
                  </w:r>
                </w:p>
              </w:tc>
              <w:tc>
                <w:tcPr>
                  <w:tcW w:w="959" w:type="dxa"/>
                  <w:noWrap w:val="0"/>
                  <w:vAlign w:val="center"/>
                </w:tcPr>
                <w:p w14:paraId="132F533F">
                  <w:pPr>
                    <w:jc w:val="center"/>
                    <w:rPr>
                      <w:color w:val="auto"/>
                      <w:szCs w:val="21"/>
                    </w:rPr>
                  </w:pPr>
                  <w:r>
                    <w:rPr>
                      <w:color w:val="auto"/>
                      <w:szCs w:val="21"/>
                    </w:rPr>
                    <w:t>达标</w:t>
                  </w:r>
                </w:p>
              </w:tc>
            </w:tr>
            <w:tr w14:paraId="4AB6D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653" w:type="dxa"/>
                  <w:vMerge w:val="continue"/>
                  <w:noWrap w:val="0"/>
                  <w:vAlign w:val="center"/>
                </w:tcPr>
                <w:p w14:paraId="7C6A92F9">
                  <w:pPr>
                    <w:pStyle w:val="52"/>
                    <w:widowControl w:val="0"/>
                    <w:adjustRightInd/>
                    <w:snapToGrid/>
                    <w:ind w:right="0"/>
                    <w:rPr>
                      <w:color w:val="auto"/>
                      <w:szCs w:val="21"/>
                    </w:rPr>
                  </w:pPr>
                </w:p>
              </w:tc>
              <w:tc>
                <w:tcPr>
                  <w:tcW w:w="1522" w:type="dxa"/>
                  <w:noWrap w:val="0"/>
                  <w:vAlign w:val="center"/>
                </w:tcPr>
                <w:p w14:paraId="7D686719">
                  <w:pPr>
                    <w:pStyle w:val="57"/>
                    <w:rPr>
                      <w:rFonts w:ascii="Times New Roman" w:hAnsi="Times New Roman" w:cs="Times New Roman"/>
                      <w:color w:val="auto"/>
                      <w:szCs w:val="21"/>
                    </w:rPr>
                  </w:pPr>
                  <w:r>
                    <w:rPr>
                      <w:rFonts w:ascii="Times New Roman" w:hAnsi="Times New Roman" w:cs="Times New Roman"/>
                      <w:color w:val="auto"/>
                      <w:szCs w:val="21"/>
                    </w:rPr>
                    <w:t>总磷</w:t>
                  </w:r>
                </w:p>
              </w:tc>
              <w:tc>
                <w:tcPr>
                  <w:tcW w:w="1235" w:type="dxa"/>
                  <w:vMerge w:val="continue"/>
                  <w:noWrap w:val="0"/>
                  <w:vAlign w:val="center"/>
                </w:tcPr>
                <w:p w14:paraId="582B6596">
                  <w:pPr>
                    <w:jc w:val="center"/>
                    <w:rPr>
                      <w:color w:val="auto"/>
                      <w:szCs w:val="21"/>
                    </w:rPr>
                  </w:pPr>
                </w:p>
              </w:tc>
              <w:tc>
                <w:tcPr>
                  <w:tcW w:w="872" w:type="dxa"/>
                  <w:noWrap w:val="0"/>
                  <w:vAlign w:val="center"/>
                </w:tcPr>
                <w:p w14:paraId="4E2793ED">
                  <w:pPr>
                    <w:autoSpaceDE w:val="0"/>
                    <w:adjustRightInd w:val="0"/>
                    <w:snapToGrid w:val="0"/>
                    <w:jc w:val="center"/>
                    <w:rPr>
                      <w:rFonts w:hint="default" w:eastAsia="宋体"/>
                      <w:bCs/>
                      <w:color w:val="auto"/>
                      <w:kern w:val="0"/>
                      <w:szCs w:val="21"/>
                      <w:lang w:val="en-US" w:eastAsia="zh-CN"/>
                    </w:rPr>
                  </w:pPr>
                  <w:r>
                    <w:rPr>
                      <w:rFonts w:hint="eastAsia"/>
                      <w:bCs/>
                      <w:color w:val="auto"/>
                      <w:kern w:val="0"/>
                      <w:szCs w:val="21"/>
                      <w:lang w:val="en-US" w:eastAsia="zh-CN"/>
                    </w:rPr>
                    <w:t>0.051</w:t>
                  </w:r>
                </w:p>
              </w:tc>
              <w:tc>
                <w:tcPr>
                  <w:tcW w:w="828" w:type="dxa"/>
                  <w:noWrap w:val="0"/>
                  <w:vAlign w:val="center"/>
                </w:tcPr>
                <w:p w14:paraId="6AF3B0FF">
                  <w:pPr>
                    <w:pStyle w:val="57"/>
                    <w:rPr>
                      <w:rFonts w:ascii="Times New Roman" w:hAnsi="Times New Roman" w:cs="Times New Roman"/>
                      <w:color w:val="auto"/>
                      <w:szCs w:val="21"/>
                    </w:rPr>
                  </w:pPr>
                  <w:r>
                    <w:rPr>
                      <w:rFonts w:ascii="Times New Roman" w:hAnsi="Times New Roman" w:cs="Times New Roman"/>
                      <w:color w:val="auto"/>
                      <w:szCs w:val="21"/>
                    </w:rPr>
                    <w:t>≤0.3</w:t>
                  </w:r>
                </w:p>
              </w:tc>
              <w:tc>
                <w:tcPr>
                  <w:tcW w:w="974" w:type="dxa"/>
                  <w:noWrap w:val="0"/>
                  <w:vAlign w:val="center"/>
                </w:tcPr>
                <w:p w14:paraId="70DD08EC">
                  <w:pPr>
                    <w:pStyle w:val="57"/>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0.17</w:t>
                  </w:r>
                </w:p>
              </w:tc>
              <w:tc>
                <w:tcPr>
                  <w:tcW w:w="974" w:type="dxa"/>
                  <w:noWrap w:val="0"/>
                  <w:vAlign w:val="center"/>
                </w:tcPr>
                <w:p w14:paraId="733C3E47">
                  <w:pPr>
                    <w:jc w:val="center"/>
                    <w:rPr>
                      <w:rFonts w:hint="eastAsia" w:eastAsia="宋体"/>
                      <w:color w:val="auto"/>
                      <w:szCs w:val="21"/>
                      <w:lang w:val="en-US" w:eastAsia="zh-CN"/>
                    </w:rPr>
                  </w:pPr>
                  <w:r>
                    <w:rPr>
                      <w:rFonts w:hint="eastAsia"/>
                      <w:color w:val="auto"/>
                      <w:szCs w:val="21"/>
                      <w:lang w:val="en-US" w:eastAsia="zh-CN"/>
                    </w:rPr>
                    <w:t>0</w:t>
                  </w:r>
                </w:p>
              </w:tc>
              <w:tc>
                <w:tcPr>
                  <w:tcW w:w="959" w:type="dxa"/>
                  <w:noWrap w:val="0"/>
                  <w:vAlign w:val="center"/>
                </w:tcPr>
                <w:p w14:paraId="4997D6CE">
                  <w:pPr>
                    <w:jc w:val="center"/>
                    <w:rPr>
                      <w:color w:val="auto"/>
                      <w:szCs w:val="21"/>
                    </w:rPr>
                  </w:pPr>
                  <w:r>
                    <w:rPr>
                      <w:color w:val="auto"/>
                      <w:szCs w:val="21"/>
                    </w:rPr>
                    <w:t>达标</w:t>
                  </w:r>
                </w:p>
              </w:tc>
            </w:tr>
            <w:tr w14:paraId="08A38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653" w:type="dxa"/>
                  <w:vMerge w:val="continue"/>
                  <w:noWrap w:val="0"/>
                  <w:vAlign w:val="center"/>
                </w:tcPr>
                <w:p w14:paraId="652C4E85">
                  <w:pPr>
                    <w:pStyle w:val="52"/>
                    <w:widowControl w:val="0"/>
                    <w:adjustRightInd/>
                    <w:snapToGrid/>
                    <w:ind w:right="0"/>
                    <w:rPr>
                      <w:color w:val="auto"/>
                      <w:szCs w:val="21"/>
                    </w:rPr>
                  </w:pPr>
                </w:p>
              </w:tc>
              <w:tc>
                <w:tcPr>
                  <w:tcW w:w="1522" w:type="dxa"/>
                  <w:noWrap w:val="0"/>
                  <w:vAlign w:val="center"/>
                </w:tcPr>
                <w:p w14:paraId="49D8AA56">
                  <w:pPr>
                    <w:pStyle w:val="57"/>
                    <w:rPr>
                      <w:rFonts w:ascii="Times New Roman" w:hAnsi="Times New Roman" w:cs="Times New Roman"/>
                      <w:color w:val="auto"/>
                      <w:szCs w:val="21"/>
                    </w:rPr>
                  </w:pPr>
                  <w:r>
                    <w:rPr>
                      <w:rFonts w:ascii="Times New Roman" w:hAnsi="Times New Roman" w:cs="Times New Roman"/>
                      <w:color w:val="auto"/>
                      <w:szCs w:val="21"/>
                    </w:rPr>
                    <w:t>高锰酸盐指数</w:t>
                  </w:r>
                </w:p>
              </w:tc>
              <w:tc>
                <w:tcPr>
                  <w:tcW w:w="1235" w:type="dxa"/>
                  <w:vMerge w:val="restart"/>
                  <w:noWrap w:val="0"/>
                  <w:vAlign w:val="center"/>
                </w:tcPr>
                <w:p w14:paraId="43F32685">
                  <w:pPr>
                    <w:jc w:val="center"/>
                    <w:rPr>
                      <w:color w:val="auto"/>
                      <w:szCs w:val="21"/>
                    </w:rPr>
                  </w:pPr>
                  <w:r>
                    <w:rPr>
                      <w:rFonts w:hint="eastAsia"/>
                      <w:color w:val="auto"/>
                      <w:szCs w:val="21"/>
                      <w:lang w:val="en-US" w:eastAsia="zh-CN"/>
                    </w:rPr>
                    <w:t>2023年2月</w:t>
                  </w:r>
                </w:p>
              </w:tc>
              <w:tc>
                <w:tcPr>
                  <w:tcW w:w="872" w:type="dxa"/>
                  <w:noWrap w:val="0"/>
                  <w:vAlign w:val="center"/>
                </w:tcPr>
                <w:p w14:paraId="1AAE910A">
                  <w:pPr>
                    <w:autoSpaceDE w:val="0"/>
                    <w:adjustRightInd w:val="0"/>
                    <w:snapToGrid w:val="0"/>
                    <w:jc w:val="center"/>
                    <w:rPr>
                      <w:rFonts w:hint="default"/>
                      <w:bCs/>
                      <w:color w:val="auto"/>
                      <w:kern w:val="0"/>
                      <w:szCs w:val="21"/>
                      <w:lang w:val="en-US" w:eastAsia="zh-CN"/>
                    </w:rPr>
                  </w:pPr>
                  <w:r>
                    <w:rPr>
                      <w:rFonts w:hint="eastAsia"/>
                      <w:bCs/>
                      <w:color w:val="auto"/>
                      <w:kern w:val="0"/>
                      <w:szCs w:val="21"/>
                      <w:lang w:val="en-US" w:eastAsia="zh-CN"/>
                    </w:rPr>
                    <w:t>5</w:t>
                  </w:r>
                </w:p>
              </w:tc>
              <w:tc>
                <w:tcPr>
                  <w:tcW w:w="828" w:type="dxa"/>
                  <w:noWrap w:val="0"/>
                  <w:vAlign w:val="center"/>
                </w:tcPr>
                <w:p w14:paraId="1DFC3933">
                  <w:pPr>
                    <w:pStyle w:val="57"/>
                    <w:rPr>
                      <w:rFonts w:ascii="Times New Roman" w:hAnsi="Times New Roman" w:cs="Times New Roman"/>
                      <w:color w:val="auto"/>
                      <w:szCs w:val="21"/>
                    </w:rPr>
                  </w:pPr>
                  <w:r>
                    <w:rPr>
                      <w:rFonts w:ascii="Times New Roman" w:hAnsi="Times New Roman" w:cs="Times New Roman"/>
                      <w:color w:val="auto"/>
                      <w:szCs w:val="21"/>
                    </w:rPr>
                    <w:t>≤10</w:t>
                  </w:r>
                </w:p>
              </w:tc>
              <w:tc>
                <w:tcPr>
                  <w:tcW w:w="974" w:type="dxa"/>
                  <w:noWrap w:val="0"/>
                  <w:vAlign w:val="center"/>
                </w:tcPr>
                <w:p w14:paraId="19B487A8">
                  <w:pPr>
                    <w:pStyle w:val="57"/>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0.5</w:t>
                  </w:r>
                </w:p>
              </w:tc>
              <w:tc>
                <w:tcPr>
                  <w:tcW w:w="974" w:type="dxa"/>
                  <w:noWrap w:val="0"/>
                  <w:vAlign w:val="center"/>
                </w:tcPr>
                <w:p w14:paraId="737EBC0D">
                  <w:pPr>
                    <w:jc w:val="center"/>
                    <w:rPr>
                      <w:rFonts w:hint="eastAsia" w:eastAsia="宋体"/>
                      <w:color w:val="auto"/>
                      <w:szCs w:val="21"/>
                      <w:lang w:val="en-US" w:eastAsia="zh-CN"/>
                    </w:rPr>
                  </w:pPr>
                  <w:r>
                    <w:rPr>
                      <w:rFonts w:hint="eastAsia"/>
                      <w:color w:val="auto"/>
                      <w:szCs w:val="21"/>
                      <w:lang w:val="en-US" w:eastAsia="zh-CN"/>
                    </w:rPr>
                    <w:t>0</w:t>
                  </w:r>
                </w:p>
              </w:tc>
              <w:tc>
                <w:tcPr>
                  <w:tcW w:w="959" w:type="dxa"/>
                  <w:noWrap w:val="0"/>
                  <w:vAlign w:val="center"/>
                </w:tcPr>
                <w:p w14:paraId="5D45EFA0">
                  <w:pPr>
                    <w:jc w:val="center"/>
                    <w:rPr>
                      <w:color w:val="auto"/>
                      <w:szCs w:val="21"/>
                    </w:rPr>
                  </w:pPr>
                  <w:r>
                    <w:rPr>
                      <w:color w:val="auto"/>
                      <w:szCs w:val="21"/>
                    </w:rPr>
                    <w:t>达标</w:t>
                  </w:r>
                </w:p>
              </w:tc>
            </w:tr>
            <w:tr w14:paraId="4486C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653" w:type="dxa"/>
                  <w:vMerge w:val="continue"/>
                  <w:noWrap w:val="0"/>
                  <w:vAlign w:val="center"/>
                </w:tcPr>
                <w:p w14:paraId="76F1B8A4">
                  <w:pPr>
                    <w:pStyle w:val="52"/>
                    <w:widowControl w:val="0"/>
                    <w:adjustRightInd/>
                    <w:snapToGrid/>
                    <w:ind w:right="0"/>
                    <w:rPr>
                      <w:color w:val="auto"/>
                      <w:szCs w:val="21"/>
                    </w:rPr>
                  </w:pPr>
                </w:p>
              </w:tc>
              <w:tc>
                <w:tcPr>
                  <w:tcW w:w="1522" w:type="dxa"/>
                  <w:noWrap w:val="0"/>
                  <w:vAlign w:val="center"/>
                </w:tcPr>
                <w:p w14:paraId="146AB830">
                  <w:pPr>
                    <w:pStyle w:val="57"/>
                    <w:rPr>
                      <w:rFonts w:ascii="Times New Roman" w:hAnsi="Times New Roman" w:cs="Times New Roman"/>
                      <w:color w:val="auto"/>
                      <w:szCs w:val="21"/>
                    </w:rPr>
                  </w:pPr>
                  <w:r>
                    <w:rPr>
                      <w:rFonts w:ascii="Times New Roman" w:hAnsi="Times New Roman" w:cs="Times New Roman"/>
                      <w:color w:val="auto"/>
                      <w:position w:val="2"/>
                      <w:szCs w:val="21"/>
                    </w:rPr>
                    <w:t>NH</w:t>
                  </w:r>
                  <w:r>
                    <w:rPr>
                      <w:rFonts w:ascii="Times New Roman" w:hAnsi="Times New Roman" w:cs="Times New Roman"/>
                      <w:color w:val="auto"/>
                      <w:position w:val="2"/>
                      <w:szCs w:val="21"/>
                      <w:vertAlign w:val="subscript"/>
                    </w:rPr>
                    <w:t>3</w:t>
                  </w:r>
                  <w:r>
                    <w:rPr>
                      <w:rFonts w:ascii="Times New Roman" w:hAnsi="Times New Roman" w:cs="Times New Roman"/>
                      <w:color w:val="auto"/>
                      <w:position w:val="2"/>
                      <w:szCs w:val="21"/>
                    </w:rPr>
                    <w:t>-N</w:t>
                  </w:r>
                </w:p>
              </w:tc>
              <w:tc>
                <w:tcPr>
                  <w:tcW w:w="1235" w:type="dxa"/>
                  <w:vMerge w:val="continue"/>
                  <w:noWrap w:val="0"/>
                  <w:vAlign w:val="center"/>
                </w:tcPr>
                <w:p w14:paraId="2073615A">
                  <w:pPr>
                    <w:jc w:val="center"/>
                    <w:rPr>
                      <w:color w:val="auto"/>
                      <w:szCs w:val="21"/>
                    </w:rPr>
                  </w:pPr>
                </w:p>
              </w:tc>
              <w:tc>
                <w:tcPr>
                  <w:tcW w:w="872" w:type="dxa"/>
                  <w:noWrap w:val="0"/>
                  <w:vAlign w:val="center"/>
                </w:tcPr>
                <w:p w14:paraId="0B00C74C">
                  <w:pPr>
                    <w:autoSpaceDE w:val="0"/>
                    <w:adjustRightInd w:val="0"/>
                    <w:snapToGrid w:val="0"/>
                    <w:jc w:val="center"/>
                    <w:rPr>
                      <w:rFonts w:hint="default"/>
                      <w:bCs/>
                      <w:color w:val="auto"/>
                      <w:kern w:val="0"/>
                      <w:szCs w:val="21"/>
                      <w:lang w:val="en-US" w:eastAsia="zh-CN"/>
                    </w:rPr>
                  </w:pPr>
                  <w:r>
                    <w:rPr>
                      <w:rFonts w:hint="eastAsia"/>
                      <w:bCs/>
                      <w:color w:val="auto"/>
                      <w:kern w:val="0"/>
                      <w:szCs w:val="21"/>
                      <w:lang w:val="en-US" w:eastAsia="zh-CN"/>
                    </w:rPr>
                    <w:t>0.15</w:t>
                  </w:r>
                </w:p>
              </w:tc>
              <w:tc>
                <w:tcPr>
                  <w:tcW w:w="828" w:type="dxa"/>
                  <w:noWrap w:val="0"/>
                  <w:vAlign w:val="center"/>
                </w:tcPr>
                <w:p w14:paraId="0909A366">
                  <w:pPr>
                    <w:pStyle w:val="57"/>
                    <w:rPr>
                      <w:rFonts w:ascii="Times New Roman" w:hAnsi="Times New Roman" w:cs="Times New Roman"/>
                      <w:color w:val="auto"/>
                      <w:szCs w:val="21"/>
                    </w:rPr>
                  </w:pPr>
                  <w:r>
                    <w:rPr>
                      <w:rFonts w:ascii="Times New Roman" w:hAnsi="Times New Roman" w:cs="Times New Roman"/>
                      <w:color w:val="auto"/>
                      <w:szCs w:val="21"/>
                    </w:rPr>
                    <w:t>≤1.5</w:t>
                  </w:r>
                </w:p>
              </w:tc>
              <w:tc>
                <w:tcPr>
                  <w:tcW w:w="974" w:type="dxa"/>
                  <w:noWrap w:val="0"/>
                  <w:vAlign w:val="center"/>
                </w:tcPr>
                <w:p w14:paraId="7AF02BC1">
                  <w:pPr>
                    <w:pStyle w:val="57"/>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0.1</w:t>
                  </w:r>
                </w:p>
              </w:tc>
              <w:tc>
                <w:tcPr>
                  <w:tcW w:w="974" w:type="dxa"/>
                  <w:noWrap w:val="0"/>
                  <w:vAlign w:val="center"/>
                </w:tcPr>
                <w:p w14:paraId="75DC5931">
                  <w:pPr>
                    <w:jc w:val="center"/>
                    <w:rPr>
                      <w:rFonts w:hint="eastAsia" w:eastAsia="宋体"/>
                      <w:color w:val="auto"/>
                      <w:szCs w:val="21"/>
                      <w:lang w:val="en-US" w:eastAsia="zh-CN"/>
                    </w:rPr>
                  </w:pPr>
                  <w:r>
                    <w:rPr>
                      <w:rFonts w:hint="eastAsia"/>
                      <w:color w:val="auto"/>
                      <w:szCs w:val="21"/>
                      <w:lang w:val="en-US" w:eastAsia="zh-CN"/>
                    </w:rPr>
                    <w:t>0</w:t>
                  </w:r>
                </w:p>
              </w:tc>
              <w:tc>
                <w:tcPr>
                  <w:tcW w:w="959" w:type="dxa"/>
                  <w:noWrap w:val="0"/>
                  <w:vAlign w:val="center"/>
                </w:tcPr>
                <w:p w14:paraId="770C7D05">
                  <w:pPr>
                    <w:jc w:val="center"/>
                    <w:rPr>
                      <w:color w:val="auto"/>
                      <w:szCs w:val="21"/>
                    </w:rPr>
                  </w:pPr>
                  <w:r>
                    <w:rPr>
                      <w:color w:val="auto"/>
                      <w:szCs w:val="21"/>
                    </w:rPr>
                    <w:t>达标</w:t>
                  </w:r>
                </w:p>
              </w:tc>
            </w:tr>
            <w:tr w14:paraId="2BECD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653" w:type="dxa"/>
                  <w:vMerge w:val="continue"/>
                  <w:noWrap w:val="0"/>
                  <w:vAlign w:val="center"/>
                </w:tcPr>
                <w:p w14:paraId="67B77C2D">
                  <w:pPr>
                    <w:pStyle w:val="52"/>
                    <w:widowControl w:val="0"/>
                    <w:adjustRightInd/>
                    <w:snapToGrid/>
                    <w:ind w:right="0"/>
                    <w:rPr>
                      <w:color w:val="auto"/>
                      <w:szCs w:val="21"/>
                    </w:rPr>
                  </w:pPr>
                </w:p>
              </w:tc>
              <w:tc>
                <w:tcPr>
                  <w:tcW w:w="1522" w:type="dxa"/>
                  <w:noWrap w:val="0"/>
                  <w:vAlign w:val="center"/>
                </w:tcPr>
                <w:p w14:paraId="621EF303">
                  <w:pPr>
                    <w:pStyle w:val="57"/>
                    <w:rPr>
                      <w:rFonts w:ascii="Times New Roman" w:hAnsi="Times New Roman" w:cs="Times New Roman"/>
                      <w:color w:val="auto"/>
                      <w:szCs w:val="21"/>
                    </w:rPr>
                  </w:pPr>
                  <w:r>
                    <w:rPr>
                      <w:rFonts w:ascii="Times New Roman" w:hAnsi="Times New Roman" w:cs="Times New Roman"/>
                      <w:color w:val="auto"/>
                      <w:szCs w:val="21"/>
                    </w:rPr>
                    <w:t>总磷</w:t>
                  </w:r>
                </w:p>
              </w:tc>
              <w:tc>
                <w:tcPr>
                  <w:tcW w:w="1235" w:type="dxa"/>
                  <w:vMerge w:val="continue"/>
                  <w:noWrap w:val="0"/>
                  <w:vAlign w:val="center"/>
                </w:tcPr>
                <w:p w14:paraId="09B84C1F">
                  <w:pPr>
                    <w:jc w:val="center"/>
                    <w:rPr>
                      <w:color w:val="auto"/>
                      <w:szCs w:val="21"/>
                    </w:rPr>
                  </w:pPr>
                </w:p>
              </w:tc>
              <w:tc>
                <w:tcPr>
                  <w:tcW w:w="872" w:type="dxa"/>
                  <w:noWrap w:val="0"/>
                  <w:vAlign w:val="center"/>
                </w:tcPr>
                <w:p w14:paraId="6F408D8A">
                  <w:pPr>
                    <w:autoSpaceDE w:val="0"/>
                    <w:adjustRightInd w:val="0"/>
                    <w:snapToGrid w:val="0"/>
                    <w:jc w:val="center"/>
                    <w:rPr>
                      <w:rFonts w:hint="default"/>
                      <w:bCs/>
                      <w:color w:val="auto"/>
                      <w:kern w:val="0"/>
                      <w:szCs w:val="21"/>
                      <w:lang w:val="en-US" w:eastAsia="zh-CN"/>
                    </w:rPr>
                  </w:pPr>
                  <w:r>
                    <w:rPr>
                      <w:rFonts w:hint="eastAsia"/>
                      <w:bCs/>
                      <w:color w:val="auto"/>
                      <w:kern w:val="0"/>
                      <w:szCs w:val="21"/>
                      <w:lang w:val="en-US" w:eastAsia="zh-CN"/>
                    </w:rPr>
                    <w:t>0.078</w:t>
                  </w:r>
                </w:p>
              </w:tc>
              <w:tc>
                <w:tcPr>
                  <w:tcW w:w="828" w:type="dxa"/>
                  <w:noWrap w:val="0"/>
                  <w:vAlign w:val="center"/>
                </w:tcPr>
                <w:p w14:paraId="04E92C30">
                  <w:pPr>
                    <w:pStyle w:val="57"/>
                    <w:rPr>
                      <w:rFonts w:ascii="Times New Roman" w:hAnsi="Times New Roman" w:cs="Times New Roman"/>
                      <w:color w:val="auto"/>
                      <w:szCs w:val="21"/>
                    </w:rPr>
                  </w:pPr>
                  <w:r>
                    <w:rPr>
                      <w:rFonts w:ascii="Times New Roman" w:hAnsi="Times New Roman" w:cs="Times New Roman"/>
                      <w:color w:val="auto"/>
                      <w:szCs w:val="21"/>
                    </w:rPr>
                    <w:t>≤0.3</w:t>
                  </w:r>
                </w:p>
              </w:tc>
              <w:tc>
                <w:tcPr>
                  <w:tcW w:w="974" w:type="dxa"/>
                  <w:noWrap w:val="0"/>
                  <w:vAlign w:val="center"/>
                </w:tcPr>
                <w:p w14:paraId="6027F275">
                  <w:pPr>
                    <w:pStyle w:val="57"/>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0.26</w:t>
                  </w:r>
                </w:p>
              </w:tc>
              <w:tc>
                <w:tcPr>
                  <w:tcW w:w="974" w:type="dxa"/>
                  <w:noWrap w:val="0"/>
                  <w:vAlign w:val="center"/>
                </w:tcPr>
                <w:p w14:paraId="574DF9FA">
                  <w:pPr>
                    <w:jc w:val="center"/>
                    <w:rPr>
                      <w:rFonts w:hint="eastAsia" w:eastAsia="宋体"/>
                      <w:color w:val="auto"/>
                      <w:szCs w:val="21"/>
                      <w:lang w:val="en-US" w:eastAsia="zh-CN"/>
                    </w:rPr>
                  </w:pPr>
                  <w:r>
                    <w:rPr>
                      <w:rFonts w:hint="eastAsia"/>
                      <w:color w:val="auto"/>
                      <w:szCs w:val="21"/>
                      <w:lang w:val="en-US" w:eastAsia="zh-CN"/>
                    </w:rPr>
                    <w:t>0</w:t>
                  </w:r>
                </w:p>
              </w:tc>
              <w:tc>
                <w:tcPr>
                  <w:tcW w:w="959" w:type="dxa"/>
                  <w:noWrap w:val="0"/>
                  <w:vAlign w:val="center"/>
                </w:tcPr>
                <w:p w14:paraId="0BD01184">
                  <w:pPr>
                    <w:jc w:val="center"/>
                    <w:rPr>
                      <w:color w:val="auto"/>
                      <w:szCs w:val="21"/>
                    </w:rPr>
                  </w:pPr>
                  <w:r>
                    <w:rPr>
                      <w:color w:val="auto"/>
                      <w:szCs w:val="21"/>
                    </w:rPr>
                    <w:t>达标</w:t>
                  </w:r>
                </w:p>
              </w:tc>
            </w:tr>
            <w:tr w14:paraId="7995B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653" w:type="dxa"/>
                  <w:vMerge w:val="continue"/>
                  <w:noWrap w:val="0"/>
                  <w:vAlign w:val="center"/>
                </w:tcPr>
                <w:p w14:paraId="215E598A">
                  <w:pPr>
                    <w:pStyle w:val="52"/>
                    <w:widowControl w:val="0"/>
                    <w:adjustRightInd/>
                    <w:snapToGrid/>
                    <w:ind w:right="0"/>
                    <w:rPr>
                      <w:color w:val="auto"/>
                      <w:szCs w:val="21"/>
                    </w:rPr>
                  </w:pPr>
                </w:p>
              </w:tc>
              <w:tc>
                <w:tcPr>
                  <w:tcW w:w="1522" w:type="dxa"/>
                  <w:noWrap w:val="0"/>
                  <w:vAlign w:val="center"/>
                </w:tcPr>
                <w:p w14:paraId="5578ECCF">
                  <w:pPr>
                    <w:pStyle w:val="57"/>
                    <w:rPr>
                      <w:rFonts w:ascii="Times New Roman" w:hAnsi="Times New Roman" w:cs="Times New Roman"/>
                      <w:color w:val="auto"/>
                      <w:szCs w:val="21"/>
                    </w:rPr>
                  </w:pPr>
                  <w:r>
                    <w:rPr>
                      <w:rFonts w:ascii="Times New Roman" w:hAnsi="Times New Roman" w:cs="Times New Roman"/>
                      <w:color w:val="auto"/>
                      <w:szCs w:val="21"/>
                    </w:rPr>
                    <w:t>高锰酸盐指数</w:t>
                  </w:r>
                </w:p>
              </w:tc>
              <w:tc>
                <w:tcPr>
                  <w:tcW w:w="1235" w:type="dxa"/>
                  <w:vMerge w:val="restart"/>
                  <w:noWrap w:val="0"/>
                  <w:vAlign w:val="center"/>
                </w:tcPr>
                <w:p w14:paraId="738C252E">
                  <w:pPr>
                    <w:jc w:val="center"/>
                    <w:rPr>
                      <w:color w:val="auto"/>
                      <w:szCs w:val="21"/>
                    </w:rPr>
                  </w:pPr>
                  <w:r>
                    <w:rPr>
                      <w:rFonts w:hint="eastAsia"/>
                      <w:color w:val="auto"/>
                      <w:szCs w:val="21"/>
                      <w:lang w:val="en-US" w:eastAsia="zh-CN"/>
                    </w:rPr>
                    <w:t>2023年3月</w:t>
                  </w:r>
                </w:p>
              </w:tc>
              <w:tc>
                <w:tcPr>
                  <w:tcW w:w="872" w:type="dxa"/>
                  <w:noWrap w:val="0"/>
                  <w:vAlign w:val="center"/>
                </w:tcPr>
                <w:p w14:paraId="2508275A">
                  <w:pPr>
                    <w:autoSpaceDE w:val="0"/>
                    <w:adjustRightInd w:val="0"/>
                    <w:snapToGrid w:val="0"/>
                    <w:jc w:val="center"/>
                    <w:rPr>
                      <w:rFonts w:hint="default"/>
                      <w:bCs/>
                      <w:color w:val="auto"/>
                      <w:kern w:val="0"/>
                      <w:szCs w:val="21"/>
                      <w:lang w:val="en-US" w:eastAsia="zh-CN"/>
                    </w:rPr>
                  </w:pPr>
                  <w:r>
                    <w:rPr>
                      <w:rFonts w:hint="eastAsia"/>
                      <w:bCs/>
                      <w:color w:val="auto"/>
                      <w:kern w:val="0"/>
                      <w:szCs w:val="21"/>
                      <w:lang w:val="en-US" w:eastAsia="zh-CN"/>
                    </w:rPr>
                    <w:t>5.9</w:t>
                  </w:r>
                </w:p>
              </w:tc>
              <w:tc>
                <w:tcPr>
                  <w:tcW w:w="828" w:type="dxa"/>
                  <w:noWrap w:val="0"/>
                  <w:vAlign w:val="center"/>
                </w:tcPr>
                <w:p w14:paraId="56C48515">
                  <w:pPr>
                    <w:pStyle w:val="57"/>
                    <w:rPr>
                      <w:rFonts w:ascii="Times New Roman" w:hAnsi="Times New Roman" w:cs="Times New Roman"/>
                      <w:color w:val="auto"/>
                      <w:szCs w:val="21"/>
                    </w:rPr>
                  </w:pPr>
                  <w:r>
                    <w:rPr>
                      <w:rFonts w:ascii="Times New Roman" w:hAnsi="Times New Roman" w:cs="Times New Roman"/>
                      <w:color w:val="auto"/>
                      <w:szCs w:val="21"/>
                    </w:rPr>
                    <w:t>≤10</w:t>
                  </w:r>
                </w:p>
              </w:tc>
              <w:tc>
                <w:tcPr>
                  <w:tcW w:w="974" w:type="dxa"/>
                  <w:noWrap w:val="0"/>
                  <w:vAlign w:val="center"/>
                </w:tcPr>
                <w:p w14:paraId="2A57A32F">
                  <w:pPr>
                    <w:pStyle w:val="57"/>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0.59</w:t>
                  </w:r>
                </w:p>
              </w:tc>
              <w:tc>
                <w:tcPr>
                  <w:tcW w:w="974" w:type="dxa"/>
                  <w:noWrap w:val="0"/>
                  <w:vAlign w:val="center"/>
                </w:tcPr>
                <w:p w14:paraId="7F8D0F98">
                  <w:pPr>
                    <w:jc w:val="center"/>
                    <w:rPr>
                      <w:rFonts w:hint="eastAsia" w:eastAsia="宋体"/>
                      <w:color w:val="auto"/>
                      <w:szCs w:val="21"/>
                      <w:lang w:val="en-US" w:eastAsia="zh-CN"/>
                    </w:rPr>
                  </w:pPr>
                  <w:r>
                    <w:rPr>
                      <w:rFonts w:hint="eastAsia"/>
                      <w:color w:val="auto"/>
                      <w:szCs w:val="21"/>
                      <w:lang w:val="en-US" w:eastAsia="zh-CN"/>
                    </w:rPr>
                    <w:t>0</w:t>
                  </w:r>
                </w:p>
              </w:tc>
              <w:tc>
                <w:tcPr>
                  <w:tcW w:w="959" w:type="dxa"/>
                  <w:noWrap w:val="0"/>
                  <w:vAlign w:val="center"/>
                </w:tcPr>
                <w:p w14:paraId="2840CCD8">
                  <w:pPr>
                    <w:jc w:val="center"/>
                    <w:rPr>
                      <w:color w:val="auto"/>
                      <w:szCs w:val="21"/>
                    </w:rPr>
                  </w:pPr>
                  <w:r>
                    <w:rPr>
                      <w:color w:val="auto"/>
                      <w:szCs w:val="21"/>
                    </w:rPr>
                    <w:t>达标</w:t>
                  </w:r>
                </w:p>
              </w:tc>
            </w:tr>
            <w:tr w14:paraId="01B23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653" w:type="dxa"/>
                  <w:vMerge w:val="continue"/>
                  <w:noWrap w:val="0"/>
                  <w:vAlign w:val="center"/>
                </w:tcPr>
                <w:p w14:paraId="7FAE1656">
                  <w:pPr>
                    <w:pStyle w:val="52"/>
                    <w:widowControl w:val="0"/>
                    <w:adjustRightInd/>
                    <w:snapToGrid/>
                    <w:ind w:right="0"/>
                    <w:rPr>
                      <w:color w:val="auto"/>
                      <w:szCs w:val="21"/>
                    </w:rPr>
                  </w:pPr>
                </w:p>
              </w:tc>
              <w:tc>
                <w:tcPr>
                  <w:tcW w:w="1522" w:type="dxa"/>
                  <w:noWrap w:val="0"/>
                  <w:vAlign w:val="center"/>
                </w:tcPr>
                <w:p w14:paraId="14DCBC8A">
                  <w:pPr>
                    <w:pStyle w:val="57"/>
                    <w:rPr>
                      <w:rFonts w:ascii="Times New Roman" w:hAnsi="Times New Roman" w:cs="Times New Roman"/>
                      <w:color w:val="auto"/>
                      <w:szCs w:val="21"/>
                    </w:rPr>
                  </w:pPr>
                  <w:r>
                    <w:rPr>
                      <w:rFonts w:ascii="Times New Roman" w:hAnsi="Times New Roman" w:cs="Times New Roman"/>
                      <w:color w:val="auto"/>
                      <w:position w:val="2"/>
                      <w:szCs w:val="21"/>
                    </w:rPr>
                    <w:t>NH</w:t>
                  </w:r>
                  <w:r>
                    <w:rPr>
                      <w:rFonts w:ascii="Times New Roman" w:hAnsi="Times New Roman" w:cs="Times New Roman"/>
                      <w:color w:val="auto"/>
                      <w:position w:val="2"/>
                      <w:szCs w:val="21"/>
                      <w:vertAlign w:val="subscript"/>
                    </w:rPr>
                    <w:t>3</w:t>
                  </w:r>
                  <w:r>
                    <w:rPr>
                      <w:rFonts w:ascii="Times New Roman" w:hAnsi="Times New Roman" w:cs="Times New Roman"/>
                      <w:color w:val="auto"/>
                      <w:position w:val="2"/>
                      <w:szCs w:val="21"/>
                    </w:rPr>
                    <w:t>-N</w:t>
                  </w:r>
                </w:p>
              </w:tc>
              <w:tc>
                <w:tcPr>
                  <w:tcW w:w="1235" w:type="dxa"/>
                  <w:vMerge w:val="continue"/>
                  <w:noWrap w:val="0"/>
                  <w:vAlign w:val="center"/>
                </w:tcPr>
                <w:p w14:paraId="2BB69468">
                  <w:pPr>
                    <w:jc w:val="center"/>
                    <w:rPr>
                      <w:color w:val="auto"/>
                      <w:szCs w:val="21"/>
                    </w:rPr>
                  </w:pPr>
                </w:p>
              </w:tc>
              <w:tc>
                <w:tcPr>
                  <w:tcW w:w="872" w:type="dxa"/>
                  <w:noWrap w:val="0"/>
                  <w:vAlign w:val="center"/>
                </w:tcPr>
                <w:p w14:paraId="4FD39AF3">
                  <w:pPr>
                    <w:autoSpaceDE w:val="0"/>
                    <w:adjustRightInd w:val="0"/>
                    <w:snapToGrid w:val="0"/>
                    <w:jc w:val="center"/>
                    <w:rPr>
                      <w:rFonts w:hint="default"/>
                      <w:bCs/>
                      <w:color w:val="auto"/>
                      <w:kern w:val="0"/>
                      <w:szCs w:val="21"/>
                      <w:lang w:val="en-US" w:eastAsia="zh-CN"/>
                    </w:rPr>
                  </w:pPr>
                  <w:r>
                    <w:rPr>
                      <w:rFonts w:hint="eastAsia"/>
                      <w:bCs/>
                      <w:color w:val="auto"/>
                      <w:kern w:val="0"/>
                      <w:szCs w:val="21"/>
                      <w:lang w:val="en-US" w:eastAsia="zh-CN"/>
                    </w:rPr>
                    <w:t>0.13</w:t>
                  </w:r>
                </w:p>
              </w:tc>
              <w:tc>
                <w:tcPr>
                  <w:tcW w:w="828" w:type="dxa"/>
                  <w:noWrap w:val="0"/>
                  <w:vAlign w:val="center"/>
                </w:tcPr>
                <w:p w14:paraId="09F250CA">
                  <w:pPr>
                    <w:pStyle w:val="57"/>
                    <w:rPr>
                      <w:rFonts w:ascii="Times New Roman" w:hAnsi="Times New Roman" w:cs="Times New Roman"/>
                      <w:color w:val="auto"/>
                      <w:szCs w:val="21"/>
                    </w:rPr>
                  </w:pPr>
                  <w:r>
                    <w:rPr>
                      <w:rFonts w:ascii="Times New Roman" w:hAnsi="Times New Roman" w:cs="Times New Roman"/>
                      <w:color w:val="auto"/>
                      <w:szCs w:val="21"/>
                    </w:rPr>
                    <w:t>≤1.5</w:t>
                  </w:r>
                </w:p>
              </w:tc>
              <w:tc>
                <w:tcPr>
                  <w:tcW w:w="974" w:type="dxa"/>
                  <w:noWrap w:val="0"/>
                  <w:vAlign w:val="center"/>
                </w:tcPr>
                <w:p w14:paraId="271AEAB3">
                  <w:pPr>
                    <w:pStyle w:val="57"/>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0.867</w:t>
                  </w:r>
                </w:p>
              </w:tc>
              <w:tc>
                <w:tcPr>
                  <w:tcW w:w="974" w:type="dxa"/>
                  <w:noWrap w:val="0"/>
                  <w:vAlign w:val="center"/>
                </w:tcPr>
                <w:p w14:paraId="3AE0F7A2">
                  <w:pPr>
                    <w:jc w:val="center"/>
                    <w:rPr>
                      <w:rFonts w:hint="eastAsia" w:eastAsia="宋体"/>
                      <w:color w:val="auto"/>
                      <w:szCs w:val="21"/>
                      <w:lang w:val="en-US" w:eastAsia="zh-CN"/>
                    </w:rPr>
                  </w:pPr>
                  <w:r>
                    <w:rPr>
                      <w:rFonts w:hint="eastAsia"/>
                      <w:color w:val="auto"/>
                      <w:szCs w:val="21"/>
                      <w:lang w:val="en-US" w:eastAsia="zh-CN"/>
                    </w:rPr>
                    <w:t>0</w:t>
                  </w:r>
                </w:p>
              </w:tc>
              <w:tc>
                <w:tcPr>
                  <w:tcW w:w="959" w:type="dxa"/>
                  <w:noWrap w:val="0"/>
                  <w:vAlign w:val="center"/>
                </w:tcPr>
                <w:p w14:paraId="1CA74E4D">
                  <w:pPr>
                    <w:jc w:val="center"/>
                    <w:rPr>
                      <w:color w:val="auto"/>
                      <w:szCs w:val="21"/>
                    </w:rPr>
                  </w:pPr>
                  <w:r>
                    <w:rPr>
                      <w:color w:val="auto"/>
                      <w:szCs w:val="21"/>
                    </w:rPr>
                    <w:t>达标</w:t>
                  </w:r>
                </w:p>
              </w:tc>
            </w:tr>
            <w:tr w14:paraId="0FB83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653" w:type="dxa"/>
                  <w:vMerge w:val="continue"/>
                  <w:noWrap w:val="0"/>
                  <w:vAlign w:val="center"/>
                </w:tcPr>
                <w:p w14:paraId="59E4A2A7">
                  <w:pPr>
                    <w:pStyle w:val="52"/>
                    <w:widowControl w:val="0"/>
                    <w:adjustRightInd/>
                    <w:snapToGrid/>
                    <w:ind w:right="0"/>
                    <w:rPr>
                      <w:color w:val="auto"/>
                      <w:szCs w:val="21"/>
                    </w:rPr>
                  </w:pPr>
                </w:p>
              </w:tc>
              <w:tc>
                <w:tcPr>
                  <w:tcW w:w="1522" w:type="dxa"/>
                  <w:noWrap w:val="0"/>
                  <w:vAlign w:val="center"/>
                </w:tcPr>
                <w:p w14:paraId="721C8638">
                  <w:pPr>
                    <w:pStyle w:val="57"/>
                    <w:rPr>
                      <w:rFonts w:ascii="Times New Roman" w:hAnsi="Times New Roman" w:cs="Times New Roman"/>
                      <w:color w:val="auto"/>
                      <w:szCs w:val="21"/>
                    </w:rPr>
                  </w:pPr>
                  <w:r>
                    <w:rPr>
                      <w:rFonts w:ascii="Times New Roman" w:hAnsi="Times New Roman" w:cs="Times New Roman"/>
                      <w:color w:val="auto"/>
                      <w:szCs w:val="21"/>
                    </w:rPr>
                    <w:t>总磷</w:t>
                  </w:r>
                </w:p>
              </w:tc>
              <w:tc>
                <w:tcPr>
                  <w:tcW w:w="1235" w:type="dxa"/>
                  <w:vMerge w:val="continue"/>
                  <w:noWrap w:val="0"/>
                  <w:vAlign w:val="center"/>
                </w:tcPr>
                <w:p w14:paraId="2463F0AD">
                  <w:pPr>
                    <w:jc w:val="center"/>
                    <w:rPr>
                      <w:color w:val="auto"/>
                      <w:szCs w:val="21"/>
                    </w:rPr>
                  </w:pPr>
                </w:p>
              </w:tc>
              <w:tc>
                <w:tcPr>
                  <w:tcW w:w="872" w:type="dxa"/>
                  <w:noWrap w:val="0"/>
                  <w:vAlign w:val="center"/>
                </w:tcPr>
                <w:p w14:paraId="78B6B6FD">
                  <w:pPr>
                    <w:autoSpaceDE w:val="0"/>
                    <w:adjustRightInd w:val="0"/>
                    <w:snapToGrid w:val="0"/>
                    <w:jc w:val="center"/>
                    <w:rPr>
                      <w:rFonts w:hint="default"/>
                      <w:bCs/>
                      <w:color w:val="auto"/>
                      <w:kern w:val="0"/>
                      <w:szCs w:val="21"/>
                      <w:lang w:val="en-US" w:eastAsia="zh-CN"/>
                    </w:rPr>
                  </w:pPr>
                  <w:r>
                    <w:rPr>
                      <w:rFonts w:hint="eastAsia"/>
                      <w:bCs/>
                      <w:color w:val="auto"/>
                      <w:kern w:val="0"/>
                      <w:szCs w:val="21"/>
                      <w:lang w:val="en-US" w:eastAsia="zh-CN"/>
                    </w:rPr>
                    <w:t>0.173</w:t>
                  </w:r>
                </w:p>
              </w:tc>
              <w:tc>
                <w:tcPr>
                  <w:tcW w:w="828" w:type="dxa"/>
                  <w:noWrap w:val="0"/>
                  <w:vAlign w:val="center"/>
                </w:tcPr>
                <w:p w14:paraId="54E06F9A">
                  <w:pPr>
                    <w:pStyle w:val="57"/>
                    <w:rPr>
                      <w:rFonts w:ascii="Times New Roman" w:hAnsi="Times New Roman" w:cs="Times New Roman"/>
                      <w:color w:val="auto"/>
                      <w:szCs w:val="21"/>
                    </w:rPr>
                  </w:pPr>
                  <w:r>
                    <w:rPr>
                      <w:rFonts w:ascii="Times New Roman" w:hAnsi="Times New Roman" w:cs="Times New Roman"/>
                      <w:color w:val="auto"/>
                      <w:szCs w:val="21"/>
                    </w:rPr>
                    <w:t>≤0.3</w:t>
                  </w:r>
                </w:p>
              </w:tc>
              <w:tc>
                <w:tcPr>
                  <w:tcW w:w="974" w:type="dxa"/>
                  <w:noWrap w:val="0"/>
                  <w:vAlign w:val="center"/>
                </w:tcPr>
                <w:p w14:paraId="5CA53E2A">
                  <w:pPr>
                    <w:pStyle w:val="57"/>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0.243</w:t>
                  </w:r>
                </w:p>
              </w:tc>
              <w:tc>
                <w:tcPr>
                  <w:tcW w:w="974" w:type="dxa"/>
                  <w:noWrap w:val="0"/>
                  <w:vAlign w:val="center"/>
                </w:tcPr>
                <w:p w14:paraId="3E119652">
                  <w:pPr>
                    <w:jc w:val="center"/>
                    <w:rPr>
                      <w:rFonts w:hint="eastAsia" w:eastAsia="宋体"/>
                      <w:color w:val="auto"/>
                      <w:szCs w:val="21"/>
                      <w:lang w:val="en-US" w:eastAsia="zh-CN"/>
                    </w:rPr>
                  </w:pPr>
                  <w:r>
                    <w:rPr>
                      <w:rFonts w:hint="eastAsia"/>
                      <w:color w:val="auto"/>
                      <w:szCs w:val="21"/>
                      <w:lang w:val="en-US" w:eastAsia="zh-CN"/>
                    </w:rPr>
                    <w:t>0</w:t>
                  </w:r>
                </w:p>
              </w:tc>
              <w:tc>
                <w:tcPr>
                  <w:tcW w:w="959" w:type="dxa"/>
                  <w:noWrap w:val="0"/>
                  <w:vAlign w:val="center"/>
                </w:tcPr>
                <w:p w14:paraId="15B664E2">
                  <w:pPr>
                    <w:jc w:val="center"/>
                    <w:rPr>
                      <w:color w:val="auto"/>
                      <w:szCs w:val="21"/>
                    </w:rPr>
                  </w:pPr>
                  <w:r>
                    <w:rPr>
                      <w:color w:val="auto"/>
                      <w:szCs w:val="21"/>
                    </w:rPr>
                    <w:t>达标</w:t>
                  </w:r>
                </w:p>
              </w:tc>
            </w:tr>
            <w:tr w14:paraId="2A1FB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653" w:type="dxa"/>
                  <w:vMerge w:val="continue"/>
                  <w:noWrap w:val="0"/>
                  <w:vAlign w:val="center"/>
                </w:tcPr>
                <w:p w14:paraId="17B02563">
                  <w:pPr>
                    <w:pStyle w:val="52"/>
                    <w:widowControl w:val="0"/>
                    <w:adjustRightInd/>
                    <w:snapToGrid/>
                    <w:ind w:right="0"/>
                    <w:rPr>
                      <w:color w:val="auto"/>
                      <w:szCs w:val="21"/>
                    </w:rPr>
                  </w:pPr>
                </w:p>
              </w:tc>
              <w:tc>
                <w:tcPr>
                  <w:tcW w:w="1522" w:type="dxa"/>
                  <w:noWrap w:val="0"/>
                  <w:vAlign w:val="center"/>
                </w:tcPr>
                <w:p w14:paraId="0EA1F464">
                  <w:pPr>
                    <w:pStyle w:val="57"/>
                    <w:rPr>
                      <w:rFonts w:ascii="Times New Roman" w:hAnsi="Times New Roman" w:cs="Times New Roman"/>
                      <w:color w:val="auto"/>
                      <w:szCs w:val="21"/>
                    </w:rPr>
                  </w:pPr>
                  <w:r>
                    <w:rPr>
                      <w:rFonts w:ascii="Times New Roman" w:hAnsi="Times New Roman" w:cs="Times New Roman"/>
                      <w:color w:val="auto"/>
                      <w:szCs w:val="21"/>
                    </w:rPr>
                    <w:t>高锰酸盐指数</w:t>
                  </w:r>
                </w:p>
              </w:tc>
              <w:tc>
                <w:tcPr>
                  <w:tcW w:w="1235" w:type="dxa"/>
                  <w:vMerge w:val="restart"/>
                  <w:noWrap w:val="0"/>
                  <w:vAlign w:val="center"/>
                </w:tcPr>
                <w:p w14:paraId="12D396CD">
                  <w:pPr>
                    <w:jc w:val="center"/>
                    <w:rPr>
                      <w:color w:val="auto"/>
                      <w:szCs w:val="21"/>
                    </w:rPr>
                  </w:pPr>
                  <w:r>
                    <w:rPr>
                      <w:rFonts w:hint="eastAsia"/>
                      <w:color w:val="auto"/>
                      <w:szCs w:val="21"/>
                      <w:lang w:val="en-US" w:eastAsia="zh-CN"/>
                    </w:rPr>
                    <w:t>2023年4月</w:t>
                  </w:r>
                </w:p>
              </w:tc>
              <w:tc>
                <w:tcPr>
                  <w:tcW w:w="872" w:type="dxa"/>
                  <w:noWrap w:val="0"/>
                  <w:vAlign w:val="center"/>
                </w:tcPr>
                <w:p w14:paraId="1E97A1A9">
                  <w:pPr>
                    <w:autoSpaceDE w:val="0"/>
                    <w:adjustRightInd w:val="0"/>
                    <w:snapToGrid w:val="0"/>
                    <w:jc w:val="center"/>
                    <w:rPr>
                      <w:rFonts w:hint="default"/>
                      <w:bCs/>
                      <w:color w:val="auto"/>
                      <w:kern w:val="0"/>
                      <w:szCs w:val="21"/>
                      <w:lang w:val="en-US" w:eastAsia="zh-CN"/>
                    </w:rPr>
                  </w:pPr>
                  <w:r>
                    <w:rPr>
                      <w:rFonts w:hint="eastAsia"/>
                      <w:bCs/>
                      <w:color w:val="auto"/>
                      <w:kern w:val="0"/>
                      <w:szCs w:val="21"/>
                      <w:lang w:val="en-US" w:eastAsia="zh-CN"/>
                    </w:rPr>
                    <w:t>8</w:t>
                  </w:r>
                </w:p>
              </w:tc>
              <w:tc>
                <w:tcPr>
                  <w:tcW w:w="828" w:type="dxa"/>
                  <w:noWrap w:val="0"/>
                  <w:vAlign w:val="center"/>
                </w:tcPr>
                <w:p w14:paraId="7AFB5EED">
                  <w:pPr>
                    <w:pStyle w:val="57"/>
                    <w:rPr>
                      <w:rFonts w:ascii="Times New Roman" w:hAnsi="Times New Roman" w:cs="Times New Roman"/>
                      <w:color w:val="auto"/>
                      <w:szCs w:val="21"/>
                    </w:rPr>
                  </w:pPr>
                  <w:r>
                    <w:rPr>
                      <w:rFonts w:ascii="Times New Roman" w:hAnsi="Times New Roman" w:cs="Times New Roman"/>
                      <w:color w:val="auto"/>
                      <w:szCs w:val="21"/>
                    </w:rPr>
                    <w:t>≤10</w:t>
                  </w:r>
                </w:p>
              </w:tc>
              <w:tc>
                <w:tcPr>
                  <w:tcW w:w="974" w:type="dxa"/>
                  <w:noWrap w:val="0"/>
                  <w:vAlign w:val="center"/>
                </w:tcPr>
                <w:p w14:paraId="50CC81D2">
                  <w:pPr>
                    <w:pStyle w:val="57"/>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0.8</w:t>
                  </w:r>
                </w:p>
              </w:tc>
              <w:tc>
                <w:tcPr>
                  <w:tcW w:w="974" w:type="dxa"/>
                  <w:noWrap w:val="0"/>
                  <w:vAlign w:val="center"/>
                </w:tcPr>
                <w:p w14:paraId="0980610C">
                  <w:pPr>
                    <w:jc w:val="center"/>
                    <w:rPr>
                      <w:rFonts w:hint="eastAsia" w:eastAsia="宋体"/>
                      <w:color w:val="auto"/>
                      <w:szCs w:val="21"/>
                      <w:lang w:val="en-US" w:eastAsia="zh-CN"/>
                    </w:rPr>
                  </w:pPr>
                  <w:r>
                    <w:rPr>
                      <w:rFonts w:hint="eastAsia"/>
                      <w:color w:val="auto"/>
                      <w:szCs w:val="21"/>
                      <w:lang w:val="en-US" w:eastAsia="zh-CN"/>
                    </w:rPr>
                    <w:t>0</w:t>
                  </w:r>
                </w:p>
              </w:tc>
              <w:tc>
                <w:tcPr>
                  <w:tcW w:w="959" w:type="dxa"/>
                  <w:noWrap w:val="0"/>
                  <w:vAlign w:val="center"/>
                </w:tcPr>
                <w:p w14:paraId="61D8B662">
                  <w:pPr>
                    <w:jc w:val="center"/>
                    <w:rPr>
                      <w:color w:val="auto"/>
                      <w:szCs w:val="21"/>
                    </w:rPr>
                  </w:pPr>
                  <w:r>
                    <w:rPr>
                      <w:color w:val="auto"/>
                      <w:szCs w:val="21"/>
                    </w:rPr>
                    <w:t>达标</w:t>
                  </w:r>
                </w:p>
              </w:tc>
            </w:tr>
            <w:tr w14:paraId="7C836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653" w:type="dxa"/>
                  <w:vMerge w:val="continue"/>
                  <w:noWrap w:val="0"/>
                  <w:vAlign w:val="center"/>
                </w:tcPr>
                <w:p w14:paraId="53B4710D">
                  <w:pPr>
                    <w:pStyle w:val="52"/>
                    <w:widowControl w:val="0"/>
                    <w:adjustRightInd/>
                    <w:snapToGrid/>
                    <w:ind w:right="0"/>
                    <w:rPr>
                      <w:color w:val="auto"/>
                      <w:szCs w:val="21"/>
                    </w:rPr>
                  </w:pPr>
                </w:p>
              </w:tc>
              <w:tc>
                <w:tcPr>
                  <w:tcW w:w="1522" w:type="dxa"/>
                  <w:noWrap w:val="0"/>
                  <w:vAlign w:val="center"/>
                </w:tcPr>
                <w:p w14:paraId="11CE8915">
                  <w:pPr>
                    <w:pStyle w:val="57"/>
                    <w:rPr>
                      <w:rFonts w:ascii="Times New Roman" w:hAnsi="Times New Roman" w:cs="Times New Roman"/>
                      <w:color w:val="auto"/>
                      <w:szCs w:val="21"/>
                    </w:rPr>
                  </w:pPr>
                  <w:r>
                    <w:rPr>
                      <w:rFonts w:ascii="Times New Roman" w:hAnsi="Times New Roman" w:cs="Times New Roman"/>
                      <w:color w:val="auto"/>
                      <w:position w:val="2"/>
                      <w:szCs w:val="21"/>
                    </w:rPr>
                    <w:t>NH</w:t>
                  </w:r>
                  <w:r>
                    <w:rPr>
                      <w:rFonts w:ascii="Times New Roman" w:hAnsi="Times New Roman" w:cs="Times New Roman"/>
                      <w:color w:val="auto"/>
                      <w:position w:val="2"/>
                      <w:szCs w:val="21"/>
                      <w:vertAlign w:val="subscript"/>
                    </w:rPr>
                    <w:t>3</w:t>
                  </w:r>
                  <w:r>
                    <w:rPr>
                      <w:rFonts w:ascii="Times New Roman" w:hAnsi="Times New Roman" w:cs="Times New Roman"/>
                      <w:color w:val="auto"/>
                      <w:position w:val="2"/>
                      <w:szCs w:val="21"/>
                    </w:rPr>
                    <w:t>-N</w:t>
                  </w:r>
                </w:p>
              </w:tc>
              <w:tc>
                <w:tcPr>
                  <w:tcW w:w="1235" w:type="dxa"/>
                  <w:vMerge w:val="continue"/>
                  <w:noWrap w:val="0"/>
                  <w:vAlign w:val="center"/>
                </w:tcPr>
                <w:p w14:paraId="6598B3D3">
                  <w:pPr>
                    <w:jc w:val="center"/>
                    <w:rPr>
                      <w:color w:val="auto"/>
                      <w:szCs w:val="21"/>
                    </w:rPr>
                  </w:pPr>
                </w:p>
              </w:tc>
              <w:tc>
                <w:tcPr>
                  <w:tcW w:w="872" w:type="dxa"/>
                  <w:noWrap w:val="0"/>
                  <w:vAlign w:val="center"/>
                </w:tcPr>
                <w:p w14:paraId="783301CE">
                  <w:pPr>
                    <w:autoSpaceDE w:val="0"/>
                    <w:adjustRightInd w:val="0"/>
                    <w:snapToGrid w:val="0"/>
                    <w:jc w:val="center"/>
                    <w:rPr>
                      <w:rFonts w:hint="default"/>
                      <w:bCs/>
                      <w:color w:val="auto"/>
                      <w:kern w:val="0"/>
                      <w:szCs w:val="21"/>
                      <w:lang w:val="en-US" w:eastAsia="zh-CN"/>
                    </w:rPr>
                  </w:pPr>
                  <w:r>
                    <w:rPr>
                      <w:rFonts w:hint="eastAsia"/>
                      <w:bCs/>
                      <w:color w:val="auto"/>
                      <w:kern w:val="0"/>
                      <w:szCs w:val="21"/>
                      <w:lang w:val="en-US" w:eastAsia="zh-CN"/>
                    </w:rPr>
                    <w:t>0.12</w:t>
                  </w:r>
                </w:p>
              </w:tc>
              <w:tc>
                <w:tcPr>
                  <w:tcW w:w="828" w:type="dxa"/>
                  <w:noWrap w:val="0"/>
                  <w:vAlign w:val="center"/>
                </w:tcPr>
                <w:p w14:paraId="1F703F38">
                  <w:pPr>
                    <w:pStyle w:val="57"/>
                    <w:rPr>
                      <w:rFonts w:ascii="Times New Roman" w:hAnsi="Times New Roman" w:cs="Times New Roman"/>
                      <w:color w:val="auto"/>
                      <w:szCs w:val="21"/>
                    </w:rPr>
                  </w:pPr>
                  <w:r>
                    <w:rPr>
                      <w:rFonts w:ascii="Times New Roman" w:hAnsi="Times New Roman" w:cs="Times New Roman"/>
                      <w:color w:val="auto"/>
                      <w:szCs w:val="21"/>
                    </w:rPr>
                    <w:t>≤1.5</w:t>
                  </w:r>
                </w:p>
              </w:tc>
              <w:tc>
                <w:tcPr>
                  <w:tcW w:w="974" w:type="dxa"/>
                  <w:noWrap w:val="0"/>
                  <w:vAlign w:val="center"/>
                </w:tcPr>
                <w:p w14:paraId="10A48591">
                  <w:pPr>
                    <w:pStyle w:val="57"/>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0.08</w:t>
                  </w:r>
                </w:p>
              </w:tc>
              <w:tc>
                <w:tcPr>
                  <w:tcW w:w="974" w:type="dxa"/>
                  <w:noWrap w:val="0"/>
                  <w:vAlign w:val="center"/>
                </w:tcPr>
                <w:p w14:paraId="7D35ADB3">
                  <w:pPr>
                    <w:jc w:val="center"/>
                    <w:rPr>
                      <w:rFonts w:hint="eastAsia" w:eastAsia="宋体"/>
                      <w:color w:val="auto"/>
                      <w:szCs w:val="21"/>
                      <w:lang w:val="en-US" w:eastAsia="zh-CN"/>
                    </w:rPr>
                  </w:pPr>
                  <w:r>
                    <w:rPr>
                      <w:rFonts w:hint="eastAsia"/>
                      <w:color w:val="auto"/>
                      <w:szCs w:val="21"/>
                      <w:lang w:val="en-US" w:eastAsia="zh-CN"/>
                    </w:rPr>
                    <w:t>0</w:t>
                  </w:r>
                </w:p>
              </w:tc>
              <w:tc>
                <w:tcPr>
                  <w:tcW w:w="959" w:type="dxa"/>
                  <w:noWrap w:val="0"/>
                  <w:vAlign w:val="center"/>
                </w:tcPr>
                <w:p w14:paraId="4FFE6500">
                  <w:pPr>
                    <w:jc w:val="center"/>
                    <w:rPr>
                      <w:color w:val="auto"/>
                      <w:szCs w:val="21"/>
                    </w:rPr>
                  </w:pPr>
                  <w:r>
                    <w:rPr>
                      <w:color w:val="auto"/>
                      <w:szCs w:val="21"/>
                    </w:rPr>
                    <w:t>达标</w:t>
                  </w:r>
                </w:p>
              </w:tc>
            </w:tr>
            <w:tr w14:paraId="57C2E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653" w:type="dxa"/>
                  <w:vMerge w:val="continue"/>
                  <w:noWrap w:val="0"/>
                  <w:vAlign w:val="center"/>
                </w:tcPr>
                <w:p w14:paraId="01E05B33">
                  <w:pPr>
                    <w:pStyle w:val="52"/>
                    <w:widowControl w:val="0"/>
                    <w:adjustRightInd/>
                    <w:snapToGrid/>
                    <w:ind w:right="0"/>
                    <w:rPr>
                      <w:color w:val="auto"/>
                      <w:szCs w:val="21"/>
                    </w:rPr>
                  </w:pPr>
                </w:p>
              </w:tc>
              <w:tc>
                <w:tcPr>
                  <w:tcW w:w="1522" w:type="dxa"/>
                  <w:noWrap w:val="0"/>
                  <w:vAlign w:val="center"/>
                </w:tcPr>
                <w:p w14:paraId="140682EC">
                  <w:pPr>
                    <w:pStyle w:val="57"/>
                    <w:rPr>
                      <w:rFonts w:ascii="Times New Roman" w:hAnsi="Times New Roman" w:cs="Times New Roman"/>
                      <w:color w:val="auto"/>
                      <w:szCs w:val="21"/>
                    </w:rPr>
                  </w:pPr>
                  <w:r>
                    <w:rPr>
                      <w:rFonts w:ascii="Times New Roman" w:hAnsi="Times New Roman" w:cs="Times New Roman"/>
                      <w:color w:val="auto"/>
                      <w:szCs w:val="21"/>
                    </w:rPr>
                    <w:t>总磷</w:t>
                  </w:r>
                </w:p>
              </w:tc>
              <w:tc>
                <w:tcPr>
                  <w:tcW w:w="1235" w:type="dxa"/>
                  <w:vMerge w:val="continue"/>
                  <w:noWrap w:val="0"/>
                  <w:vAlign w:val="center"/>
                </w:tcPr>
                <w:p w14:paraId="2561A674">
                  <w:pPr>
                    <w:jc w:val="center"/>
                    <w:rPr>
                      <w:color w:val="auto"/>
                      <w:szCs w:val="21"/>
                    </w:rPr>
                  </w:pPr>
                </w:p>
              </w:tc>
              <w:tc>
                <w:tcPr>
                  <w:tcW w:w="872" w:type="dxa"/>
                  <w:noWrap w:val="0"/>
                  <w:vAlign w:val="center"/>
                </w:tcPr>
                <w:p w14:paraId="543B199D">
                  <w:pPr>
                    <w:autoSpaceDE w:val="0"/>
                    <w:adjustRightInd w:val="0"/>
                    <w:snapToGrid w:val="0"/>
                    <w:jc w:val="center"/>
                    <w:rPr>
                      <w:rFonts w:hint="default"/>
                      <w:bCs/>
                      <w:color w:val="auto"/>
                      <w:kern w:val="0"/>
                      <w:szCs w:val="21"/>
                      <w:lang w:val="en-US" w:eastAsia="zh-CN"/>
                    </w:rPr>
                  </w:pPr>
                  <w:r>
                    <w:rPr>
                      <w:rFonts w:hint="eastAsia"/>
                      <w:bCs/>
                      <w:color w:val="auto"/>
                      <w:kern w:val="0"/>
                      <w:szCs w:val="21"/>
                      <w:lang w:val="en-US" w:eastAsia="zh-CN"/>
                    </w:rPr>
                    <w:t>0.108</w:t>
                  </w:r>
                </w:p>
              </w:tc>
              <w:tc>
                <w:tcPr>
                  <w:tcW w:w="828" w:type="dxa"/>
                  <w:noWrap w:val="0"/>
                  <w:vAlign w:val="center"/>
                </w:tcPr>
                <w:p w14:paraId="68C54993">
                  <w:pPr>
                    <w:pStyle w:val="57"/>
                    <w:rPr>
                      <w:rFonts w:ascii="Times New Roman" w:hAnsi="Times New Roman" w:cs="Times New Roman"/>
                      <w:color w:val="auto"/>
                      <w:szCs w:val="21"/>
                    </w:rPr>
                  </w:pPr>
                  <w:r>
                    <w:rPr>
                      <w:rFonts w:ascii="Times New Roman" w:hAnsi="Times New Roman" w:cs="Times New Roman"/>
                      <w:color w:val="auto"/>
                      <w:szCs w:val="21"/>
                    </w:rPr>
                    <w:t>≤0.3</w:t>
                  </w:r>
                </w:p>
              </w:tc>
              <w:tc>
                <w:tcPr>
                  <w:tcW w:w="974" w:type="dxa"/>
                  <w:noWrap w:val="0"/>
                  <w:vAlign w:val="center"/>
                </w:tcPr>
                <w:p w14:paraId="19F68057">
                  <w:pPr>
                    <w:pStyle w:val="57"/>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0.36</w:t>
                  </w:r>
                </w:p>
              </w:tc>
              <w:tc>
                <w:tcPr>
                  <w:tcW w:w="974" w:type="dxa"/>
                  <w:noWrap w:val="0"/>
                  <w:vAlign w:val="center"/>
                </w:tcPr>
                <w:p w14:paraId="6882E8DE">
                  <w:pPr>
                    <w:jc w:val="center"/>
                    <w:rPr>
                      <w:rFonts w:hint="eastAsia" w:eastAsia="宋体"/>
                      <w:color w:val="auto"/>
                      <w:szCs w:val="21"/>
                      <w:lang w:val="en-US" w:eastAsia="zh-CN"/>
                    </w:rPr>
                  </w:pPr>
                  <w:r>
                    <w:rPr>
                      <w:rFonts w:hint="eastAsia"/>
                      <w:color w:val="auto"/>
                      <w:szCs w:val="21"/>
                      <w:lang w:val="en-US" w:eastAsia="zh-CN"/>
                    </w:rPr>
                    <w:t>0</w:t>
                  </w:r>
                </w:p>
              </w:tc>
              <w:tc>
                <w:tcPr>
                  <w:tcW w:w="959" w:type="dxa"/>
                  <w:noWrap w:val="0"/>
                  <w:vAlign w:val="center"/>
                </w:tcPr>
                <w:p w14:paraId="45B43BD1">
                  <w:pPr>
                    <w:jc w:val="center"/>
                    <w:rPr>
                      <w:color w:val="auto"/>
                      <w:szCs w:val="21"/>
                    </w:rPr>
                  </w:pPr>
                  <w:r>
                    <w:rPr>
                      <w:color w:val="auto"/>
                      <w:szCs w:val="21"/>
                    </w:rPr>
                    <w:t>达标</w:t>
                  </w:r>
                </w:p>
              </w:tc>
            </w:tr>
            <w:tr w14:paraId="31C63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653" w:type="dxa"/>
                  <w:vMerge w:val="continue"/>
                  <w:noWrap w:val="0"/>
                  <w:vAlign w:val="center"/>
                </w:tcPr>
                <w:p w14:paraId="2A04A59B">
                  <w:pPr>
                    <w:pStyle w:val="52"/>
                    <w:widowControl w:val="0"/>
                    <w:adjustRightInd/>
                    <w:snapToGrid/>
                    <w:ind w:right="0"/>
                    <w:rPr>
                      <w:color w:val="auto"/>
                      <w:szCs w:val="21"/>
                    </w:rPr>
                  </w:pPr>
                </w:p>
              </w:tc>
              <w:tc>
                <w:tcPr>
                  <w:tcW w:w="1522" w:type="dxa"/>
                  <w:noWrap w:val="0"/>
                  <w:vAlign w:val="center"/>
                </w:tcPr>
                <w:p w14:paraId="5B3131E5">
                  <w:pPr>
                    <w:pStyle w:val="57"/>
                    <w:rPr>
                      <w:rFonts w:ascii="Times New Roman" w:hAnsi="Times New Roman" w:cs="Times New Roman"/>
                      <w:color w:val="auto"/>
                      <w:szCs w:val="21"/>
                    </w:rPr>
                  </w:pPr>
                  <w:r>
                    <w:rPr>
                      <w:rFonts w:ascii="Times New Roman" w:hAnsi="Times New Roman" w:cs="Times New Roman"/>
                      <w:color w:val="auto"/>
                      <w:szCs w:val="21"/>
                    </w:rPr>
                    <w:t>高锰酸盐指数</w:t>
                  </w:r>
                </w:p>
              </w:tc>
              <w:tc>
                <w:tcPr>
                  <w:tcW w:w="1235" w:type="dxa"/>
                  <w:vMerge w:val="restart"/>
                  <w:noWrap w:val="0"/>
                  <w:vAlign w:val="center"/>
                </w:tcPr>
                <w:p w14:paraId="08EAF87C">
                  <w:pPr>
                    <w:jc w:val="center"/>
                    <w:rPr>
                      <w:color w:val="auto"/>
                      <w:szCs w:val="21"/>
                    </w:rPr>
                  </w:pPr>
                  <w:r>
                    <w:rPr>
                      <w:rFonts w:hint="eastAsia"/>
                      <w:color w:val="auto"/>
                      <w:szCs w:val="21"/>
                      <w:lang w:val="en-US" w:eastAsia="zh-CN"/>
                    </w:rPr>
                    <w:t>2023年5月</w:t>
                  </w:r>
                </w:p>
              </w:tc>
              <w:tc>
                <w:tcPr>
                  <w:tcW w:w="872" w:type="dxa"/>
                  <w:noWrap w:val="0"/>
                  <w:vAlign w:val="center"/>
                </w:tcPr>
                <w:p w14:paraId="7944F2B3">
                  <w:pPr>
                    <w:autoSpaceDE w:val="0"/>
                    <w:adjustRightInd w:val="0"/>
                    <w:snapToGrid w:val="0"/>
                    <w:jc w:val="center"/>
                    <w:rPr>
                      <w:rFonts w:hint="default"/>
                      <w:bCs/>
                      <w:color w:val="auto"/>
                      <w:kern w:val="0"/>
                      <w:szCs w:val="21"/>
                      <w:lang w:val="en-US" w:eastAsia="zh-CN"/>
                    </w:rPr>
                  </w:pPr>
                  <w:r>
                    <w:rPr>
                      <w:rFonts w:hint="eastAsia"/>
                      <w:bCs/>
                      <w:color w:val="auto"/>
                      <w:kern w:val="0"/>
                      <w:szCs w:val="21"/>
                      <w:lang w:val="en-US" w:eastAsia="zh-CN"/>
                    </w:rPr>
                    <w:t>7.8</w:t>
                  </w:r>
                </w:p>
              </w:tc>
              <w:tc>
                <w:tcPr>
                  <w:tcW w:w="828" w:type="dxa"/>
                  <w:noWrap w:val="0"/>
                  <w:vAlign w:val="center"/>
                </w:tcPr>
                <w:p w14:paraId="54C4B0C4">
                  <w:pPr>
                    <w:pStyle w:val="57"/>
                    <w:rPr>
                      <w:rFonts w:ascii="Times New Roman" w:hAnsi="Times New Roman" w:cs="Times New Roman"/>
                      <w:color w:val="auto"/>
                      <w:szCs w:val="21"/>
                    </w:rPr>
                  </w:pPr>
                  <w:r>
                    <w:rPr>
                      <w:rFonts w:ascii="Times New Roman" w:hAnsi="Times New Roman" w:cs="Times New Roman"/>
                      <w:color w:val="auto"/>
                      <w:szCs w:val="21"/>
                    </w:rPr>
                    <w:t>≤10</w:t>
                  </w:r>
                </w:p>
              </w:tc>
              <w:tc>
                <w:tcPr>
                  <w:tcW w:w="974" w:type="dxa"/>
                  <w:noWrap w:val="0"/>
                  <w:vAlign w:val="center"/>
                </w:tcPr>
                <w:p w14:paraId="27ED1B3C">
                  <w:pPr>
                    <w:pStyle w:val="57"/>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0.78</w:t>
                  </w:r>
                </w:p>
              </w:tc>
              <w:tc>
                <w:tcPr>
                  <w:tcW w:w="974" w:type="dxa"/>
                  <w:noWrap w:val="0"/>
                  <w:vAlign w:val="center"/>
                </w:tcPr>
                <w:p w14:paraId="180A6711">
                  <w:pPr>
                    <w:jc w:val="center"/>
                    <w:rPr>
                      <w:rFonts w:hint="eastAsia" w:eastAsia="宋体"/>
                      <w:color w:val="auto"/>
                      <w:szCs w:val="21"/>
                      <w:lang w:val="en-US" w:eastAsia="zh-CN"/>
                    </w:rPr>
                  </w:pPr>
                  <w:r>
                    <w:rPr>
                      <w:rFonts w:hint="eastAsia"/>
                      <w:color w:val="auto"/>
                      <w:szCs w:val="21"/>
                      <w:lang w:val="en-US" w:eastAsia="zh-CN"/>
                    </w:rPr>
                    <w:t>0</w:t>
                  </w:r>
                </w:p>
              </w:tc>
              <w:tc>
                <w:tcPr>
                  <w:tcW w:w="959" w:type="dxa"/>
                  <w:noWrap w:val="0"/>
                  <w:vAlign w:val="center"/>
                </w:tcPr>
                <w:p w14:paraId="3B1E948F">
                  <w:pPr>
                    <w:jc w:val="center"/>
                    <w:rPr>
                      <w:color w:val="auto"/>
                      <w:szCs w:val="21"/>
                    </w:rPr>
                  </w:pPr>
                  <w:r>
                    <w:rPr>
                      <w:color w:val="auto"/>
                      <w:szCs w:val="21"/>
                    </w:rPr>
                    <w:t>达标</w:t>
                  </w:r>
                </w:p>
              </w:tc>
            </w:tr>
            <w:tr w14:paraId="5CA1D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653" w:type="dxa"/>
                  <w:vMerge w:val="continue"/>
                  <w:noWrap w:val="0"/>
                  <w:vAlign w:val="center"/>
                </w:tcPr>
                <w:p w14:paraId="4933D335">
                  <w:pPr>
                    <w:pStyle w:val="52"/>
                    <w:widowControl w:val="0"/>
                    <w:adjustRightInd/>
                    <w:snapToGrid/>
                    <w:ind w:right="0"/>
                    <w:rPr>
                      <w:color w:val="auto"/>
                      <w:szCs w:val="21"/>
                    </w:rPr>
                  </w:pPr>
                </w:p>
              </w:tc>
              <w:tc>
                <w:tcPr>
                  <w:tcW w:w="1522" w:type="dxa"/>
                  <w:noWrap w:val="0"/>
                  <w:vAlign w:val="center"/>
                </w:tcPr>
                <w:p w14:paraId="24045D02">
                  <w:pPr>
                    <w:pStyle w:val="57"/>
                    <w:rPr>
                      <w:rFonts w:ascii="Times New Roman" w:hAnsi="Times New Roman" w:cs="Times New Roman"/>
                      <w:color w:val="auto"/>
                      <w:szCs w:val="21"/>
                    </w:rPr>
                  </w:pPr>
                  <w:r>
                    <w:rPr>
                      <w:rFonts w:ascii="Times New Roman" w:hAnsi="Times New Roman" w:cs="Times New Roman"/>
                      <w:color w:val="auto"/>
                      <w:position w:val="2"/>
                      <w:szCs w:val="21"/>
                    </w:rPr>
                    <w:t>NH</w:t>
                  </w:r>
                  <w:r>
                    <w:rPr>
                      <w:rFonts w:ascii="Times New Roman" w:hAnsi="Times New Roman" w:cs="Times New Roman"/>
                      <w:color w:val="auto"/>
                      <w:position w:val="2"/>
                      <w:szCs w:val="21"/>
                      <w:vertAlign w:val="subscript"/>
                    </w:rPr>
                    <w:t>3</w:t>
                  </w:r>
                  <w:r>
                    <w:rPr>
                      <w:rFonts w:ascii="Times New Roman" w:hAnsi="Times New Roman" w:cs="Times New Roman"/>
                      <w:color w:val="auto"/>
                      <w:position w:val="2"/>
                      <w:szCs w:val="21"/>
                    </w:rPr>
                    <w:t>-N</w:t>
                  </w:r>
                </w:p>
              </w:tc>
              <w:tc>
                <w:tcPr>
                  <w:tcW w:w="1235" w:type="dxa"/>
                  <w:vMerge w:val="continue"/>
                  <w:noWrap w:val="0"/>
                  <w:vAlign w:val="center"/>
                </w:tcPr>
                <w:p w14:paraId="2941ADDC">
                  <w:pPr>
                    <w:jc w:val="center"/>
                    <w:rPr>
                      <w:color w:val="auto"/>
                      <w:szCs w:val="21"/>
                    </w:rPr>
                  </w:pPr>
                </w:p>
              </w:tc>
              <w:tc>
                <w:tcPr>
                  <w:tcW w:w="872" w:type="dxa"/>
                  <w:noWrap w:val="0"/>
                  <w:vAlign w:val="center"/>
                </w:tcPr>
                <w:p w14:paraId="6AD7A715">
                  <w:pPr>
                    <w:autoSpaceDE w:val="0"/>
                    <w:adjustRightInd w:val="0"/>
                    <w:snapToGrid w:val="0"/>
                    <w:jc w:val="center"/>
                    <w:rPr>
                      <w:rFonts w:hint="default"/>
                      <w:bCs/>
                      <w:color w:val="auto"/>
                      <w:kern w:val="0"/>
                      <w:szCs w:val="21"/>
                      <w:lang w:val="en-US" w:eastAsia="zh-CN"/>
                    </w:rPr>
                  </w:pPr>
                  <w:r>
                    <w:rPr>
                      <w:rFonts w:hint="eastAsia"/>
                      <w:bCs/>
                      <w:color w:val="auto"/>
                      <w:kern w:val="0"/>
                      <w:szCs w:val="21"/>
                      <w:lang w:val="en-US" w:eastAsia="zh-CN"/>
                    </w:rPr>
                    <w:t>0.33</w:t>
                  </w:r>
                </w:p>
              </w:tc>
              <w:tc>
                <w:tcPr>
                  <w:tcW w:w="828" w:type="dxa"/>
                  <w:noWrap w:val="0"/>
                  <w:vAlign w:val="center"/>
                </w:tcPr>
                <w:p w14:paraId="47E9DAE4">
                  <w:pPr>
                    <w:pStyle w:val="57"/>
                    <w:rPr>
                      <w:rFonts w:ascii="Times New Roman" w:hAnsi="Times New Roman" w:cs="Times New Roman"/>
                      <w:color w:val="auto"/>
                      <w:szCs w:val="21"/>
                    </w:rPr>
                  </w:pPr>
                  <w:r>
                    <w:rPr>
                      <w:rFonts w:ascii="Times New Roman" w:hAnsi="Times New Roman" w:cs="Times New Roman"/>
                      <w:color w:val="auto"/>
                      <w:szCs w:val="21"/>
                    </w:rPr>
                    <w:t>≤1.5</w:t>
                  </w:r>
                </w:p>
              </w:tc>
              <w:tc>
                <w:tcPr>
                  <w:tcW w:w="974" w:type="dxa"/>
                  <w:noWrap w:val="0"/>
                  <w:vAlign w:val="center"/>
                </w:tcPr>
                <w:p w14:paraId="594D27EF">
                  <w:pPr>
                    <w:pStyle w:val="57"/>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0.22</w:t>
                  </w:r>
                </w:p>
              </w:tc>
              <w:tc>
                <w:tcPr>
                  <w:tcW w:w="974" w:type="dxa"/>
                  <w:noWrap w:val="0"/>
                  <w:vAlign w:val="center"/>
                </w:tcPr>
                <w:p w14:paraId="20BD4B23">
                  <w:pPr>
                    <w:jc w:val="center"/>
                    <w:rPr>
                      <w:rFonts w:hint="eastAsia" w:eastAsia="宋体"/>
                      <w:color w:val="auto"/>
                      <w:szCs w:val="21"/>
                      <w:lang w:val="en-US" w:eastAsia="zh-CN"/>
                    </w:rPr>
                  </w:pPr>
                  <w:r>
                    <w:rPr>
                      <w:rFonts w:hint="eastAsia"/>
                      <w:color w:val="auto"/>
                      <w:szCs w:val="21"/>
                      <w:lang w:val="en-US" w:eastAsia="zh-CN"/>
                    </w:rPr>
                    <w:t>0</w:t>
                  </w:r>
                </w:p>
              </w:tc>
              <w:tc>
                <w:tcPr>
                  <w:tcW w:w="959" w:type="dxa"/>
                  <w:noWrap w:val="0"/>
                  <w:vAlign w:val="center"/>
                </w:tcPr>
                <w:p w14:paraId="496486E6">
                  <w:pPr>
                    <w:jc w:val="center"/>
                    <w:rPr>
                      <w:color w:val="auto"/>
                      <w:szCs w:val="21"/>
                    </w:rPr>
                  </w:pPr>
                  <w:r>
                    <w:rPr>
                      <w:color w:val="auto"/>
                      <w:szCs w:val="21"/>
                    </w:rPr>
                    <w:t>达标</w:t>
                  </w:r>
                </w:p>
              </w:tc>
            </w:tr>
            <w:tr w14:paraId="493D5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653" w:type="dxa"/>
                  <w:vMerge w:val="continue"/>
                  <w:noWrap w:val="0"/>
                  <w:vAlign w:val="center"/>
                </w:tcPr>
                <w:p w14:paraId="65BFB691">
                  <w:pPr>
                    <w:pStyle w:val="52"/>
                    <w:widowControl w:val="0"/>
                    <w:adjustRightInd/>
                    <w:snapToGrid/>
                    <w:ind w:right="0"/>
                    <w:rPr>
                      <w:color w:val="auto"/>
                      <w:szCs w:val="21"/>
                    </w:rPr>
                  </w:pPr>
                </w:p>
              </w:tc>
              <w:tc>
                <w:tcPr>
                  <w:tcW w:w="1522" w:type="dxa"/>
                  <w:noWrap w:val="0"/>
                  <w:vAlign w:val="center"/>
                </w:tcPr>
                <w:p w14:paraId="4914CB01">
                  <w:pPr>
                    <w:pStyle w:val="57"/>
                    <w:rPr>
                      <w:rFonts w:ascii="Times New Roman" w:hAnsi="Times New Roman" w:cs="Times New Roman"/>
                      <w:color w:val="auto"/>
                      <w:szCs w:val="21"/>
                    </w:rPr>
                  </w:pPr>
                  <w:r>
                    <w:rPr>
                      <w:rFonts w:ascii="Times New Roman" w:hAnsi="Times New Roman" w:cs="Times New Roman"/>
                      <w:color w:val="auto"/>
                      <w:szCs w:val="21"/>
                    </w:rPr>
                    <w:t>总磷</w:t>
                  </w:r>
                </w:p>
              </w:tc>
              <w:tc>
                <w:tcPr>
                  <w:tcW w:w="1235" w:type="dxa"/>
                  <w:vMerge w:val="continue"/>
                  <w:noWrap w:val="0"/>
                  <w:vAlign w:val="center"/>
                </w:tcPr>
                <w:p w14:paraId="51B6EF17">
                  <w:pPr>
                    <w:jc w:val="center"/>
                    <w:rPr>
                      <w:color w:val="auto"/>
                      <w:szCs w:val="21"/>
                    </w:rPr>
                  </w:pPr>
                </w:p>
              </w:tc>
              <w:tc>
                <w:tcPr>
                  <w:tcW w:w="872" w:type="dxa"/>
                  <w:noWrap w:val="0"/>
                  <w:vAlign w:val="center"/>
                </w:tcPr>
                <w:p w14:paraId="78B88109">
                  <w:pPr>
                    <w:autoSpaceDE w:val="0"/>
                    <w:adjustRightInd w:val="0"/>
                    <w:snapToGrid w:val="0"/>
                    <w:jc w:val="center"/>
                    <w:rPr>
                      <w:rFonts w:hint="default"/>
                      <w:bCs/>
                      <w:color w:val="auto"/>
                      <w:kern w:val="0"/>
                      <w:szCs w:val="21"/>
                      <w:lang w:val="en-US" w:eastAsia="zh-CN"/>
                    </w:rPr>
                  </w:pPr>
                  <w:r>
                    <w:rPr>
                      <w:rFonts w:hint="eastAsia"/>
                      <w:bCs/>
                      <w:color w:val="auto"/>
                      <w:kern w:val="0"/>
                      <w:szCs w:val="21"/>
                      <w:lang w:val="en-US" w:eastAsia="zh-CN"/>
                    </w:rPr>
                    <w:t>0.175</w:t>
                  </w:r>
                </w:p>
              </w:tc>
              <w:tc>
                <w:tcPr>
                  <w:tcW w:w="828" w:type="dxa"/>
                  <w:noWrap w:val="0"/>
                  <w:vAlign w:val="center"/>
                </w:tcPr>
                <w:p w14:paraId="59A665DF">
                  <w:pPr>
                    <w:pStyle w:val="57"/>
                    <w:rPr>
                      <w:rFonts w:ascii="Times New Roman" w:hAnsi="Times New Roman" w:cs="Times New Roman"/>
                      <w:color w:val="auto"/>
                      <w:szCs w:val="21"/>
                    </w:rPr>
                  </w:pPr>
                  <w:r>
                    <w:rPr>
                      <w:rFonts w:ascii="Times New Roman" w:hAnsi="Times New Roman" w:cs="Times New Roman"/>
                      <w:color w:val="auto"/>
                      <w:szCs w:val="21"/>
                    </w:rPr>
                    <w:t>≤0.3</w:t>
                  </w:r>
                </w:p>
              </w:tc>
              <w:tc>
                <w:tcPr>
                  <w:tcW w:w="974" w:type="dxa"/>
                  <w:noWrap w:val="0"/>
                  <w:vAlign w:val="center"/>
                </w:tcPr>
                <w:p w14:paraId="6243A098">
                  <w:pPr>
                    <w:pStyle w:val="57"/>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0.583</w:t>
                  </w:r>
                </w:p>
              </w:tc>
              <w:tc>
                <w:tcPr>
                  <w:tcW w:w="974" w:type="dxa"/>
                  <w:noWrap w:val="0"/>
                  <w:vAlign w:val="center"/>
                </w:tcPr>
                <w:p w14:paraId="2CBEB2D5">
                  <w:pPr>
                    <w:jc w:val="center"/>
                    <w:rPr>
                      <w:rFonts w:hint="eastAsia" w:eastAsia="宋体"/>
                      <w:color w:val="auto"/>
                      <w:szCs w:val="21"/>
                      <w:lang w:val="en-US" w:eastAsia="zh-CN"/>
                    </w:rPr>
                  </w:pPr>
                  <w:r>
                    <w:rPr>
                      <w:rFonts w:hint="eastAsia"/>
                      <w:color w:val="auto"/>
                      <w:szCs w:val="21"/>
                      <w:lang w:val="en-US" w:eastAsia="zh-CN"/>
                    </w:rPr>
                    <w:t>0</w:t>
                  </w:r>
                </w:p>
              </w:tc>
              <w:tc>
                <w:tcPr>
                  <w:tcW w:w="959" w:type="dxa"/>
                  <w:noWrap w:val="0"/>
                  <w:vAlign w:val="center"/>
                </w:tcPr>
                <w:p w14:paraId="0C37DA71">
                  <w:pPr>
                    <w:jc w:val="center"/>
                    <w:rPr>
                      <w:color w:val="auto"/>
                      <w:szCs w:val="21"/>
                    </w:rPr>
                  </w:pPr>
                  <w:r>
                    <w:rPr>
                      <w:color w:val="auto"/>
                      <w:szCs w:val="21"/>
                    </w:rPr>
                    <w:t>达标</w:t>
                  </w:r>
                </w:p>
              </w:tc>
            </w:tr>
            <w:tr w14:paraId="0A744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653" w:type="dxa"/>
                  <w:vMerge w:val="continue"/>
                  <w:noWrap w:val="0"/>
                  <w:vAlign w:val="center"/>
                </w:tcPr>
                <w:p w14:paraId="77679D7D">
                  <w:pPr>
                    <w:pStyle w:val="52"/>
                    <w:widowControl w:val="0"/>
                    <w:adjustRightInd/>
                    <w:snapToGrid/>
                    <w:ind w:right="0"/>
                    <w:rPr>
                      <w:color w:val="auto"/>
                      <w:szCs w:val="21"/>
                    </w:rPr>
                  </w:pPr>
                </w:p>
              </w:tc>
              <w:tc>
                <w:tcPr>
                  <w:tcW w:w="1522" w:type="dxa"/>
                  <w:noWrap w:val="0"/>
                  <w:vAlign w:val="center"/>
                </w:tcPr>
                <w:p w14:paraId="48CB808E">
                  <w:pPr>
                    <w:pStyle w:val="57"/>
                    <w:rPr>
                      <w:rFonts w:ascii="Times New Roman" w:hAnsi="Times New Roman" w:cs="Times New Roman"/>
                      <w:color w:val="auto"/>
                      <w:szCs w:val="21"/>
                    </w:rPr>
                  </w:pPr>
                  <w:r>
                    <w:rPr>
                      <w:rFonts w:ascii="Times New Roman" w:hAnsi="Times New Roman" w:cs="Times New Roman"/>
                      <w:color w:val="auto"/>
                      <w:szCs w:val="21"/>
                    </w:rPr>
                    <w:t>高锰酸盐指数</w:t>
                  </w:r>
                </w:p>
              </w:tc>
              <w:tc>
                <w:tcPr>
                  <w:tcW w:w="1235" w:type="dxa"/>
                  <w:vMerge w:val="restart"/>
                  <w:noWrap w:val="0"/>
                  <w:vAlign w:val="center"/>
                </w:tcPr>
                <w:p w14:paraId="381E510B">
                  <w:pPr>
                    <w:jc w:val="center"/>
                    <w:rPr>
                      <w:color w:val="auto"/>
                      <w:szCs w:val="21"/>
                    </w:rPr>
                  </w:pPr>
                  <w:r>
                    <w:rPr>
                      <w:rFonts w:hint="eastAsia"/>
                      <w:color w:val="auto"/>
                      <w:szCs w:val="21"/>
                      <w:lang w:val="en-US" w:eastAsia="zh-CN"/>
                    </w:rPr>
                    <w:t>2023年6月</w:t>
                  </w:r>
                </w:p>
              </w:tc>
              <w:tc>
                <w:tcPr>
                  <w:tcW w:w="872" w:type="dxa"/>
                  <w:noWrap w:val="0"/>
                  <w:vAlign w:val="center"/>
                </w:tcPr>
                <w:p w14:paraId="1DC5C8E0">
                  <w:pPr>
                    <w:autoSpaceDE w:val="0"/>
                    <w:adjustRightInd w:val="0"/>
                    <w:snapToGrid w:val="0"/>
                    <w:jc w:val="center"/>
                    <w:rPr>
                      <w:rFonts w:hint="default"/>
                      <w:bCs/>
                      <w:color w:val="auto"/>
                      <w:kern w:val="0"/>
                      <w:szCs w:val="21"/>
                      <w:lang w:val="en-US" w:eastAsia="zh-CN"/>
                    </w:rPr>
                  </w:pPr>
                  <w:r>
                    <w:rPr>
                      <w:rFonts w:hint="eastAsia"/>
                      <w:bCs/>
                      <w:color w:val="auto"/>
                      <w:kern w:val="0"/>
                      <w:szCs w:val="21"/>
                      <w:lang w:val="en-US" w:eastAsia="zh-CN"/>
                    </w:rPr>
                    <w:t>5.8</w:t>
                  </w:r>
                </w:p>
              </w:tc>
              <w:tc>
                <w:tcPr>
                  <w:tcW w:w="828" w:type="dxa"/>
                  <w:noWrap w:val="0"/>
                  <w:vAlign w:val="center"/>
                </w:tcPr>
                <w:p w14:paraId="4EFCA7A8">
                  <w:pPr>
                    <w:pStyle w:val="57"/>
                    <w:rPr>
                      <w:rFonts w:ascii="Times New Roman" w:hAnsi="Times New Roman" w:cs="Times New Roman"/>
                      <w:color w:val="auto"/>
                      <w:szCs w:val="21"/>
                    </w:rPr>
                  </w:pPr>
                  <w:r>
                    <w:rPr>
                      <w:rFonts w:ascii="Times New Roman" w:hAnsi="Times New Roman" w:cs="Times New Roman"/>
                      <w:color w:val="auto"/>
                      <w:szCs w:val="21"/>
                    </w:rPr>
                    <w:t>≤10</w:t>
                  </w:r>
                </w:p>
              </w:tc>
              <w:tc>
                <w:tcPr>
                  <w:tcW w:w="974" w:type="dxa"/>
                  <w:noWrap w:val="0"/>
                  <w:vAlign w:val="center"/>
                </w:tcPr>
                <w:p w14:paraId="5E0E4B6D">
                  <w:pPr>
                    <w:pStyle w:val="57"/>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0.58</w:t>
                  </w:r>
                </w:p>
              </w:tc>
              <w:tc>
                <w:tcPr>
                  <w:tcW w:w="974" w:type="dxa"/>
                  <w:noWrap w:val="0"/>
                  <w:vAlign w:val="center"/>
                </w:tcPr>
                <w:p w14:paraId="0BC00454">
                  <w:pPr>
                    <w:jc w:val="center"/>
                    <w:rPr>
                      <w:rFonts w:hint="eastAsia" w:eastAsia="宋体"/>
                      <w:color w:val="auto"/>
                      <w:szCs w:val="21"/>
                      <w:lang w:val="en-US" w:eastAsia="zh-CN"/>
                    </w:rPr>
                  </w:pPr>
                  <w:r>
                    <w:rPr>
                      <w:rFonts w:hint="eastAsia"/>
                      <w:color w:val="auto"/>
                      <w:szCs w:val="21"/>
                      <w:lang w:val="en-US" w:eastAsia="zh-CN"/>
                    </w:rPr>
                    <w:t>0</w:t>
                  </w:r>
                </w:p>
              </w:tc>
              <w:tc>
                <w:tcPr>
                  <w:tcW w:w="959" w:type="dxa"/>
                  <w:noWrap w:val="0"/>
                  <w:vAlign w:val="center"/>
                </w:tcPr>
                <w:p w14:paraId="0BD88A8E">
                  <w:pPr>
                    <w:jc w:val="center"/>
                    <w:rPr>
                      <w:color w:val="auto"/>
                      <w:szCs w:val="21"/>
                    </w:rPr>
                  </w:pPr>
                  <w:r>
                    <w:rPr>
                      <w:color w:val="auto"/>
                      <w:szCs w:val="21"/>
                    </w:rPr>
                    <w:t>达标</w:t>
                  </w:r>
                </w:p>
              </w:tc>
            </w:tr>
            <w:tr w14:paraId="1945C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653" w:type="dxa"/>
                  <w:vMerge w:val="continue"/>
                  <w:noWrap w:val="0"/>
                  <w:vAlign w:val="center"/>
                </w:tcPr>
                <w:p w14:paraId="3CD0AA14">
                  <w:pPr>
                    <w:pStyle w:val="52"/>
                    <w:widowControl w:val="0"/>
                    <w:adjustRightInd/>
                    <w:snapToGrid/>
                    <w:ind w:right="0"/>
                    <w:rPr>
                      <w:color w:val="auto"/>
                      <w:szCs w:val="21"/>
                    </w:rPr>
                  </w:pPr>
                </w:p>
              </w:tc>
              <w:tc>
                <w:tcPr>
                  <w:tcW w:w="1522" w:type="dxa"/>
                  <w:noWrap w:val="0"/>
                  <w:vAlign w:val="center"/>
                </w:tcPr>
                <w:p w14:paraId="77D58C22">
                  <w:pPr>
                    <w:pStyle w:val="57"/>
                    <w:rPr>
                      <w:rFonts w:ascii="Times New Roman" w:hAnsi="Times New Roman" w:cs="Times New Roman"/>
                      <w:color w:val="auto"/>
                      <w:szCs w:val="21"/>
                    </w:rPr>
                  </w:pPr>
                  <w:r>
                    <w:rPr>
                      <w:rFonts w:ascii="Times New Roman" w:hAnsi="Times New Roman" w:cs="Times New Roman"/>
                      <w:color w:val="auto"/>
                      <w:position w:val="2"/>
                      <w:szCs w:val="21"/>
                    </w:rPr>
                    <w:t>NH</w:t>
                  </w:r>
                  <w:r>
                    <w:rPr>
                      <w:rFonts w:ascii="Times New Roman" w:hAnsi="Times New Roman" w:cs="Times New Roman"/>
                      <w:color w:val="auto"/>
                      <w:position w:val="2"/>
                      <w:szCs w:val="21"/>
                      <w:vertAlign w:val="subscript"/>
                    </w:rPr>
                    <w:t>3</w:t>
                  </w:r>
                  <w:r>
                    <w:rPr>
                      <w:rFonts w:ascii="Times New Roman" w:hAnsi="Times New Roman" w:cs="Times New Roman"/>
                      <w:color w:val="auto"/>
                      <w:position w:val="2"/>
                      <w:szCs w:val="21"/>
                    </w:rPr>
                    <w:t>-N</w:t>
                  </w:r>
                </w:p>
              </w:tc>
              <w:tc>
                <w:tcPr>
                  <w:tcW w:w="1235" w:type="dxa"/>
                  <w:vMerge w:val="continue"/>
                  <w:noWrap w:val="0"/>
                  <w:vAlign w:val="center"/>
                </w:tcPr>
                <w:p w14:paraId="4FE69B20">
                  <w:pPr>
                    <w:jc w:val="center"/>
                    <w:rPr>
                      <w:color w:val="auto"/>
                      <w:szCs w:val="21"/>
                    </w:rPr>
                  </w:pPr>
                </w:p>
              </w:tc>
              <w:tc>
                <w:tcPr>
                  <w:tcW w:w="872" w:type="dxa"/>
                  <w:noWrap w:val="0"/>
                  <w:vAlign w:val="center"/>
                </w:tcPr>
                <w:p w14:paraId="32847096">
                  <w:pPr>
                    <w:autoSpaceDE w:val="0"/>
                    <w:adjustRightInd w:val="0"/>
                    <w:snapToGrid w:val="0"/>
                    <w:jc w:val="center"/>
                    <w:rPr>
                      <w:rFonts w:hint="default"/>
                      <w:bCs/>
                      <w:color w:val="auto"/>
                      <w:kern w:val="0"/>
                      <w:szCs w:val="21"/>
                      <w:lang w:val="en-US" w:eastAsia="zh-CN"/>
                    </w:rPr>
                  </w:pPr>
                  <w:r>
                    <w:rPr>
                      <w:rFonts w:hint="eastAsia"/>
                      <w:bCs/>
                      <w:color w:val="auto"/>
                      <w:kern w:val="0"/>
                      <w:szCs w:val="21"/>
                      <w:lang w:val="en-US" w:eastAsia="zh-CN"/>
                    </w:rPr>
                    <w:t>0.34</w:t>
                  </w:r>
                </w:p>
              </w:tc>
              <w:tc>
                <w:tcPr>
                  <w:tcW w:w="828" w:type="dxa"/>
                  <w:noWrap w:val="0"/>
                  <w:vAlign w:val="center"/>
                </w:tcPr>
                <w:p w14:paraId="56E8FC58">
                  <w:pPr>
                    <w:pStyle w:val="57"/>
                    <w:rPr>
                      <w:rFonts w:ascii="Times New Roman" w:hAnsi="Times New Roman" w:cs="Times New Roman"/>
                      <w:color w:val="auto"/>
                      <w:szCs w:val="21"/>
                    </w:rPr>
                  </w:pPr>
                  <w:r>
                    <w:rPr>
                      <w:rFonts w:ascii="Times New Roman" w:hAnsi="Times New Roman" w:cs="Times New Roman"/>
                      <w:color w:val="auto"/>
                      <w:szCs w:val="21"/>
                    </w:rPr>
                    <w:t>≤1.5</w:t>
                  </w:r>
                </w:p>
              </w:tc>
              <w:tc>
                <w:tcPr>
                  <w:tcW w:w="974" w:type="dxa"/>
                  <w:noWrap w:val="0"/>
                  <w:vAlign w:val="center"/>
                </w:tcPr>
                <w:p w14:paraId="08D95F27">
                  <w:pPr>
                    <w:pStyle w:val="57"/>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0.227</w:t>
                  </w:r>
                </w:p>
              </w:tc>
              <w:tc>
                <w:tcPr>
                  <w:tcW w:w="974" w:type="dxa"/>
                  <w:noWrap w:val="0"/>
                  <w:vAlign w:val="center"/>
                </w:tcPr>
                <w:p w14:paraId="0BAB5FF7">
                  <w:pPr>
                    <w:jc w:val="center"/>
                    <w:rPr>
                      <w:rFonts w:hint="eastAsia" w:eastAsia="宋体"/>
                      <w:color w:val="auto"/>
                      <w:szCs w:val="21"/>
                      <w:lang w:val="en-US" w:eastAsia="zh-CN"/>
                    </w:rPr>
                  </w:pPr>
                  <w:r>
                    <w:rPr>
                      <w:rFonts w:hint="eastAsia"/>
                      <w:color w:val="auto"/>
                      <w:szCs w:val="21"/>
                      <w:lang w:val="en-US" w:eastAsia="zh-CN"/>
                    </w:rPr>
                    <w:t>0</w:t>
                  </w:r>
                </w:p>
              </w:tc>
              <w:tc>
                <w:tcPr>
                  <w:tcW w:w="959" w:type="dxa"/>
                  <w:noWrap w:val="0"/>
                  <w:vAlign w:val="center"/>
                </w:tcPr>
                <w:p w14:paraId="65166E98">
                  <w:pPr>
                    <w:jc w:val="center"/>
                    <w:rPr>
                      <w:color w:val="auto"/>
                      <w:szCs w:val="21"/>
                    </w:rPr>
                  </w:pPr>
                  <w:r>
                    <w:rPr>
                      <w:color w:val="auto"/>
                      <w:szCs w:val="21"/>
                    </w:rPr>
                    <w:t>达标</w:t>
                  </w:r>
                </w:p>
              </w:tc>
            </w:tr>
            <w:tr w14:paraId="0DAFA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653" w:type="dxa"/>
                  <w:vMerge w:val="continue"/>
                  <w:noWrap w:val="0"/>
                  <w:vAlign w:val="center"/>
                </w:tcPr>
                <w:p w14:paraId="266700B9">
                  <w:pPr>
                    <w:pStyle w:val="52"/>
                    <w:widowControl w:val="0"/>
                    <w:adjustRightInd/>
                    <w:snapToGrid/>
                    <w:ind w:right="0"/>
                    <w:rPr>
                      <w:color w:val="auto"/>
                      <w:szCs w:val="21"/>
                    </w:rPr>
                  </w:pPr>
                </w:p>
              </w:tc>
              <w:tc>
                <w:tcPr>
                  <w:tcW w:w="1522" w:type="dxa"/>
                  <w:noWrap w:val="0"/>
                  <w:vAlign w:val="center"/>
                </w:tcPr>
                <w:p w14:paraId="72FE5F1A">
                  <w:pPr>
                    <w:pStyle w:val="57"/>
                    <w:rPr>
                      <w:rFonts w:ascii="Times New Roman" w:hAnsi="Times New Roman" w:cs="Times New Roman"/>
                      <w:color w:val="auto"/>
                      <w:szCs w:val="21"/>
                    </w:rPr>
                  </w:pPr>
                  <w:r>
                    <w:rPr>
                      <w:rFonts w:ascii="Times New Roman" w:hAnsi="Times New Roman" w:cs="Times New Roman"/>
                      <w:color w:val="auto"/>
                      <w:szCs w:val="21"/>
                    </w:rPr>
                    <w:t>总磷</w:t>
                  </w:r>
                </w:p>
              </w:tc>
              <w:tc>
                <w:tcPr>
                  <w:tcW w:w="1235" w:type="dxa"/>
                  <w:vMerge w:val="continue"/>
                  <w:noWrap w:val="0"/>
                  <w:vAlign w:val="center"/>
                </w:tcPr>
                <w:p w14:paraId="585BE26E">
                  <w:pPr>
                    <w:jc w:val="center"/>
                    <w:rPr>
                      <w:color w:val="auto"/>
                      <w:szCs w:val="21"/>
                    </w:rPr>
                  </w:pPr>
                </w:p>
              </w:tc>
              <w:tc>
                <w:tcPr>
                  <w:tcW w:w="872" w:type="dxa"/>
                  <w:noWrap w:val="0"/>
                  <w:vAlign w:val="center"/>
                </w:tcPr>
                <w:p w14:paraId="1886D716">
                  <w:pPr>
                    <w:autoSpaceDE w:val="0"/>
                    <w:adjustRightInd w:val="0"/>
                    <w:snapToGrid w:val="0"/>
                    <w:jc w:val="center"/>
                    <w:rPr>
                      <w:rFonts w:hint="default"/>
                      <w:bCs/>
                      <w:color w:val="auto"/>
                      <w:kern w:val="0"/>
                      <w:szCs w:val="21"/>
                      <w:lang w:val="en-US" w:eastAsia="zh-CN"/>
                    </w:rPr>
                  </w:pPr>
                  <w:r>
                    <w:rPr>
                      <w:rFonts w:hint="eastAsia"/>
                      <w:bCs/>
                      <w:color w:val="auto"/>
                      <w:kern w:val="0"/>
                      <w:szCs w:val="21"/>
                      <w:lang w:val="en-US" w:eastAsia="zh-CN"/>
                    </w:rPr>
                    <w:t>0.15</w:t>
                  </w:r>
                </w:p>
              </w:tc>
              <w:tc>
                <w:tcPr>
                  <w:tcW w:w="828" w:type="dxa"/>
                  <w:noWrap w:val="0"/>
                  <w:vAlign w:val="center"/>
                </w:tcPr>
                <w:p w14:paraId="26104501">
                  <w:pPr>
                    <w:pStyle w:val="57"/>
                    <w:rPr>
                      <w:rFonts w:ascii="Times New Roman" w:hAnsi="Times New Roman" w:cs="Times New Roman"/>
                      <w:color w:val="auto"/>
                      <w:szCs w:val="21"/>
                    </w:rPr>
                  </w:pPr>
                  <w:r>
                    <w:rPr>
                      <w:rFonts w:ascii="Times New Roman" w:hAnsi="Times New Roman" w:cs="Times New Roman"/>
                      <w:color w:val="auto"/>
                      <w:szCs w:val="21"/>
                    </w:rPr>
                    <w:t>≤0.3</w:t>
                  </w:r>
                </w:p>
              </w:tc>
              <w:tc>
                <w:tcPr>
                  <w:tcW w:w="974" w:type="dxa"/>
                  <w:noWrap w:val="0"/>
                  <w:vAlign w:val="center"/>
                </w:tcPr>
                <w:p w14:paraId="2276D266">
                  <w:pPr>
                    <w:pStyle w:val="57"/>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0.5</w:t>
                  </w:r>
                </w:p>
              </w:tc>
              <w:tc>
                <w:tcPr>
                  <w:tcW w:w="974" w:type="dxa"/>
                  <w:noWrap w:val="0"/>
                  <w:vAlign w:val="center"/>
                </w:tcPr>
                <w:p w14:paraId="2369822C">
                  <w:pPr>
                    <w:jc w:val="center"/>
                    <w:rPr>
                      <w:rFonts w:hint="eastAsia" w:eastAsia="宋体"/>
                      <w:color w:val="auto"/>
                      <w:szCs w:val="21"/>
                      <w:lang w:val="en-US" w:eastAsia="zh-CN"/>
                    </w:rPr>
                  </w:pPr>
                  <w:r>
                    <w:rPr>
                      <w:rFonts w:hint="eastAsia"/>
                      <w:color w:val="auto"/>
                      <w:szCs w:val="21"/>
                      <w:lang w:val="en-US" w:eastAsia="zh-CN"/>
                    </w:rPr>
                    <w:t>0</w:t>
                  </w:r>
                </w:p>
              </w:tc>
              <w:tc>
                <w:tcPr>
                  <w:tcW w:w="959" w:type="dxa"/>
                  <w:noWrap w:val="0"/>
                  <w:vAlign w:val="center"/>
                </w:tcPr>
                <w:p w14:paraId="7849B6F1">
                  <w:pPr>
                    <w:jc w:val="center"/>
                    <w:rPr>
                      <w:color w:val="auto"/>
                      <w:szCs w:val="21"/>
                    </w:rPr>
                  </w:pPr>
                  <w:r>
                    <w:rPr>
                      <w:color w:val="auto"/>
                      <w:szCs w:val="21"/>
                    </w:rPr>
                    <w:t>达标</w:t>
                  </w:r>
                </w:p>
              </w:tc>
            </w:tr>
            <w:tr w14:paraId="0DFDF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653" w:type="dxa"/>
                  <w:vMerge w:val="continue"/>
                  <w:noWrap w:val="0"/>
                  <w:vAlign w:val="center"/>
                </w:tcPr>
                <w:p w14:paraId="41A17680">
                  <w:pPr>
                    <w:pStyle w:val="52"/>
                    <w:widowControl w:val="0"/>
                    <w:adjustRightInd/>
                    <w:snapToGrid/>
                    <w:ind w:right="0"/>
                    <w:rPr>
                      <w:color w:val="auto"/>
                      <w:szCs w:val="21"/>
                    </w:rPr>
                  </w:pPr>
                </w:p>
              </w:tc>
              <w:tc>
                <w:tcPr>
                  <w:tcW w:w="1522" w:type="dxa"/>
                  <w:noWrap w:val="0"/>
                  <w:vAlign w:val="center"/>
                </w:tcPr>
                <w:p w14:paraId="0F86B603">
                  <w:pPr>
                    <w:pStyle w:val="57"/>
                    <w:rPr>
                      <w:rFonts w:ascii="Times New Roman" w:hAnsi="Times New Roman" w:cs="Times New Roman"/>
                      <w:color w:val="auto"/>
                      <w:szCs w:val="21"/>
                    </w:rPr>
                  </w:pPr>
                  <w:r>
                    <w:rPr>
                      <w:rFonts w:ascii="Times New Roman" w:hAnsi="Times New Roman" w:cs="Times New Roman"/>
                      <w:color w:val="auto"/>
                      <w:szCs w:val="21"/>
                    </w:rPr>
                    <w:t>高锰酸盐指数</w:t>
                  </w:r>
                </w:p>
              </w:tc>
              <w:tc>
                <w:tcPr>
                  <w:tcW w:w="1235" w:type="dxa"/>
                  <w:vMerge w:val="restart"/>
                  <w:noWrap w:val="0"/>
                  <w:vAlign w:val="center"/>
                </w:tcPr>
                <w:p w14:paraId="71AFEBED">
                  <w:pPr>
                    <w:jc w:val="center"/>
                    <w:rPr>
                      <w:color w:val="auto"/>
                      <w:szCs w:val="21"/>
                    </w:rPr>
                  </w:pPr>
                  <w:r>
                    <w:rPr>
                      <w:rFonts w:hint="eastAsia"/>
                      <w:color w:val="auto"/>
                      <w:szCs w:val="21"/>
                      <w:lang w:val="en-US" w:eastAsia="zh-CN"/>
                    </w:rPr>
                    <w:t>2023年7月</w:t>
                  </w:r>
                </w:p>
              </w:tc>
              <w:tc>
                <w:tcPr>
                  <w:tcW w:w="872" w:type="dxa"/>
                  <w:noWrap w:val="0"/>
                  <w:vAlign w:val="center"/>
                </w:tcPr>
                <w:p w14:paraId="2B3AD814">
                  <w:pPr>
                    <w:autoSpaceDE w:val="0"/>
                    <w:adjustRightInd w:val="0"/>
                    <w:snapToGrid w:val="0"/>
                    <w:jc w:val="center"/>
                    <w:rPr>
                      <w:rFonts w:hint="default"/>
                      <w:bCs/>
                      <w:color w:val="auto"/>
                      <w:kern w:val="0"/>
                      <w:szCs w:val="21"/>
                      <w:lang w:val="en-US" w:eastAsia="zh-CN"/>
                    </w:rPr>
                  </w:pPr>
                  <w:r>
                    <w:rPr>
                      <w:rFonts w:hint="eastAsia"/>
                      <w:bCs/>
                      <w:color w:val="auto"/>
                      <w:kern w:val="0"/>
                      <w:szCs w:val="21"/>
                      <w:lang w:val="en-US" w:eastAsia="zh-CN"/>
                    </w:rPr>
                    <w:t>4.5</w:t>
                  </w:r>
                </w:p>
              </w:tc>
              <w:tc>
                <w:tcPr>
                  <w:tcW w:w="828" w:type="dxa"/>
                  <w:noWrap w:val="0"/>
                  <w:vAlign w:val="center"/>
                </w:tcPr>
                <w:p w14:paraId="5B280E8E">
                  <w:pPr>
                    <w:pStyle w:val="57"/>
                    <w:rPr>
                      <w:rFonts w:ascii="Times New Roman" w:hAnsi="Times New Roman" w:cs="Times New Roman"/>
                      <w:color w:val="auto"/>
                      <w:szCs w:val="21"/>
                    </w:rPr>
                  </w:pPr>
                  <w:r>
                    <w:rPr>
                      <w:rFonts w:ascii="Times New Roman" w:hAnsi="Times New Roman" w:cs="Times New Roman"/>
                      <w:color w:val="auto"/>
                      <w:szCs w:val="21"/>
                    </w:rPr>
                    <w:t>≤10</w:t>
                  </w:r>
                </w:p>
              </w:tc>
              <w:tc>
                <w:tcPr>
                  <w:tcW w:w="974" w:type="dxa"/>
                  <w:noWrap w:val="0"/>
                  <w:vAlign w:val="center"/>
                </w:tcPr>
                <w:p w14:paraId="781E8C25">
                  <w:pPr>
                    <w:pStyle w:val="57"/>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0.45</w:t>
                  </w:r>
                </w:p>
              </w:tc>
              <w:tc>
                <w:tcPr>
                  <w:tcW w:w="974" w:type="dxa"/>
                  <w:noWrap w:val="0"/>
                  <w:vAlign w:val="center"/>
                </w:tcPr>
                <w:p w14:paraId="620555FC">
                  <w:pPr>
                    <w:jc w:val="center"/>
                    <w:rPr>
                      <w:rFonts w:hint="eastAsia" w:eastAsia="宋体"/>
                      <w:color w:val="auto"/>
                      <w:szCs w:val="21"/>
                      <w:lang w:val="en-US" w:eastAsia="zh-CN"/>
                    </w:rPr>
                  </w:pPr>
                  <w:r>
                    <w:rPr>
                      <w:rFonts w:hint="eastAsia"/>
                      <w:color w:val="auto"/>
                      <w:szCs w:val="21"/>
                      <w:lang w:val="en-US" w:eastAsia="zh-CN"/>
                    </w:rPr>
                    <w:t>0</w:t>
                  </w:r>
                </w:p>
              </w:tc>
              <w:tc>
                <w:tcPr>
                  <w:tcW w:w="959" w:type="dxa"/>
                  <w:noWrap w:val="0"/>
                  <w:vAlign w:val="center"/>
                </w:tcPr>
                <w:p w14:paraId="081BAB5C">
                  <w:pPr>
                    <w:jc w:val="center"/>
                    <w:rPr>
                      <w:color w:val="auto"/>
                      <w:szCs w:val="21"/>
                    </w:rPr>
                  </w:pPr>
                  <w:r>
                    <w:rPr>
                      <w:color w:val="auto"/>
                      <w:szCs w:val="21"/>
                    </w:rPr>
                    <w:t>达标</w:t>
                  </w:r>
                </w:p>
              </w:tc>
            </w:tr>
            <w:tr w14:paraId="455DB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653" w:type="dxa"/>
                  <w:vMerge w:val="continue"/>
                  <w:noWrap w:val="0"/>
                  <w:vAlign w:val="center"/>
                </w:tcPr>
                <w:p w14:paraId="4A45752C">
                  <w:pPr>
                    <w:pStyle w:val="52"/>
                    <w:widowControl w:val="0"/>
                    <w:adjustRightInd/>
                    <w:snapToGrid/>
                    <w:ind w:right="0"/>
                    <w:rPr>
                      <w:color w:val="auto"/>
                      <w:szCs w:val="21"/>
                    </w:rPr>
                  </w:pPr>
                </w:p>
              </w:tc>
              <w:tc>
                <w:tcPr>
                  <w:tcW w:w="1522" w:type="dxa"/>
                  <w:noWrap w:val="0"/>
                  <w:vAlign w:val="center"/>
                </w:tcPr>
                <w:p w14:paraId="32F0B74E">
                  <w:pPr>
                    <w:pStyle w:val="57"/>
                    <w:rPr>
                      <w:rFonts w:ascii="Times New Roman" w:hAnsi="Times New Roman" w:cs="Times New Roman"/>
                      <w:color w:val="auto"/>
                      <w:szCs w:val="21"/>
                    </w:rPr>
                  </w:pPr>
                  <w:r>
                    <w:rPr>
                      <w:rFonts w:ascii="Times New Roman" w:hAnsi="Times New Roman" w:cs="Times New Roman"/>
                      <w:color w:val="auto"/>
                      <w:position w:val="2"/>
                      <w:szCs w:val="21"/>
                    </w:rPr>
                    <w:t>NH</w:t>
                  </w:r>
                  <w:r>
                    <w:rPr>
                      <w:rFonts w:ascii="Times New Roman" w:hAnsi="Times New Roman" w:cs="Times New Roman"/>
                      <w:color w:val="auto"/>
                      <w:position w:val="2"/>
                      <w:szCs w:val="21"/>
                      <w:vertAlign w:val="subscript"/>
                    </w:rPr>
                    <w:t>3</w:t>
                  </w:r>
                  <w:r>
                    <w:rPr>
                      <w:rFonts w:ascii="Times New Roman" w:hAnsi="Times New Roman" w:cs="Times New Roman"/>
                      <w:color w:val="auto"/>
                      <w:position w:val="2"/>
                      <w:szCs w:val="21"/>
                    </w:rPr>
                    <w:t>-N</w:t>
                  </w:r>
                </w:p>
              </w:tc>
              <w:tc>
                <w:tcPr>
                  <w:tcW w:w="1235" w:type="dxa"/>
                  <w:vMerge w:val="continue"/>
                  <w:noWrap w:val="0"/>
                  <w:vAlign w:val="center"/>
                </w:tcPr>
                <w:p w14:paraId="21668E6B">
                  <w:pPr>
                    <w:jc w:val="center"/>
                    <w:rPr>
                      <w:color w:val="auto"/>
                      <w:szCs w:val="21"/>
                    </w:rPr>
                  </w:pPr>
                </w:p>
              </w:tc>
              <w:tc>
                <w:tcPr>
                  <w:tcW w:w="872" w:type="dxa"/>
                  <w:noWrap w:val="0"/>
                  <w:vAlign w:val="center"/>
                </w:tcPr>
                <w:p w14:paraId="642B04BF">
                  <w:pPr>
                    <w:autoSpaceDE w:val="0"/>
                    <w:adjustRightInd w:val="0"/>
                    <w:snapToGrid w:val="0"/>
                    <w:jc w:val="center"/>
                    <w:rPr>
                      <w:rFonts w:hint="default"/>
                      <w:bCs/>
                      <w:color w:val="auto"/>
                      <w:kern w:val="0"/>
                      <w:szCs w:val="21"/>
                      <w:lang w:val="en-US" w:eastAsia="zh-CN"/>
                    </w:rPr>
                  </w:pPr>
                  <w:r>
                    <w:rPr>
                      <w:rFonts w:hint="eastAsia"/>
                      <w:bCs/>
                      <w:color w:val="auto"/>
                      <w:kern w:val="0"/>
                      <w:szCs w:val="21"/>
                      <w:lang w:val="en-US" w:eastAsia="zh-CN"/>
                    </w:rPr>
                    <w:t>0.21</w:t>
                  </w:r>
                </w:p>
              </w:tc>
              <w:tc>
                <w:tcPr>
                  <w:tcW w:w="828" w:type="dxa"/>
                  <w:noWrap w:val="0"/>
                  <w:vAlign w:val="center"/>
                </w:tcPr>
                <w:p w14:paraId="204AFC70">
                  <w:pPr>
                    <w:pStyle w:val="57"/>
                    <w:rPr>
                      <w:rFonts w:ascii="Times New Roman" w:hAnsi="Times New Roman" w:cs="Times New Roman"/>
                      <w:color w:val="auto"/>
                      <w:szCs w:val="21"/>
                    </w:rPr>
                  </w:pPr>
                  <w:r>
                    <w:rPr>
                      <w:rFonts w:ascii="Times New Roman" w:hAnsi="Times New Roman" w:cs="Times New Roman"/>
                      <w:color w:val="auto"/>
                      <w:szCs w:val="21"/>
                    </w:rPr>
                    <w:t>≤1.5</w:t>
                  </w:r>
                </w:p>
              </w:tc>
              <w:tc>
                <w:tcPr>
                  <w:tcW w:w="974" w:type="dxa"/>
                  <w:noWrap w:val="0"/>
                  <w:vAlign w:val="center"/>
                </w:tcPr>
                <w:p w14:paraId="5905175E">
                  <w:pPr>
                    <w:pStyle w:val="57"/>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0.14</w:t>
                  </w:r>
                </w:p>
              </w:tc>
              <w:tc>
                <w:tcPr>
                  <w:tcW w:w="974" w:type="dxa"/>
                  <w:noWrap w:val="0"/>
                  <w:vAlign w:val="center"/>
                </w:tcPr>
                <w:p w14:paraId="71F000EA">
                  <w:pPr>
                    <w:jc w:val="center"/>
                    <w:rPr>
                      <w:rFonts w:hint="eastAsia" w:eastAsia="宋体"/>
                      <w:color w:val="auto"/>
                      <w:szCs w:val="21"/>
                      <w:lang w:val="en-US" w:eastAsia="zh-CN"/>
                    </w:rPr>
                  </w:pPr>
                  <w:r>
                    <w:rPr>
                      <w:rFonts w:hint="eastAsia"/>
                      <w:color w:val="auto"/>
                      <w:szCs w:val="21"/>
                      <w:lang w:val="en-US" w:eastAsia="zh-CN"/>
                    </w:rPr>
                    <w:t>0</w:t>
                  </w:r>
                </w:p>
              </w:tc>
              <w:tc>
                <w:tcPr>
                  <w:tcW w:w="959" w:type="dxa"/>
                  <w:noWrap w:val="0"/>
                  <w:vAlign w:val="center"/>
                </w:tcPr>
                <w:p w14:paraId="2A61DF56">
                  <w:pPr>
                    <w:jc w:val="center"/>
                    <w:rPr>
                      <w:color w:val="auto"/>
                      <w:szCs w:val="21"/>
                    </w:rPr>
                  </w:pPr>
                  <w:r>
                    <w:rPr>
                      <w:color w:val="auto"/>
                      <w:szCs w:val="21"/>
                    </w:rPr>
                    <w:t>达标</w:t>
                  </w:r>
                </w:p>
              </w:tc>
            </w:tr>
            <w:tr w14:paraId="50F3A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653" w:type="dxa"/>
                  <w:vMerge w:val="continue"/>
                  <w:noWrap w:val="0"/>
                  <w:vAlign w:val="center"/>
                </w:tcPr>
                <w:p w14:paraId="1DD0F44D">
                  <w:pPr>
                    <w:pStyle w:val="52"/>
                    <w:widowControl w:val="0"/>
                    <w:adjustRightInd/>
                    <w:snapToGrid/>
                    <w:ind w:right="0"/>
                    <w:rPr>
                      <w:color w:val="auto"/>
                      <w:szCs w:val="21"/>
                    </w:rPr>
                  </w:pPr>
                </w:p>
              </w:tc>
              <w:tc>
                <w:tcPr>
                  <w:tcW w:w="1522" w:type="dxa"/>
                  <w:noWrap w:val="0"/>
                  <w:vAlign w:val="center"/>
                </w:tcPr>
                <w:p w14:paraId="5A894767">
                  <w:pPr>
                    <w:pStyle w:val="57"/>
                    <w:rPr>
                      <w:rFonts w:ascii="Times New Roman" w:hAnsi="Times New Roman" w:cs="Times New Roman"/>
                      <w:color w:val="auto"/>
                      <w:szCs w:val="21"/>
                    </w:rPr>
                  </w:pPr>
                  <w:r>
                    <w:rPr>
                      <w:rFonts w:ascii="Times New Roman" w:hAnsi="Times New Roman" w:cs="Times New Roman"/>
                      <w:color w:val="auto"/>
                      <w:szCs w:val="21"/>
                    </w:rPr>
                    <w:t>总磷</w:t>
                  </w:r>
                </w:p>
              </w:tc>
              <w:tc>
                <w:tcPr>
                  <w:tcW w:w="1235" w:type="dxa"/>
                  <w:vMerge w:val="continue"/>
                  <w:noWrap w:val="0"/>
                  <w:vAlign w:val="center"/>
                </w:tcPr>
                <w:p w14:paraId="01EB4685">
                  <w:pPr>
                    <w:jc w:val="center"/>
                    <w:rPr>
                      <w:color w:val="auto"/>
                      <w:szCs w:val="21"/>
                    </w:rPr>
                  </w:pPr>
                </w:p>
              </w:tc>
              <w:tc>
                <w:tcPr>
                  <w:tcW w:w="872" w:type="dxa"/>
                  <w:noWrap w:val="0"/>
                  <w:vAlign w:val="center"/>
                </w:tcPr>
                <w:p w14:paraId="6A9519CF">
                  <w:pPr>
                    <w:autoSpaceDE w:val="0"/>
                    <w:adjustRightInd w:val="0"/>
                    <w:snapToGrid w:val="0"/>
                    <w:jc w:val="center"/>
                    <w:rPr>
                      <w:rFonts w:hint="default"/>
                      <w:bCs/>
                      <w:color w:val="auto"/>
                      <w:kern w:val="0"/>
                      <w:szCs w:val="21"/>
                      <w:lang w:val="en-US" w:eastAsia="zh-CN"/>
                    </w:rPr>
                  </w:pPr>
                  <w:r>
                    <w:rPr>
                      <w:rFonts w:hint="eastAsia"/>
                      <w:bCs/>
                      <w:color w:val="auto"/>
                      <w:kern w:val="0"/>
                      <w:szCs w:val="21"/>
                      <w:lang w:val="en-US" w:eastAsia="zh-CN"/>
                    </w:rPr>
                    <w:t>0.078</w:t>
                  </w:r>
                </w:p>
              </w:tc>
              <w:tc>
                <w:tcPr>
                  <w:tcW w:w="828" w:type="dxa"/>
                  <w:noWrap w:val="0"/>
                  <w:vAlign w:val="center"/>
                </w:tcPr>
                <w:p w14:paraId="7FDAA34C">
                  <w:pPr>
                    <w:pStyle w:val="57"/>
                    <w:rPr>
                      <w:rFonts w:ascii="Times New Roman" w:hAnsi="Times New Roman" w:cs="Times New Roman"/>
                      <w:color w:val="auto"/>
                      <w:szCs w:val="21"/>
                    </w:rPr>
                  </w:pPr>
                  <w:r>
                    <w:rPr>
                      <w:rFonts w:ascii="Times New Roman" w:hAnsi="Times New Roman" w:cs="Times New Roman"/>
                      <w:color w:val="auto"/>
                      <w:szCs w:val="21"/>
                    </w:rPr>
                    <w:t>≤0.3</w:t>
                  </w:r>
                </w:p>
              </w:tc>
              <w:tc>
                <w:tcPr>
                  <w:tcW w:w="974" w:type="dxa"/>
                  <w:noWrap w:val="0"/>
                  <w:vAlign w:val="center"/>
                </w:tcPr>
                <w:p w14:paraId="6726FDFA">
                  <w:pPr>
                    <w:pStyle w:val="57"/>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0.26</w:t>
                  </w:r>
                </w:p>
              </w:tc>
              <w:tc>
                <w:tcPr>
                  <w:tcW w:w="974" w:type="dxa"/>
                  <w:noWrap w:val="0"/>
                  <w:vAlign w:val="center"/>
                </w:tcPr>
                <w:p w14:paraId="67917582">
                  <w:pPr>
                    <w:jc w:val="center"/>
                    <w:rPr>
                      <w:rFonts w:hint="eastAsia" w:eastAsia="宋体"/>
                      <w:color w:val="auto"/>
                      <w:szCs w:val="21"/>
                      <w:lang w:val="en-US" w:eastAsia="zh-CN"/>
                    </w:rPr>
                  </w:pPr>
                  <w:r>
                    <w:rPr>
                      <w:rFonts w:hint="eastAsia"/>
                      <w:color w:val="auto"/>
                      <w:szCs w:val="21"/>
                      <w:lang w:val="en-US" w:eastAsia="zh-CN"/>
                    </w:rPr>
                    <w:t>0</w:t>
                  </w:r>
                </w:p>
              </w:tc>
              <w:tc>
                <w:tcPr>
                  <w:tcW w:w="959" w:type="dxa"/>
                  <w:noWrap w:val="0"/>
                  <w:vAlign w:val="center"/>
                </w:tcPr>
                <w:p w14:paraId="54E715FE">
                  <w:pPr>
                    <w:jc w:val="center"/>
                    <w:rPr>
                      <w:color w:val="auto"/>
                      <w:szCs w:val="21"/>
                    </w:rPr>
                  </w:pPr>
                  <w:r>
                    <w:rPr>
                      <w:color w:val="auto"/>
                      <w:szCs w:val="21"/>
                    </w:rPr>
                    <w:t>达标</w:t>
                  </w:r>
                </w:p>
              </w:tc>
            </w:tr>
            <w:tr w14:paraId="0E193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653" w:type="dxa"/>
                  <w:vMerge w:val="continue"/>
                  <w:noWrap w:val="0"/>
                  <w:vAlign w:val="center"/>
                </w:tcPr>
                <w:p w14:paraId="4ACD5E05">
                  <w:pPr>
                    <w:pStyle w:val="52"/>
                    <w:widowControl w:val="0"/>
                    <w:adjustRightInd/>
                    <w:snapToGrid/>
                    <w:ind w:right="0"/>
                    <w:rPr>
                      <w:color w:val="auto"/>
                      <w:szCs w:val="21"/>
                    </w:rPr>
                  </w:pPr>
                </w:p>
              </w:tc>
              <w:tc>
                <w:tcPr>
                  <w:tcW w:w="1522" w:type="dxa"/>
                  <w:noWrap w:val="0"/>
                  <w:vAlign w:val="center"/>
                </w:tcPr>
                <w:p w14:paraId="338361BD">
                  <w:pPr>
                    <w:pStyle w:val="57"/>
                    <w:rPr>
                      <w:rFonts w:ascii="Times New Roman" w:hAnsi="Times New Roman" w:cs="Times New Roman"/>
                      <w:color w:val="auto"/>
                      <w:szCs w:val="21"/>
                    </w:rPr>
                  </w:pPr>
                  <w:r>
                    <w:rPr>
                      <w:rFonts w:ascii="Times New Roman" w:hAnsi="Times New Roman" w:cs="Times New Roman"/>
                      <w:color w:val="auto"/>
                      <w:szCs w:val="21"/>
                    </w:rPr>
                    <w:t>高锰酸盐指数</w:t>
                  </w:r>
                </w:p>
              </w:tc>
              <w:tc>
                <w:tcPr>
                  <w:tcW w:w="1235" w:type="dxa"/>
                  <w:vMerge w:val="restart"/>
                  <w:noWrap w:val="0"/>
                  <w:vAlign w:val="center"/>
                </w:tcPr>
                <w:p w14:paraId="18BFC63A">
                  <w:pPr>
                    <w:jc w:val="center"/>
                    <w:rPr>
                      <w:color w:val="auto"/>
                      <w:szCs w:val="21"/>
                    </w:rPr>
                  </w:pPr>
                  <w:r>
                    <w:rPr>
                      <w:rFonts w:hint="eastAsia"/>
                      <w:color w:val="auto"/>
                      <w:szCs w:val="21"/>
                      <w:lang w:val="en-US" w:eastAsia="zh-CN"/>
                    </w:rPr>
                    <w:t>2023年8月</w:t>
                  </w:r>
                </w:p>
              </w:tc>
              <w:tc>
                <w:tcPr>
                  <w:tcW w:w="872" w:type="dxa"/>
                  <w:noWrap w:val="0"/>
                  <w:vAlign w:val="center"/>
                </w:tcPr>
                <w:p w14:paraId="0E2F5C3D">
                  <w:pPr>
                    <w:autoSpaceDE w:val="0"/>
                    <w:adjustRightInd w:val="0"/>
                    <w:snapToGrid w:val="0"/>
                    <w:jc w:val="center"/>
                    <w:rPr>
                      <w:rFonts w:hint="default"/>
                      <w:bCs/>
                      <w:color w:val="auto"/>
                      <w:kern w:val="0"/>
                      <w:szCs w:val="21"/>
                      <w:lang w:val="en-US" w:eastAsia="zh-CN"/>
                    </w:rPr>
                  </w:pPr>
                  <w:r>
                    <w:rPr>
                      <w:rFonts w:hint="eastAsia"/>
                      <w:bCs/>
                      <w:color w:val="auto"/>
                      <w:kern w:val="0"/>
                      <w:szCs w:val="21"/>
                      <w:lang w:val="en-US" w:eastAsia="zh-CN"/>
                    </w:rPr>
                    <w:t>6.2</w:t>
                  </w:r>
                </w:p>
              </w:tc>
              <w:tc>
                <w:tcPr>
                  <w:tcW w:w="828" w:type="dxa"/>
                  <w:noWrap w:val="0"/>
                  <w:vAlign w:val="center"/>
                </w:tcPr>
                <w:p w14:paraId="5F56F370">
                  <w:pPr>
                    <w:pStyle w:val="57"/>
                    <w:rPr>
                      <w:rFonts w:ascii="Times New Roman" w:hAnsi="Times New Roman" w:cs="Times New Roman"/>
                      <w:color w:val="auto"/>
                      <w:szCs w:val="21"/>
                    </w:rPr>
                  </w:pPr>
                  <w:r>
                    <w:rPr>
                      <w:rFonts w:ascii="Times New Roman" w:hAnsi="Times New Roman" w:cs="Times New Roman"/>
                      <w:color w:val="auto"/>
                      <w:szCs w:val="21"/>
                    </w:rPr>
                    <w:t>≤10</w:t>
                  </w:r>
                </w:p>
              </w:tc>
              <w:tc>
                <w:tcPr>
                  <w:tcW w:w="974" w:type="dxa"/>
                  <w:noWrap w:val="0"/>
                  <w:vAlign w:val="center"/>
                </w:tcPr>
                <w:p w14:paraId="483E4164">
                  <w:pPr>
                    <w:pStyle w:val="57"/>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0.62</w:t>
                  </w:r>
                </w:p>
              </w:tc>
              <w:tc>
                <w:tcPr>
                  <w:tcW w:w="974" w:type="dxa"/>
                  <w:noWrap w:val="0"/>
                  <w:vAlign w:val="center"/>
                </w:tcPr>
                <w:p w14:paraId="226C71A7">
                  <w:pPr>
                    <w:jc w:val="center"/>
                    <w:rPr>
                      <w:rFonts w:hint="eastAsia" w:eastAsia="宋体"/>
                      <w:color w:val="auto"/>
                      <w:szCs w:val="21"/>
                      <w:lang w:val="en-US" w:eastAsia="zh-CN"/>
                    </w:rPr>
                  </w:pPr>
                  <w:r>
                    <w:rPr>
                      <w:rFonts w:hint="eastAsia"/>
                      <w:color w:val="auto"/>
                      <w:szCs w:val="21"/>
                      <w:lang w:val="en-US" w:eastAsia="zh-CN"/>
                    </w:rPr>
                    <w:t>0</w:t>
                  </w:r>
                </w:p>
              </w:tc>
              <w:tc>
                <w:tcPr>
                  <w:tcW w:w="959" w:type="dxa"/>
                  <w:noWrap w:val="0"/>
                  <w:vAlign w:val="center"/>
                </w:tcPr>
                <w:p w14:paraId="4A437DEA">
                  <w:pPr>
                    <w:jc w:val="center"/>
                    <w:rPr>
                      <w:color w:val="auto"/>
                      <w:szCs w:val="21"/>
                    </w:rPr>
                  </w:pPr>
                  <w:r>
                    <w:rPr>
                      <w:color w:val="auto"/>
                      <w:szCs w:val="21"/>
                    </w:rPr>
                    <w:t>达标</w:t>
                  </w:r>
                </w:p>
              </w:tc>
            </w:tr>
            <w:tr w14:paraId="4C6B9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653" w:type="dxa"/>
                  <w:vMerge w:val="continue"/>
                  <w:noWrap w:val="0"/>
                  <w:vAlign w:val="center"/>
                </w:tcPr>
                <w:p w14:paraId="50EB1D83">
                  <w:pPr>
                    <w:pStyle w:val="52"/>
                    <w:widowControl w:val="0"/>
                    <w:adjustRightInd/>
                    <w:snapToGrid/>
                    <w:ind w:right="0"/>
                    <w:rPr>
                      <w:color w:val="auto"/>
                      <w:szCs w:val="21"/>
                    </w:rPr>
                  </w:pPr>
                </w:p>
              </w:tc>
              <w:tc>
                <w:tcPr>
                  <w:tcW w:w="1522" w:type="dxa"/>
                  <w:noWrap w:val="0"/>
                  <w:vAlign w:val="center"/>
                </w:tcPr>
                <w:p w14:paraId="3C9987CC">
                  <w:pPr>
                    <w:pStyle w:val="57"/>
                    <w:rPr>
                      <w:rFonts w:ascii="Times New Roman" w:hAnsi="Times New Roman" w:cs="Times New Roman"/>
                      <w:color w:val="auto"/>
                      <w:szCs w:val="21"/>
                    </w:rPr>
                  </w:pPr>
                  <w:r>
                    <w:rPr>
                      <w:rFonts w:ascii="Times New Roman" w:hAnsi="Times New Roman" w:cs="Times New Roman"/>
                      <w:color w:val="auto"/>
                      <w:position w:val="2"/>
                      <w:szCs w:val="21"/>
                    </w:rPr>
                    <w:t>NH</w:t>
                  </w:r>
                  <w:r>
                    <w:rPr>
                      <w:rFonts w:ascii="Times New Roman" w:hAnsi="Times New Roman" w:cs="Times New Roman"/>
                      <w:color w:val="auto"/>
                      <w:position w:val="2"/>
                      <w:szCs w:val="21"/>
                      <w:vertAlign w:val="subscript"/>
                    </w:rPr>
                    <w:t>3</w:t>
                  </w:r>
                  <w:r>
                    <w:rPr>
                      <w:rFonts w:ascii="Times New Roman" w:hAnsi="Times New Roman" w:cs="Times New Roman"/>
                      <w:color w:val="auto"/>
                      <w:position w:val="2"/>
                      <w:szCs w:val="21"/>
                    </w:rPr>
                    <w:t>-N</w:t>
                  </w:r>
                </w:p>
              </w:tc>
              <w:tc>
                <w:tcPr>
                  <w:tcW w:w="1235" w:type="dxa"/>
                  <w:vMerge w:val="continue"/>
                  <w:noWrap w:val="0"/>
                  <w:vAlign w:val="center"/>
                </w:tcPr>
                <w:p w14:paraId="403AE014">
                  <w:pPr>
                    <w:jc w:val="center"/>
                    <w:rPr>
                      <w:color w:val="auto"/>
                      <w:szCs w:val="21"/>
                    </w:rPr>
                  </w:pPr>
                </w:p>
              </w:tc>
              <w:tc>
                <w:tcPr>
                  <w:tcW w:w="872" w:type="dxa"/>
                  <w:noWrap w:val="0"/>
                  <w:vAlign w:val="center"/>
                </w:tcPr>
                <w:p w14:paraId="61A2C290">
                  <w:pPr>
                    <w:autoSpaceDE w:val="0"/>
                    <w:adjustRightInd w:val="0"/>
                    <w:snapToGrid w:val="0"/>
                    <w:jc w:val="center"/>
                    <w:rPr>
                      <w:rFonts w:hint="default"/>
                      <w:bCs/>
                      <w:color w:val="auto"/>
                      <w:kern w:val="0"/>
                      <w:szCs w:val="21"/>
                      <w:lang w:val="en-US" w:eastAsia="zh-CN"/>
                    </w:rPr>
                  </w:pPr>
                  <w:r>
                    <w:rPr>
                      <w:rFonts w:hint="eastAsia"/>
                      <w:bCs/>
                      <w:color w:val="auto"/>
                      <w:kern w:val="0"/>
                      <w:szCs w:val="21"/>
                      <w:lang w:val="en-US" w:eastAsia="zh-CN"/>
                    </w:rPr>
                    <w:t>0.81</w:t>
                  </w:r>
                </w:p>
              </w:tc>
              <w:tc>
                <w:tcPr>
                  <w:tcW w:w="828" w:type="dxa"/>
                  <w:noWrap w:val="0"/>
                  <w:vAlign w:val="center"/>
                </w:tcPr>
                <w:p w14:paraId="4DA01143">
                  <w:pPr>
                    <w:pStyle w:val="57"/>
                    <w:rPr>
                      <w:rFonts w:ascii="Times New Roman" w:hAnsi="Times New Roman" w:cs="Times New Roman"/>
                      <w:color w:val="auto"/>
                      <w:szCs w:val="21"/>
                    </w:rPr>
                  </w:pPr>
                  <w:r>
                    <w:rPr>
                      <w:rFonts w:ascii="Times New Roman" w:hAnsi="Times New Roman" w:cs="Times New Roman"/>
                      <w:color w:val="auto"/>
                      <w:szCs w:val="21"/>
                    </w:rPr>
                    <w:t>≤1.5</w:t>
                  </w:r>
                </w:p>
              </w:tc>
              <w:tc>
                <w:tcPr>
                  <w:tcW w:w="974" w:type="dxa"/>
                  <w:noWrap w:val="0"/>
                  <w:vAlign w:val="center"/>
                </w:tcPr>
                <w:p w14:paraId="17A27A96">
                  <w:pPr>
                    <w:pStyle w:val="57"/>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0.54</w:t>
                  </w:r>
                </w:p>
              </w:tc>
              <w:tc>
                <w:tcPr>
                  <w:tcW w:w="974" w:type="dxa"/>
                  <w:noWrap w:val="0"/>
                  <w:vAlign w:val="center"/>
                </w:tcPr>
                <w:p w14:paraId="76C19F25">
                  <w:pPr>
                    <w:jc w:val="center"/>
                    <w:rPr>
                      <w:rFonts w:hint="eastAsia" w:eastAsia="宋体"/>
                      <w:color w:val="auto"/>
                      <w:szCs w:val="21"/>
                      <w:lang w:val="en-US" w:eastAsia="zh-CN"/>
                    </w:rPr>
                  </w:pPr>
                  <w:r>
                    <w:rPr>
                      <w:rFonts w:hint="eastAsia"/>
                      <w:color w:val="auto"/>
                      <w:szCs w:val="21"/>
                      <w:lang w:val="en-US" w:eastAsia="zh-CN"/>
                    </w:rPr>
                    <w:t>0</w:t>
                  </w:r>
                </w:p>
              </w:tc>
              <w:tc>
                <w:tcPr>
                  <w:tcW w:w="959" w:type="dxa"/>
                  <w:noWrap w:val="0"/>
                  <w:vAlign w:val="center"/>
                </w:tcPr>
                <w:p w14:paraId="30232567">
                  <w:pPr>
                    <w:jc w:val="center"/>
                    <w:rPr>
                      <w:color w:val="auto"/>
                      <w:szCs w:val="21"/>
                    </w:rPr>
                  </w:pPr>
                  <w:r>
                    <w:rPr>
                      <w:color w:val="auto"/>
                      <w:szCs w:val="21"/>
                    </w:rPr>
                    <w:t>达标</w:t>
                  </w:r>
                </w:p>
              </w:tc>
            </w:tr>
            <w:tr w14:paraId="3BBF4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653" w:type="dxa"/>
                  <w:vMerge w:val="continue"/>
                  <w:noWrap w:val="0"/>
                  <w:vAlign w:val="center"/>
                </w:tcPr>
                <w:p w14:paraId="5E72A0C9">
                  <w:pPr>
                    <w:pStyle w:val="52"/>
                    <w:widowControl w:val="0"/>
                    <w:adjustRightInd/>
                    <w:snapToGrid/>
                    <w:ind w:right="0"/>
                    <w:rPr>
                      <w:color w:val="auto"/>
                      <w:szCs w:val="21"/>
                    </w:rPr>
                  </w:pPr>
                </w:p>
              </w:tc>
              <w:tc>
                <w:tcPr>
                  <w:tcW w:w="1522" w:type="dxa"/>
                  <w:noWrap w:val="0"/>
                  <w:vAlign w:val="center"/>
                </w:tcPr>
                <w:p w14:paraId="7E0BF714">
                  <w:pPr>
                    <w:pStyle w:val="57"/>
                    <w:rPr>
                      <w:rFonts w:ascii="Times New Roman" w:hAnsi="Times New Roman" w:cs="Times New Roman"/>
                      <w:color w:val="auto"/>
                      <w:szCs w:val="21"/>
                    </w:rPr>
                  </w:pPr>
                  <w:r>
                    <w:rPr>
                      <w:rFonts w:ascii="Times New Roman" w:hAnsi="Times New Roman" w:cs="Times New Roman"/>
                      <w:color w:val="auto"/>
                      <w:szCs w:val="21"/>
                    </w:rPr>
                    <w:t>总磷</w:t>
                  </w:r>
                </w:p>
              </w:tc>
              <w:tc>
                <w:tcPr>
                  <w:tcW w:w="1235" w:type="dxa"/>
                  <w:vMerge w:val="continue"/>
                  <w:noWrap w:val="0"/>
                  <w:vAlign w:val="center"/>
                </w:tcPr>
                <w:p w14:paraId="5D9ED6AB">
                  <w:pPr>
                    <w:jc w:val="center"/>
                    <w:rPr>
                      <w:color w:val="auto"/>
                      <w:szCs w:val="21"/>
                    </w:rPr>
                  </w:pPr>
                </w:p>
              </w:tc>
              <w:tc>
                <w:tcPr>
                  <w:tcW w:w="872" w:type="dxa"/>
                  <w:noWrap w:val="0"/>
                  <w:vAlign w:val="center"/>
                </w:tcPr>
                <w:p w14:paraId="506E3C2A">
                  <w:pPr>
                    <w:autoSpaceDE w:val="0"/>
                    <w:adjustRightInd w:val="0"/>
                    <w:snapToGrid w:val="0"/>
                    <w:jc w:val="center"/>
                    <w:rPr>
                      <w:rFonts w:hint="default"/>
                      <w:bCs/>
                      <w:color w:val="auto"/>
                      <w:kern w:val="0"/>
                      <w:szCs w:val="21"/>
                      <w:lang w:val="en-US" w:eastAsia="zh-CN"/>
                    </w:rPr>
                  </w:pPr>
                  <w:r>
                    <w:rPr>
                      <w:rFonts w:hint="eastAsia"/>
                      <w:bCs/>
                      <w:color w:val="auto"/>
                      <w:kern w:val="0"/>
                      <w:szCs w:val="21"/>
                      <w:lang w:val="en-US" w:eastAsia="zh-CN"/>
                    </w:rPr>
                    <w:t>0.141</w:t>
                  </w:r>
                </w:p>
              </w:tc>
              <w:tc>
                <w:tcPr>
                  <w:tcW w:w="828" w:type="dxa"/>
                  <w:noWrap w:val="0"/>
                  <w:vAlign w:val="center"/>
                </w:tcPr>
                <w:p w14:paraId="3CA2AC9F">
                  <w:pPr>
                    <w:pStyle w:val="57"/>
                    <w:rPr>
                      <w:rFonts w:ascii="Times New Roman" w:hAnsi="Times New Roman" w:cs="Times New Roman"/>
                      <w:color w:val="auto"/>
                      <w:szCs w:val="21"/>
                    </w:rPr>
                  </w:pPr>
                  <w:r>
                    <w:rPr>
                      <w:rFonts w:ascii="Times New Roman" w:hAnsi="Times New Roman" w:cs="Times New Roman"/>
                      <w:color w:val="auto"/>
                      <w:szCs w:val="21"/>
                    </w:rPr>
                    <w:t>≤0.3</w:t>
                  </w:r>
                </w:p>
              </w:tc>
              <w:tc>
                <w:tcPr>
                  <w:tcW w:w="974" w:type="dxa"/>
                  <w:noWrap w:val="0"/>
                  <w:vAlign w:val="center"/>
                </w:tcPr>
                <w:p w14:paraId="69B335B2">
                  <w:pPr>
                    <w:pStyle w:val="57"/>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0.47</w:t>
                  </w:r>
                </w:p>
              </w:tc>
              <w:tc>
                <w:tcPr>
                  <w:tcW w:w="974" w:type="dxa"/>
                  <w:noWrap w:val="0"/>
                  <w:vAlign w:val="center"/>
                </w:tcPr>
                <w:p w14:paraId="00FA1096">
                  <w:pPr>
                    <w:jc w:val="center"/>
                    <w:rPr>
                      <w:rFonts w:hint="eastAsia" w:eastAsia="宋体"/>
                      <w:color w:val="auto"/>
                      <w:szCs w:val="21"/>
                      <w:lang w:val="en-US" w:eastAsia="zh-CN"/>
                    </w:rPr>
                  </w:pPr>
                  <w:r>
                    <w:rPr>
                      <w:rFonts w:hint="eastAsia"/>
                      <w:color w:val="auto"/>
                      <w:szCs w:val="21"/>
                      <w:lang w:val="en-US" w:eastAsia="zh-CN"/>
                    </w:rPr>
                    <w:t>0</w:t>
                  </w:r>
                </w:p>
              </w:tc>
              <w:tc>
                <w:tcPr>
                  <w:tcW w:w="959" w:type="dxa"/>
                  <w:noWrap w:val="0"/>
                  <w:vAlign w:val="center"/>
                </w:tcPr>
                <w:p w14:paraId="7EC90274">
                  <w:pPr>
                    <w:jc w:val="center"/>
                    <w:rPr>
                      <w:color w:val="auto"/>
                      <w:szCs w:val="21"/>
                    </w:rPr>
                  </w:pPr>
                  <w:r>
                    <w:rPr>
                      <w:color w:val="auto"/>
                      <w:szCs w:val="21"/>
                    </w:rPr>
                    <w:t>达标</w:t>
                  </w:r>
                </w:p>
              </w:tc>
            </w:tr>
            <w:tr w14:paraId="29B48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653" w:type="dxa"/>
                  <w:vMerge w:val="continue"/>
                  <w:noWrap w:val="0"/>
                  <w:vAlign w:val="center"/>
                </w:tcPr>
                <w:p w14:paraId="75FC3A1D">
                  <w:pPr>
                    <w:pStyle w:val="52"/>
                    <w:widowControl w:val="0"/>
                    <w:adjustRightInd/>
                    <w:snapToGrid/>
                    <w:ind w:right="0"/>
                    <w:rPr>
                      <w:color w:val="auto"/>
                      <w:szCs w:val="21"/>
                    </w:rPr>
                  </w:pPr>
                </w:p>
              </w:tc>
              <w:tc>
                <w:tcPr>
                  <w:tcW w:w="1522" w:type="dxa"/>
                  <w:noWrap w:val="0"/>
                  <w:vAlign w:val="center"/>
                </w:tcPr>
                <w:p w14:paraId="6DC9F85A">
                  <w:pPr>
                    <w:pStyle w:val="57"/>
                    <w:rPr>
                      <w:rFonts w:ascii="Times New Roman" w:hAnsi="Times New Roman" w:cs="Times New Roman"/>
                      <w:color w:val="auto"/>
                      <w:szCs w:val="21"/>
                    </w:rPr>
                  </w:pPr>
                  <w:r>
                    <w:rPr>
                      <w:rFonts w:ascii="Times New Roman" w:hAnsi="Times New Roman" w:cs="Times New Roman"/>
                      <w:color w:val="auto"/>
                      <w:szCs w:val="21"/>
                    </w:rPr>
                    <w:t>高锰酸盐指数</w:t>
                  </w:r>
                </w:p>
              </w:tc>
              <w:tc>
                <w:tcPr>
                  <w:tcW w:w="1235" w:type="dxa"/>
                  <w:vMerge w:val="restart"/>
                  <w:noWrap w:val="0"/>
                  <w:vAlign w:val="center"/>
                </w:tcPr>
                <w:p w14:paraId="78057C6C">
                  <w:pPr>
                    <w:jc w:val="center"/>
                    <w:rPr>
                      <w:color w:val="auto"/>
                      <w:szCs w:val="21"/>
                    </w:rPr>
                  </w:pPr>
                  <w:r>
                    <w:rPr>
                      <w:rFonts w:hint="eastAsia"/>
                      <w:color w:val="auto"/>
                      <w:szCs w:val="21"/>
                      <w:lang w:val="en-US" w:eastAsia="zh-CN"/>
                    </w:rPr>
                    <w:t>2023年9月</w:t>
                  </w:r>
                </w:p>
              </w:tc>
              <w:tc>
                <w:tcPr>
                  <w:tcW w:w="872" w:type="dxa"/>
                  <w:noWrap w:val="0"/>
                  <w:vAlign w:val="center"/>
                </w:tcPr>
                <w:p w14:paraId="2DF34E6B">
                  <w:pPr>
                    <w:autoSpaceDE w:val="0"/>
                    <w:adjustRightInd w:val="0"/>
                    <w:snapToGrid w:val="0"/>
                    <w:jc w:val="center"/>
                    <w:rPr>
                      <w:rFonts w:hint="default"/>
                      <w:bCs/>
                      <w:color w:val="auto"/>
                      <w:kern w:val="0"/>
                      <w:szCs w:val="21"/>
                      <w:lang w:val="en-US" w:eastAsia="zh-CN"/>
                    </w:rPr>
                  </w:pPr>
                  <w:r>
                    <w:rPr>
                      <w:rFonts w:hint="eastAsia"/>
                      <w:bCs/>
                      <w:color w:val="auto"/>
                      <w:kern w:val="0"/>
                      <w:szCs w:val="21"/>
                      <w:lang w:val="en-US" w:eastAsia="zh-CN"/>
                    </w:rPr>
                    <w:t>5.4</w:t>
                  </w:r>
                </w:p>
              </w:tc>
              <w:tc>
                <w:tcPr>
                  <w:tcW w:w="828" w:type="dxa"/>
                  <w:noWrap w:val="0"/>
                  <w:vAlign w:val="center"/>
                </w:tcPr>
                <w:p w14:paraId="3135D6BF">
                  <w:pPr>
                    <w:pStyle w:val="57"/>
                    <w:rPr>
                      <w:rFonts w:ascii="Times New Roman" w:hAnsi="Times New Roman" w:cs="Times New Roman"/>
                      <w:color w:val="auto"/>
                      <w:szCs w:val="21"/>
                    </w:rPr>
                  </w:pPr>
                  <w:r>
                    <w:rPr>
                      <w:rFonts w:ascii="Times New Roman" w:hAnsi="Times New Roman" w:cs="Times New Roman"/>
                      <w:color w:val="auto"/>
                      <w:szCs w:val="21"/>
                    </w:rPr>
                    <w:t>≤10</w:t>
                  </w:r>
                </w:p>
              </w:tc>
              <w:tc>
                <w:tcPr>
                  <w:tcW w:w="974" w:type="dxa"/>
                  <w:noWrap w:val="0"/>
                  <w:vAlign w:val="center"/>
                </w:tcPr>
                <w:p w14:paraId="7949485C">
                  <w:pPr>
                    <w:pStyle w:val="57"/>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0.54</w:t>
                  </w:r>
                </w:p>
              </w:tc>
              <w:tc>
                <w:tcPr>
                  <w:tcW w:w="974" w:type="dxa"/>
                  <w:noWrap w:val="0"/>
                  <w:vAlign w:val="center"/>
                </w:tcPr>
                <w:p w14:paraId="7A7046E5">
                  <w:pPr>
                    <w:jc w:val="center"/>
                    <w:rPr>
                      <w:rFonts w:hint="eastAsia" w:eastAsia="宋体"/>
                      <w:color w:val="auto"/>
                      <w:szCs w:val="21"/>
                      <w:lang w:val="en-US" w:eastAsia="zh-CN"/>
                    </w:rPr>
                  </w:pPr>
                  <w:r>
                    <w:rPr>
                      <w:rFonts w:hint="eastAsia"/>
                      <w:color w:val="auto"/>
                      <w:szCs w:val="21"/>
                      <w:lang w:val="en-US" w:eastAsia="zh-CN"/>
                    </w:rPr>
                    <w:t>0</w:t>
                  </w:r>
                </w:p>
              </w:tc>
              <w:tc>
                <w:tcPr>
                  <w:tcW w:w="959" w:type="dxa"/>
                  <w:noWrap w:val="0"/>
                  <w:vAlign w:val="center"/>
                </w:tcPr>
                <w:p w14:paraId="2EF9C5D4">
                  <w:pPr>
                    <w:jc w:val="center"/>
                    <w:rPr>
                      <w:color w:val="auto"/>
                      <w:szCs w:val="21"/>
                    </w:rPr>
                  </w:pPr>
                  <w:r>
                    <w:rPr>
                      <w:color w:val="auto"/>
                      <w:szCs w:val="21"/>
                    </w:rPr>
                    <w:t>达标</w:t>
                  </w:r>
                </w:p>
              </w:tc>
            </w:tr>
            <w:tr w14:paraId="30F6F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653" w:type="dxa"/>
                  <w:vMerge w:val="continue"/>
                  <w:noWrap w:val="0"/>
                  <w:vAlign w:val="center"/>
                </w:tcPr>
                <w:p w14:paraId="409955F9">
                  <w:pPr>
                    <w:pStyle w:val="52"/>
                    <w:widowControl w:val="0"/>
                    <w:adjustRightInd/>
                    <w:snapToGrid/>
                    <w:ind w:right="0"/>
                    <w:rPr>
                      <w:color w:val="auto"/>
                      <w:szCs w:val="21"/>
                    </w:rPr>
                  </w:pPr>
                </w:p>
              </w:tc>
              <w:tc>
                <w:tcPr>
                  <w:tcW w:w="1522" w:type="dxa"/>
                  <w:noWrap w:val="0"/>
                  <w:vAlign w:val="center"/>
                </w:tcPr>
                <w:p w14:paraId="47A66127">
                  <w:pPr>
                    <w:pStyle w:val="57"/>
                    <w:rPr>
                      <w:rFonts w:ascii="Times New Roman" w:hAnsi="Times New Roman" w:cs="Times New Roman"/>
                      <w:color w:val="auto"/>
                      <w:szCs w:val="21"/>
                    </w:rPr>
                  </w:pPr>
                  <w:r>
                    <w:rPr>
                      <w:rFonts w:ascii="Times New Roman" w:hAnsi="Times New Roman" w:cs="Times New Roman"/>
                      <w:color w:val="auto"/>
                      <w:position w:val="2"/>
                      <w:szCs w:val="21"/>
                    </w:rPr>
                    <w:t>NH</w:t>
                  </w:r>
                  <w:r>
                    <w:rPr>
                      <w:rFonts w:ascii="Times New Roman" w:hAnsi="Times New Roman" w:cs="Times New Roman"/>
                      <w:color w:val="auto"/>
                      <w:position w:val="2"/>
                      <w:szCs w:val="21"/>
                      <w:vertAlign w:val="subscript"/>
                    </w:rPr>
                    <w:t>3</w:t>
                  </w:r>
                  <w:r>
                    <w:rPr>
                      <w:rFonts w:ascii="Times New Roman" w:hAnsi="Times New Roman" w:cs="Times New Roman"/>
                      <w:color w:val="auto"/>
                      <w:position w:val="2"/>
                      <w:szCs w:val="21"/>
                    </w:rPr>
                    <w:t>-N</w:t>
                  </w:r>
                </w:p>
              </w:tc>
              <w:tc>
                <w:tcPr>
                  <w:tcW w:w="1235" w:type="dxa"/>
                  <w:vMerge w:val="continue"/>
                  <w:noWrap w:val="0"/>
                  <w:vAlign w:val="center"/>
                </w:tcPr>
                <w:p w14:paraId="07BCD9CA">
                  <w:pPr>
                    <w:jc w:val="center"/>
                    <w:rPr>
                      <w:color w:val="auto"/>
                      <w:szCs w:val="21"/>
                    </w:rPr>
                  </w:pPr>
                </w:p>
              </w:tc>
              <w:tc>
                <w:tcPr>
                  <w:tcW w:w="872" w:type="dxa"/>
                  <w:noWrap w:val="0"/>
                  <w:vAlign w:val="center"/>
                </w:tcPr>
                <w:p w14:paraId="270E1E6A">
                  <w:pPr>
                    <w:autoSpaceDE w:val="0"/>
                    <w:adjustRightInd w:val="0"/>
                    <w:snapToGrid w:val="0"/>
                    <w:jc w:val="center"/>
                    <w:rPr>
                      <w:rFonts w:hint="default"/>
                      <w:bCs/>
                      <w:color w:val="auto"/>
                      <w:kern w:val="0"/>
                      <w:szCs w:val="21"/>
                      <w:lang w:val="en-US" w:eastAsia="zh-CN"/>
                    </w:rPr>
                  </w:pPr>
                  <w:r>
                    <w:rPr>
                      <w:rFonts w:hint="eastAsia"/>
                      <w:bCs/>
                      <w:color w:val="auto"/>
                      <w:kern w:val="0"/>
                      <w:szCs w:val="21"/>
                      <w:lang w:val="en-US" w:eastAsia="zh-CN"/>
                    </w:rPr>
                    <w:t>0.19</w:t>
                  </w:r>
                </w:p>
              </w:tc>
              <w:tc>
                <w:tcPr>
                  <w:tcW w:w="828" w:type="dxa"/>
                  <w:noWrap w:val="0"/>
                  <w:vAlign w:val="center"/>
                </w:tcPr>
                <w:p w14:paraId="3A610E3B">
                  <w:pPr>
                    <w:pStyle w:val="57"/>
                    <w:rPr>
                      <w:rFonts w:ascii="Times New Roman" w:hAnsi="Times New Roman" w:cs="Times New Roman"/>
                      <w:color w:val="auto"/>
                      <w:szCs w:val="21"/>
                    </w:rPr>
                  </w:pPr>
                  <w:r>
                    <w:rPr>
                      <w:rFonts w:ascii="Times New Roman" w:hAnsi="Times New Roman" w:cs="Times New Roman"/>
                      <w:color w:val="auto"/>
                      <w:szCs w:val="21"/>
                    </w:rPr>
                    <w:t>≤1.5</w:t>
                  </w:r>
                </w:p>
              </w:tc>
              <w:tc>
                <w:tcPr>
                  <w:tcW w:w="974" w:type="dxa"/>
                  <w:noWrap w:val="0"/>
                  <w:vAlign w:val="center"/>
                </w:tcPr>
                <w:p w14:paraId="1A5B5302">
                  <w:pPr>
                    <w:pStyle w:val="57"/>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0.127</w:t>
                  </w:r>
                </w:p>
              </w:tc>
              <w:tc>
                <w:tcPr>
                  <w:tcW w:w="974" w:type="dxa"/>
                  <w:noWrap w:val="0"/>
                  <w:vAlign w:val="center"/>
                </w:tcPr>
                <w:p w14:paraId="58B0314C">
                  <w:pPr>
                    <w:jc w:val="center"/>
                    <w:rPr>
                      <w:rFonts w:hint="eastAsia" w:eastAsia="宋体"/>
                      <w:color w:val="auto"/>
                      <w:szCs w:val="21"/>
                      <w:lang w:val="en-US" w:eastAsia="zh-CN"/>
                    </w:rPr>
                  </w:pPr>
                  <w:r>
                    <w:rPr>
                      <w:rFonts w:hint="eastAsia"/>
                      <w:color w:val="auto"/>
                      <w:szCs w:val="21"/>
                      <w:lang w:val="en-US" w:eastAsia="zh-CN"/>
                    </w:rPr>
                    <w:t>0</w:t>
                  </w:r>
                </w:p>
              </w:tc>
              <w:tc>
                <w:tcPr>
                  <w:tcW w:w="959" w:type="dxa"/>
                  <w:noWrap w:val="0"/>
                  <w:vAlign w:val="center"/>
                </w:tcPr>
                <w:p w14:paraId="2301223B">
                  <w:pPr>
                    <w:jc w:val="center"/>
                    <w:rPr>
                      <w:color w:val="auto"/>
                      <w:szCs w:val="21"/>
                    </w:rPr>
                  </w:pPr>
                  <w:r>
                    <w:rPr>
                      <w:color w:val="auto"/>
                      <w:szCs w:val="21"/>
                    </w:rPr>
                    <w:t>达标</w:t>
                  </w:r>
                </w:p>
              </w:tc>
            </w:tr>
            <w:tr w14:paraId="38E98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653" w:type="dxa"/>
                  <w:vMerge w:val="continue"/>
                  <w:noWrap w:val="0"/>
                  <w:vAlign w:val="center"/>
                </w:tcPr>
                <w:p w14:paraId="54AC202F">
                  <w:pPr>
                    <w:pStyle w:val="52"/>
                    <w:widowControl w:val="0"/>
                    <w:adjustRightInd/>
                    <w:snapToGrid/>
                    <w:ind w:right="0"/>
                    <w:rPr>
                      <w:color w:val="auto"/>
                      <w:szCs w:val="21"/>
                    </w:rPr>
                  </w:pPr>
                </w:p>
              </w:tc>
              <w:tc>
                <w:tcPr>
                  <w:tcW w:w="1522" w:type="dxa"/>
                  <w:noWrap w:val="0"/>
                  <w:vAlign w:val="center"/>
                </w:tcPr>
                <w:p w14:paraId="7C88EBA8">
                  <w:pPr>
                    <w:pStyle w:val="57"/>
                    <w:rPr>
                      <w:rFonts w:ascii="Times New Roman" w:hAnsi="Times New Roman" w:cs="Times New Roman"/>
                      <w:color w:val="auto"/>
                      <w:szCs w:val="21"/>
                    </w:rPr>
                  </w:pPr>
                  <w:r>
                    <w:rPr>
                      <w:rFonts w:ascii="Times New Roman" w:hAnsi="Times New Roman" w:cs="Times New Roman"/>
                      <w:color w:val="auto"/>
                      <w:szCs w:val="21"/>
                    </w:rPr>
                    <w:t>总磷</w:t>
                  </w:r>
                </w:p>
              </w:tc>
              <w:tc>
                <w:tcPr>
                  <w:tcW w:w="1235" w:type="dxa"/>
                  <w:vMerge w:val="continue"/>
                  <w:noWrap w:val="0"/>
                  <w:vAlign w:val="center"/>
                </w:tcPr>
                <w:p w14:paraId="4F5C6FEE">
                  <w:pPr>
                    <w:jc w:val="center"/>
                    <w:rPr>
                      <w:color w:val="auto"/>
                      <w:szCs w:val="21"/>
                    </w:rPr>
                  </w:pPr>
                </w:p>
              </w:tc>
              <w:tc>
                <w:tcPr>
                  <w:tcW w:w="872" w:type="dxa"/>
                  <w:noWrap w:val="0"/>
                  <w:vAlign w:val="center"/>
                </w:tcPr>
                <w:p w14:paraId="7F36CEF5">
                  <w:pPr>
                    <w:autoSpaceDE w:val="0"/>
                    <w:adjustRightInd w:val="0"/>
                    <w:snapToGrid w:val="0"/>
                    <w:jc w:val="center"/>
                    <w:rPr>
                      <w:rFonts w:hint="default"/>
                      <w:bCs/>
                      <w:color w:val="auto"/>
                      <w:kern w:val="0"/>
                      <w:szCs w:val="21"/>
                      <w:lang w:val="en-US" w:eastAsia="zh-CN"/>
                    </w:rPr>
                  </w:pPr>
                  <w:r>
                    <w:rPr>
                      <w:rFonts w:hint="eastAsia"/>
                      <w:bCs/>
                      <w:color w:val="auto"/>
                      <w:kern w:val="0"/>
                      <w:szCs w:val="21"/>
                      <w:lang w:val="en-US" w:eastAsia="zh-CN"/>
                    </w:rPr>
                    <w:t>0.115</w:t>
                  </w:r>
                </w:p>
              </w:tc>
              <w:tc>
                <w:tcPr>
                  <w:tcW w:w="828" w:type="dxa"/>
                  <w:noWrap w:val="0"/>
                  <w:vAlign w:val="center"/>
                </w:tcPr>
                <w:p w14:paraId="706F6A85">
                  <w:pPr>
                    <w:pStyle w:val="57"/>
                    <w:rPr>
                      <w:rFonts w:ascii="Times New Roman" w:hAnsi="Times New Roman" w:cs="Times New Roman"/>
                      <w:color w:val="auto"/>
                      <w:szCs w:val="21"/>
                    </w:rPr>
                  </w:pPr>
                  <w:r>
                    <w:rPr>
                      <w:rFonts w:ascii="Times New Roman" w:hAnsi="Times New Roman" w:cs="Times New Roman"/>
                      <w:color w:val="auto"/>
                      <w:szCs w:val="21"/>
                    </w:rPr>
                    <w:t>≤0.3</w:t>
                  </w:r>
                </w:p>
              </w:tc>
              <w:tc>
                <w:tcPr>
                  <w:tcW w:w="974" w:type="dxa"/>
                  <w:noWrap w:val="0"/>
                  <w:vAlign w:val="center"/>
                </w:tcPr>
                <w:p w14:paraId="2D8F9E45">
                  <w:pPr>
                    <w:pStyle w:val="57"/>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0.338</w:t>
                  </w:r>
                </w:p>
              </w:tc>
              <w:tc>
                <w:tcPr>
                  <w:tcW w:w="974" w:type="dxa"/>
                  <w:noWrap w:val="0"/>
                  <w:vAlign w:val="center"/>
                </w:tcPr>
                <w:p w14:paraId="3B6AD868">
                  <w:pPr>
                    <w:jc w:val="center"/>
                    <w:rPr>
                      <w:rFonts w:hint="eastAsia" w:eastAsia="宋体"/>
                      <w:color w:val="auto"/>
                      <w:szCs w:val="21"/>
                      <w:lang w:val="en-US" w:eastAsia="zh-CN"/>
                    </w:rPr>
                  </w:pPr>
                  <w:r>
                    <w:rPr>
                      <w:rFonts w:hint="eastAsia"/>
                      <w:color w:val="auto"/>
                      <w:szCs w:val="21"/>
                      <w:lang w:val="en-US" w:eastAsia="zh-CN"/>
                    </w:rPr>
                    <w:t>0</w:t>
                  </w:r>
                </w:p>
              </w:tc>
              <w:tc>
                <w:tcPr>
                  <w:tcW w:w="959" w:type="dxa"/>
                  <w:noWrap w:val="0"/>
                  <w:vAlign w:val="center"/>
                </w:tcPr>
                <w:p w14:paraId="7FE934DD">
                  <w:pPr>
                    <w:jc w:val="center"/>
                    <w:rPr>
                      <w:color w:val="auto"/>
                      <w:szCs w:val="21"/>
                    </w:rPr>
                  </w:pPr>
                  <w:r>
                    <w:rPr>
                      <w:color w:val="auto"/>
                      <w:szCs w:val="21"/>
                    </w:rPr>
                    <w:t>达标</w:t>
                  </w:r>
                </w:p>
              </w:tc>
            </w:tr>
            <w:tr w14:paraId="22F83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653" w:type="dxa"/>
                  <w:vMerge w:val="continue"/>
                  <w:noWrap w:val="0"/>
                  <w:vAlign w:val="center"/>
                </w:tcPr>
                <w:p w14:paraId="72FA8B81">
                  <w:pPr>
                    <w:pStyle w:val="52"/>
                    <w:widowControl w:val="0"/>
                    <w:adjustRightInd/>
                    <w:snapToGrid/>
                    <w:ind w:right="0"/>
                    <w:rPr>
                      <w:color w:val="auto"/>
                      <w:szCs w:val="21"/>
                    </w:rPr>
                  </w:pPr>
                </w:p>
              </w:tc>
              <w:tc>
                <w:tcPr>
                  <w:tcW w:w="1522" w:type="dxa"/>
                  <w:noWrap w:val="0"/>
                  <w:vAlign w:val="center"/>
                </w:tcPr>
                <w:p w14:paraId="03ACB972">
                  <w:pPr>
                    <w:pStyle w:val="57"/>
                    <w:rPr>
                      <w:rFonts w:ascii="Times New Roman" w:hAnsi="Times New Roman" w:cs="Times New Roman"/>
                      <w:color w:val="auto"/>
                      <w:szCs w:val="21"/>
                    </w:rPr>
                  </w:pPr>
                  <w:r>
                    <w:rPr>
                      <w:rFonts w:ascii="Times New Roman" w:hAnsi="Times New Roman" w:cs="Times New Roman"/>
                      <w:color w:val="auto"/>
                      <w:szCs w:val="21"/>
                    </w:rPr>
                    <w:t>高锰酸盐指数</w:t>
                  </w:r>
                </w:p>
              </w:tc>
              <w:tc>
                <w:tcPr>
                  <w:tcW w:w="1235" w:type="dxa"/>
                  <w:vMerge w:val="restart"/>
                  <w:noWrap w:val="0"/>
                  <w:vAlign w:val="center"/>
                </w:tcPr>
                <w:p w14:paraId="4EAFC32E">
                  <w:pPr>
                    <w:jc w:val="center"/>
                    <w:rPr>
                      <w:color w:val="auto"/>
                      <w:szCs w:val="21"/>
                    </w:rPr>
                  </w:pPr>
                  <w:r>
                    <w:rPr>
                      <w:rFonts w:hint="eastAsia"/>
                      <w:color w:val="auto"/>
                      <w:szCs w:val="21"/>
                      <w:lang w:val="en-US" w:eastAsia="zh-CN"/>
                    </w:rPr>
                    <w:t>2023年10月</w:t>
                  </w:r>
                </w:p>
              </w:tc>
              <w:tc>
                <w:tcPr>
                  <w:tcW w:w="872" w:type="dxa"/>
                  <w:noWrap w:val="0"/>
                  <w:vAlign w:val="center"/>
                </w:tcPr>
                <w:p w14:paraId="6CDEEA14">
                  <w:pPr>
                    <w:autoSpaceDE w:val="0"/>
                    <w:adjustRightInd w:val="0"/>
                    <w:snapToGrid w:val="0"/>
                    <w:jc w:val="center"/>
                    <w:rPr>
                      <w:rFonts w:hint="default"/>
                      <w:bCs/>
                      <w:color w:val="auto"/>
                      <w:kern w:val="0"/>
                      <w:szCs w:val="21"/>
                      <w:lang w:val="en-US" w:eastAsia="zh-CN"/>
                    </w:rPr>
                  </w:pPr>
                  <w:r>
                    <w:rPr>
                      <w:rFonts w:hint="eastAsia"/>
                      <w:bCs/>
                      <w:color w:val="auto"/>
                      <w:kern w:val="0"/>
                      <w:szCs w:val="21"/>
                      <w:lang w:val="en-US" w:eastAsia="zh-CN"/>
                    </w:rPr>
                    <w:t>6</w:t>
                  </w:r>
                </w:p>
              </w:tc>
              <w:tc>
                <w:tcPr>
                  <w:tcW w:w="828" w:type="dxa"/>
                  <w:noWrap w:val="0"/>
                  <w:vAlign w:val="center"/>
                </w:tcPr>
                <w:p w14:paraId="4F0FA760">
                  <w:pPr>
                    <w:pStyle w:val="57"/>
                    <w:rPr>
                      <w:rFonts w:ascii="Times New Roman" w:hAnsi="Times New Roman" w:cs="Times New Roman"/>
                      <w:color w:val="auto"/>
                      <w:szCs w:val="21"/>
                    </w:rPr>
                  </w:pPr>
                  <w:r>
                    <w:rPr>
                      <w:rFonts w:ascii="Times New Roman" w:hAnsi="Times New Roman" w:cs="Times New Roman"/>
                      <w:color w:val="auto"/>
                      <w:szCs w:val="21"/>
                    </w:rPr>
                    <w:t>≤10</w:t>
                  </w:r>
                </w:p>
              </w:tc>
              <w:tc>
                <w:tcPr>
                  <w:tcW w:w="974" w:type="dxa"/>
                  <w:noWrap w:val="0"/>
                  <w:vAlign w:val="center"/>
                </w:tcPr>
                <w:p w14:paraId="7286E1C8">
                  <w:pPr>
                    <w:pStyle w:val="57"/>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0.60</w:t>
                  </w:r>
                </w:p>
              </w:tc>
              <w:tc>
                <w:tcPr>
                  <w:tcW w:w="974" w:type="dxa"/>
                  <w:noWrap w:val="0"/>
                  <w:vAlign w:val="center"/>
                </w:tcPr>
                <w:p w14:paraId="5D9A0367">
                  <w:pPr>
                    <w:jc w:val="center"/>
                    <w:rPr>
                      <w:rFonts w:hint="eastAsia" w:eastAsia="宋体"/>
                      <w:color w:val="auto"/>
                      <w:szCs w:val="21"/>
                      <w:lang w:val="en-US" w:eastAsia="zh-CN"/>
                    </w:rPr>
                  </w:pPr>
                  <w:r>
                    <w:rPr>
                      <w:rFonts w:hint="eastAsia"/>
                      <w:color w:val="auto"/>
                      <w:szCs w:val="21"/>
                      <w:lang w:val="en-US" w:eastAsia="zh-CN"/>
                    </w:rPr>
                    <w:t>0</w:t>
                  </w:r>
                </w:p>
              </w:tc>
              <w:tc>
                <w:tcPr>
                  <w:tcW w:w="959" w:type="dxa"/>
                  <w:noWrap w:val="0"/>
                  <w:vAlign w:val="center"/>
                </w:tcPr>
                <w:p w14:paraId="148BE4AC">
                  <w:pPr>
                    <w:jc w:val="center"/>
                    <w:rPr>
                      <w:color w:val="auto"/>
                      <w:szCs w:val="21"/>
                    </w:rPr>
                  </w:pPr>
                  <w:r>
                    <w:rPr>
                      <w:color w:val="auto"/>
                      <w:szCs w:val="21"/>
                    </w:rPr>
                    <w:t>达标</w:t>
                  </w:r>
                </w:p>
              </w:tc>
            </w:tr>
            <w:tr w14:paraId="3A130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653" w:type="dxa"/>
                  <w:vMerge w:val="continue"/>
                  <w:noWrap w:val="0"/>
                  <w:vAlign w:val="center"/>
                </w:tcPr>
                <w:p w14:paraId="403010DC">
                  <w:pPr>
                    <w:pStyle w:val="52"/>
                    <w:widowControl w:val="0"/>
                    <w:adjustRightInd/>
                    <w:snapToGrid/>
                    <w:ind w:right="0"/>
                    <w:rPr>
                      <w:color w:val="auto"/>
                      <w:szCs w:val="21"/>
                    </w:rPr>
                  </w:pPr>
                </w:p>
              </w:tc>
              <w:tc>
                <w:tcPr>
                  <w:tcW w:w="1522" w:type="dxa"/>
                  <w:noWrap w:val="0"/>
                  <w:vAlign w:val="center"/>
                </w:tcPr>
                <w:p w14:paraId="3510C7F4">
                  <w:pPr>
                    <w:pStyle w:val="57"/>
                    <w:rPr>
                      <w:rFonts w:ascii="Times New Roman" w:hAnsi="Times New Roman" w:cs="Times New Roman"/>
                      <w:color w:val="auto"/>
                      <w:szCs w:val="21"/>
                    </w:rPr>
                  </w:pPr>
                  <w:r>
                    <w:rPr>
                      <w:rFonts w:ascii="Times New Roman" w:hAnsi="Times New Roman" w:cs="Times New Roman"/>
                      <w:color w:val="auto"/>
                      <w:position w:val="2"/>
                      <w:szCs w:val="21"/>
                    </w:rPr>
                    <w:t>NH</w:t>
                  </w:r>
                  <w:r>
                    <w:rPr>
                      <w:rFonts w:ascii="Times New Roman" w:hAnsi="Times New Roman" w:cs="Times New Roman"/>
                      <w:color w:val="auto"/>
                      <w:position w:val="2"/>
                      <w:szCs w:val="21"/>
                      <w:vertAlign w:val="subscript"/>
                    </w:rPr>
                    <w:t>3</w:t>
                  </w:r>
                  <w:r>
                    <w:rPr>
                      <w:rFonts w:ascii="Times New Roman" w:hAnsi="Times New Roman" w:cs="Times New Roman"/>
                      <w:color w:val="auto"/>
                      <w:position w:val="2"/>
                      <w:szCs w:val="21"/>
                    </w:rPr>
                    <w:t>-N</w:t>
                  </w:r>
                </w:p>
              </w:tc>
              <w:tc>
                <w:tcPr>
                  <w:tcW w:w="1235" w:type="dxa"/>
                  <w:vMerge w:val="continue"/>
                  <w:noWrap w:val="0"/>
                  <w:vAlign w:val="center"/>
                </w:tcPr>
                <w:p w14:paraId="2E7F6E17">
                  <w:pPr>
                    <w:jc w:val="center"/>
                    <w:rPr>
                      <w:color w:val="auto"/>
                      <w:szCs w:val="21"/>
                    </w:rPr>
                  </w:pPr>
                </w:p>
              </w:tc>
              <w:tc>
                <w:tcPr>
                  <w:tcW w:w="872" w:type="dxa"/>
                  <w:noWrap w:val="0"/>
                  <w:vAlign w:val="center"/>
                </w:tcPr>
                <w:p w14:paraId="269E59A1">
                  <w:pPr>
                    <w:autoSpaceDE w:val="0"/>
                    <w:adjustRightInd w:val="0"/>
                    <w:snapToGrid w:val="0"/>
                    <w:jc w:val="center"/>
                    <w:rPr>
                      <w:rFonts w:hint="default"/>
                      <w:bCs/>
                      <w:color w:val="auto"/>
                      <w:kern w:val="0"/>
                      <w:szCs w:val="21"/>
                      <w:lang w:val="en-US" w:eastAsia="zh-CN"/>
                    </w:rPr>
                  </w:pPr>
                  <w:r>
                    <w:rPr>
                      <w:rFonts w:hint="eastAsia"/>
                      <w:bCs/>
                      <w:color w:val="auto"/>
                      <w:kern w:val="0"/>
                      <w:szCs w:val="21"/>
                      <w:lang w:val="en-US" w:eastAsia="zh-CN"/>
                    </w:rPr>
                    <w:t>1</w:t>
                  </w:r>
                </w:p>
              </w:tc>
              <w:tc>
                <w:tcPr>
                  <w:tcW w:w="828" w:type="dxa"/>
                  <w:noWrap w:val="0"/>
                  <w:vAlign w:val="center"/>
                </w:tcPr>
                <w:p w14:paraId="6746FAF8">
                  <w:pPr>
                    <w:pStyle w:val="57"/>
                    <w:rPr>
                      <w:rFonts w:ascii="Times New Roman" w:hAnsi="Times New Roman" w:cs="Times New Roman"/>
                      <w:color w:val="auto"/>
                      <w:szCs w:val="21"/>
                    </w:rPr>
                  </w:pPr>
                  <w:r>
                    <w:rPr>
                      <w:rFonts w:ascii="Times New Roman" w:hAnsi="Times New Roman" w:cs="Times New Roman"/>
                      <w:color w:val="auto"/>
                      <w:szCs w:val="21"/>
                    </w:rPr>
                    <w:t>≤1.5</w:t>
                  </w:r>
                </w:p>
              </w:tc>
              <w:tc>
                <w:tcPr>
                  <w:tcW w:w="974" w:type="dxa"/>
                  <w:noWrap w:val="0"/>
                  <w:vAlign w:val="center"/>
                </w:tcPr>
                <w:p w14:paraId="0EE95112">
                  <w:pPr>
                    <w:pStyle w:val="57"/>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0.67</w:t>
                  </w:r>
                </w:p>
              </w:tc>
              <w:tc>
                <w:tcPr>
                  <w:tcW w:w="974" w:type="dxa"/>
                  <w:noWrap w:val="0"/>
                  <w:vAlign w:val="center"/>
                </w:tcPr>
                <w:p w14:paraId="2EF0D3C8">
                  <w:pPr>
                    <w:jc w:val="center"/>
                    <w:rPr>
                      <w:rFonts w:hint="eastAsia" w:eastAsia="宋体"/>
                      <w:color w:val="auto"/>
                      <w:szCs w:val="21"/>
                      <w:lang w:val="en-US" w:eastAsia="zh-CN"/>
                    </w:rPr>
                  </w:pPr>
                  <w:r>
                    <w:rPr>
                      <w:rFonts w:hint="eastAsia"/>
                      <w:color w:val="auto"/>
                      <w:szCs w:val="21"/>
                      <w:lang w:val="en-US" w:eastAsia="zh-CN"/>
                    </w:rPr>
                    <w:t>0</w:t>
                  </w:r>
                </w:p>
              </w:tc>
              <w:tc>
                <w:tcPr>
                  <w:tcW w:w="959" w:type="dxa"/>
                  <w:noWrap w:val="0"/>
                  <w:vAlign w:val="center"/>
                </w:tcPr>
                <w:p w14:paraId="5A3BECD6">
                  <w:pPr>
                    <w:jc w:val="center"/>
                    <w:rPr>
                      <w:color w:val="auto"/>
                      <w:szCs w:val="21"/>
                    </w:rPr>
                  </w:pPr>
                  <w:r>
                    <w:rPr>
                      <w:color w:val="auto"/>
                      <w:szCs w:val="21"/>
                    </w:rPr>
                    <w:t>达标</w:t>
                  </w:r>
                </w:p>
              </w:tc>
            </w:tr>
            <w:tr w14:paraId="0D394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653" w:type="dxa"/>
                  <w:vMerge w:val="continue"/>
                  <w:noWrap w:val="0"/>
                  <w:vAlign w:val="center"/>
                </w:tcPr>
                <w:p w14:paraId="5133316A">
                  <w:pPr>
                    <w:pStyle w:val="52"/>
                    <w:widowControl w:val="0"/>
                    <w:adjustRightInd/>
                    <w:snapToGrid/>
                    <w:ind w:right="0"/>
                    <w:rPr>
                      <w:color w:val="auto"/>
                      <w:szCs w:val="21"/>
                    </w:rPr>
                  </w:pPr>
                </w:p>
              </w:tc>
              <w:tc>
                <w:tcPr>
                  <w:tcW w:w="1522" w:type="dxa"/>
                  <w:noWrap w:val="0"/>
                  <w:vAlign w:val="center"/>
                </w:tcPr>
                <w:p w14:paraId="41A227F8">
                  <w:pPr>
                    <w:pStyle w:val="57"/>
                    <w:rPr>
                      <w:rFonts w:ascii="Times New Roman" w:hAnsi="Times New Roman" w:cs="Times New Roman"/>
                      <w:color w:val="auto"/>
                      <w:szCs w:val="21"/>
                    </w:rPr>
                  </w:pPr>
                  <w:r>
                    <w:rPr>
                      <w:rFonts w:ascii="Times New Roman" w:hAnsi="Times New Roman" w:cs="Times New Roman"/>
                      <w:color w:val="auto"/>
                      <w:szCs w:val="21"/>
                    </w:rPr>
                    <w:t>总磷</w:t>
                  </w:r>
                </w:p>
              </w:tc>
              <w:tc>
                <w:tcPr>
                  <w:tcW w:w="1235" w:type="dxa"/>
                  <w:vMerge w:val="continue"/>
                  <w:noWrap w:val="0"/>
                  <w:vAlign w:val="center"/>
                </w:tcPr>
                <w:p w14:paraId="0ACCA229">
                  <w:pPr>
                    <w:jc w:val="center"/>
                    <w:rPr>
                      <w:color w:val="auto"/>
                      <w:szCs w:val="21"/>
                    </w:rPr>
                  </w:pPr>
                </w:p>
              </w:tc>
              <w:tc>
                <w:tcPr>
                  <w:tcW w:w="872" w:type="dxa"/>
                  <w:noWrap w:val="0"/>
                  <w:vAlign w:val="center"/>
                </w:tcPr>
                <w:p w14:paraId="13A680D1">
                  <w:pPr>
                    <w:autoSpaceDE w:val="0"/>
                    <w:adjustRightInd w:val="0"/>
                    <w:snapToGrid w:val="0"/>
                    <w:jc w:val="center"/>
                    <w:rPr>
                      <w:rFonts w:hint="default"/>
                      <w:bCs/>
                      <w:color w:val="auto"/>
                      <w:kern w:val="0"/>
                      <w:szCs w:val="21"/>
                      <w:lang w:val="en-US" w:eastAsia="zh-CN"/>
                    </w:rPr>
                  </w:pPr>
                  <w:r>
                    <w:rPr>
                      <w:rFonts w:hint="eastAsia"/>
                      <w:bCs/>
                      <w:color w:val="auto"/>
                      <w:kern w:val="0"/>
                      <w:szCs w:val="21"/>
                      <w:lang w:val="en-US" w:eastAsia="zh-CN"/>
                    </w:rPr>
                    <w:t>0.2</w:t>
                  </w:r>
                </w:p>
              </w:tc>
              <w:tc>
                <w:tcPr>
                  <w:tcW w:w="828" w:type="dxa"/>
                  <w:noWrap w:val="0"/>
                  <w:vAlign w:val="center"/>
                </w:tcPr>
                <w:p w14:paraId="789B2B50">
                  <w:pPr>
                    <w:pStyle w:val="57"/>
                    <w:rPr>
                      <w:rFonts w:ascii="Times New Roman" w:hAnsi="Times New Roman" w:cs="Times New Roman"/>
                      <w:color w:val="auto"/>
                      <w:szCs w:val="21"/>
                    </w:rPr>
                  </w:pPr>
                  <w:r>
                    <w:rPr>
                      <w:rFonts w:ascii="Times New Roman" w:hAnsi="Times New Roman" w:cs="Times New Roman"/>
                      <w:color w:val="auto"/>
                      <w:szCs w:val="21"/>
                    </w:rPr>
                    <w:t>≤0.3</w:t>
                  </w:r>
                </w:p>
              </w:tc>
              <w:tc>
                <w:tcPr>
                  <w:tcW w:w="974" w:type="dxa"/>
                  <w:noWrap w:val="0"/>
                  <w:vAlign w:val="center"/>
                </w:tcPr>
                <w:p w14:paraId="6AD76E5F">
                  <w:pPr>
                    <w:pStyle w:val="57"/>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0.67</w:t>
                  </w:r>
                </w:p>
              </w:tc>
              <w:tc>
                <w:tcPr>
                  <w:tcW w:w="974" w:type="dxa"/>
                  <w:noWrap w:val="0"/>
                  <w:vAlign w:val="center"/>
                </w:tcPr>
                <w:p w14:paraId="6C40E84E">
                  <w:pPr>
                    <w:jc w:val="center"/>
                    <w:rPr>
                      <w:rFonts w:hint="eastAsia" w:eastAsia="宋体"/>
                      <w:color w:val="auto"/>
                      <w:szCs w:val="21"/>
                      <w:lang w:val="en-US" w:eastAsia="zh-CN"/>
                    </w:rPr>
                  </w:pPr>
                  <w:r>
                    <w:rPr>
                      <w:rFonts w:hint="eastAsia"/>
                      <w:color w:val="auto"/>
                      <w:szCs w:val="21"/>
                      <w:lang w:val="en-US" w:eastAsia="zh-CN"/>
                    </w:rPr>
                    <w:t>0</w:t>
                  </w:r>
                </w:p>
              </w:tc>
              <w:tc>
                <w:tcPr>
                  <w:tcW w:w="959" w:type="dxa"/>
                  <w:noWrap w:val="0"/>
                  <w:vAlign w:val="center"/>
                </w:tcPr>
                <w:p w14:paraId="69C1C9DD">
                  <w:pPr>
                    <w:jc w:val="center"/>
                    <w:rPr>
                      <w:color w:val="auto"/>
                      <w:szCs w:val="21"/>
                    </w:rPr>
                  </w:pPr>
                  <w:r>
                    <w:rPr>
                      <w:color w:val="auto"/>
                      <w:szCs w:val="21"/>
                    </w:rPr>
                    <w:t>达标</w:t>
                  </w:r>
                </w:p>
              </w:tc>
            </w:tr>
            <w:tr w14:paraId="30B7A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653" w:type="dxa"/>
                  <w:vMerge w:val="continue"/>
                  <w:noWrap w:val="0"/>
                  <w:vAlign w:val="center"/>
                </w:tcPr>
                <w:p w14:paraId="27F42D8B">
                  <w:pPr>
                    <w:pStyle w:val="52"/>
                    <w:widowControl w:val="0"/>
                    <w:adjustRightInd/>
                    <w:snapToGrid/>
                    <w:ind w:right="0"/>
                    <w:rPr>
                      <w:color w:val="auto"/>
                      <w:szCs w:val="21"/>
                    </w:rPr>
                  </w:pPr>
                </w:p>
              </w:tc>
              <w:tc>
                <w:tcPr>
                  <w:tcW w:w="1522" w:type="dxa"/>
                  <w:noWrap w:val="0"/>
                  <w:vAlign w:val="center"/>
                </w:tcPr>
                <w:p w14:paraId="0DFAAAA7">
                  <w:pPr>
                    <w:pStyle w:val="57"/>
                    <w:rPr>
                      <w:rFonts w:ascii="Times New Roman" w:hAnsi="Times New Roman" w:cs="Times New Roman"/>
                      <w:color w:val="auto"/>
                      <w:szCs w:val="21"/>
                    </w:rPr>
                  </w:pPr>
                  <w:r>
                    <w:rPr>
                      <w:rFonts w:ascii="Times New Roman" w:hAnsi="Times New Roman" w:cs="Times New Roman"/>
                      <w:color w:val="auto"/>
                      <w:szCs w:val="21"/>
                    </w:rPr>
                    <w:t>高锰酸盐指数</w:t>
                  </w:r>
                </w:p>
              </w:tc>
              <w:tc>
                <w:tcPr>
                  <w:tcW w:w="1235" w:type="dxa"/>
                  <w:vMerge w:val="restart"/>
                  <w:noWrap w:val="0"/>
                  <w:vAlign w:val="center"/>
                </w:tcPr>
                <w:p w14:paraId="25D40601">
                  <w:pPr>
                    <w:jc w:val="center"/>
                    <w:rPr>
                      <w:color w:val="auto"/>
                      <w:szCs w:val="21"/>
                    </w:rPr>
                  </w:pPr>
                  <w:r>
                    <w:rPr>
                      <w:rFonts w:hint="eastAsia"/>
                      <w:color w:val="auto"/>
                      <w:szCs w:val="21"/>
                      <w:lang w:val="en-US" w:eastAsia="zh-CN"/>
                    </w:rPr>
                    <w:t>2023年11月</w:t>
                  </w:r>
                </w:p>
              </w:tc>
              <w:tc>
                <w:tcPr>
                  <w:tcW w:w="872" w:type="dxa"/>
                  <w:noWrap w:val="0"/>
                  <w:vAlign w:val="center"/>
                </w:tcPr>
                <w:p w14:paraId="0BF695A7">
                  <w:pPr>
                    <w:autoSpaceDE w:val="0"/>
                    <w:adjustRightInd w:val="0"/>
                    <w:snapToGrid w:val="0"/>
                    <w:jc w:val="center"/>
                    <w:rPr>
                      <w:rFonts w:hint="default"/>
                      <w:bCs/>
                      <w:color w:val="auto"/>
                      <w:kern w:val="0"/>
                      <w:szCs w:val="21"/>
                      <w:lang w:val="en-US" w:eastAsia="zh-CN"/>
                    </w:rPr>
                  </w:pPr>
                  <w:r>
                    <w:rPr>
                      <w:rFonts w:hint="eastAsia"/>
                      <w:bCs/>
                      <w:color w:val="auto"/>
                      <w:kern w:val="0"/>
                      <w:szCs w:val="21"/>
                      <w:lang w:val="en-US" w:eastAsia="zh-CN"/>
                    </w:rPr>
                    <w:t>15</w:t>
                  </w:r>
                </w:p>
              </w:tc>
              <w:tc>
                <w:tcPr>
                  <w:tcW w:w="828" w:type="dxa"/>
                  <w:noWrap w:val="0"/>
                  <w:vAlign w:val="center"/>
                </w:tcPr>
                <w:p w14:paraId="28E28255">
                  <w:pPr>
                    <w:pStyle w:val="57"/>
                    <w:rPr>
                      <w:rFonts w:ascii="Times New Roman" w:hAnsi="Times New Roman" w:cs="Times New Roman"/>
                      <w:color w:val="auto"/>
                      <w:szCs w:val="21"/>
                    </w:rPr>
                  </w:pPr>
                  <w:r>
                    <w:rPr>
                      <w:rFonts w:ascii="Times New Roman" w:hAnsi="Times New Roman" w:cs="Times New Roman"/>
                      <w:color w:val="auto"/>
                      <w:szCs w:val="21"/>
                    </w:rPr>
                    <w:t>≤10</w:t>
                  </w:r>
                </w:p>
              </w:tc>
              <w:tc>
                <w:tcPr>
                  <w:tcW w:w="974" w:type="dxa"/>
                  <w:noWrap w:val="0"/>
                  <w:vAlign w:val="center"/>
                </w:tcPr>
                <w:p w14:paraId="408E4A65">
                  <w:pPr>
                    <w:pStyle w:val="57"/>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1.50</w:t>
                  </w:r>
                </w:p>
              </w:tc>
              <w:tc>
                <w:tcPr>
                  <w:tcW w:w="974" w:type="dxa"/>
                  <w:noWrap w:val="0"/>
                  <w:vAlign w:val="center"/>
                </w:tcPr>
                <w:p w14:paraId="2ABD75AB">
                  <w:pPr>
                    <w:jc w:val="center"/>
                    <w:rPr>
                      <w:rFonts w:hint="default" w:eastAsia="宋体"/>
                      <w:color w:val="auto"/>
                      <w:szCs w:val="21"/>
                      <w:lang w:val="en-US" w:eastAsia="zh-CN"/>
                    </w:rPr>
                  </w:pPr>
                  <w:r>
                    <w:rPr>
                      <w:rFonts w:hint="eastAsia"/>
                      <w:color w:val="auto"/>
                      <w:szCs w:val="21"/>
                      <w:lang w:val="en-US" w:eastAsia="zh-CN"/>
                    </w:rPr>
                    <w:t>0.50</w:t>
                  </w:r>
                </w:p>
              </w:tc>
              <w:tc>
                <w:tcPr>
                  <w:tcW w:w="959" w:type="dxa"/>
                  <w:noWrap w:val="0"/>
                  <w:vAlign w:val="center"/>
                </w:tcPr>
                <w:p w14:paraId="372C0362">
                  <w:pPr>
                    <w:jc w:val="center"/>
                    <w:rPr>
                      <w:color w:val="auto"/>
                      <w:szCs w:val="21"/>
                    </w:rPr>
                  </w:pPr>
                  <w:r>
                    <w:rPr>
                      <w:b/>
                      <w:bCs/>
                      <w:color w:val="auto"/>
                      <w:szCs w:val="21"/>
                    </w:rPr>
                    <w:t>超标</w:t>
                  </w:r>
                </w:p>
              </w:tc>
            </w:tr>
            <w:tr w14:paraId="79067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653" w:type="dxa"/>
                  <w:vMerge w:val="continue"/>
                  <w:noWrap w:val="0"/>
                  <w:vAlign w:val="center"/>
                </w:tcPr>
                <w:p w14:paraId="18C34BEC">
                  <w:pPr>
                    <w:pStyle w:val="52"/>
                    <w:widowControl w:val="0"/>
                    <w:adjustRightInd/>
                    <w:snapToGrid/>
                    <w:ind w:right="0"/>
                    <w:rPr>
                      <w:color w:val="auto"/>
                      <w:szCs w:val="21"/>
                    </w:rPr>
                  </w:pPr>
                </w:p>
              </w:tc>
              <w:tc>
                <w:tcPr>
                  <w:tcW w:w="1522" w:type="dxa"/>
                  <w:noWrap w:val="0"/>
                  <w:vAlign w:val="center"/>
                </w:tcPr>
                <w:p w14:paraId="5B27CC8F">
                  <w:pPr>
                    <w:pStyle w:val="57"/>
                    <w:rPr>
                      <w:rFonts w:ascii="Times New Roman" w:hAnsi="Times New Roman" w:cs="Times New Roman"/>
                      <w:color w:val="auto"/>
                      <w:szCs w:val="21"/>
                    </w:rPr>
                  </w:pPr>
                  <w:r>
                    <w:rPr>
                      <w:rFonts w:ascii="Times New Roman" w:hAnsi="Times New Roman" w:cs="Times New Roman"/>
                      <w:color w:val="auto"/>
                      <w:position w:val="2"/>
                      <w:szCs w:val="21"/>
                    </w:rPr>
                    <w:t>NH</w:t>
                  </w:r>
                  <w:r>
                    <w:rPr>
                      <w:rFonts w:ascii="Times New Roman" w:hAnsi="Times New Roman" w:cs="Times New Roman"/>
                      <w:color w:val="auto"/>
                      <w:position w:val="2"/>
                      <w:szCs w:val="21"/>
                      <w:vertAlign w:val="subscript"/>
                    </w:rPr>
                    <w:t>3</w:t>
                  </w:r>
                  <w:r>
                    <w:rPr>
                      <w:rFonts w:ascii="Times New Roman" w:hAnsi="Times New Roman" w:cs="Times New Roman"/>
                      <w:color w:val="auto"/>
                      <w:position w:val="2"/>
                      <w:szCs w:val="21"/>
                    </w:rPr>
                    <w:t>-N</w:t>
                  </w:r>
                </w:p>
              </w:tc>
              <w:tc>
                <w:tcPr>
                  <w:tcW w:w="1235" w:type="dxa"/>
                  <w:vMerge w:val="continue"/>
                  <w:noWrap w:val="0"/>
                  <w:vAlign w:val="center"/>
                </w:tcPr>
                <w:p w14:paraId="20507F30">
                  <w:pPr>
                    <w:jc w:val="center"/>
                    <w:rPr>
                      <w:color w:val="auto"/>
                      <w:szCs w:val="21"/>
                    </w:rPr>
                  </w:pPr>
                </w:p>
              </w:tc>
              <w:tc>
                <w:tcPr>
                  <w:tcW w:w="872" w:type="dxa"/>
                  <w:noWrap w:val="0"/>
                  <w:vAlign w:val="center"/>
                </w:tcPr>
                <w:p w14:paraId="2953CD43">
                  <w:pPr>
                    <w:autoSpaceDE w:val="0"/>
                    <w:adjustRightInd w:val="0"/>
                    <w:snapToGrid w:val="0"/>
                    <w:jc w:val="center"/>
                    <w:rPr>
                      <w:rFonts w:hint="default"/>
                      <w:bCs/>
                      <w:color w:val="auto"/>
                      <w:kern w:val="0"/>
                      <w:szCs w:val="21"/>
                      <w:lang w:val="en-US" w:eastAsia="zh-CN"/>
                    </w:rPr>
                  </w:pPr>
                  <w:r>
                    <w:rPr>
                      <w:rFonts w:hint="eastAsia"/>
                      <w:bCs/>
                      <w:color w:val="auto"/>
                      <w:kern w:val="0"/>
                      <w:szCs w:val="21"/>
                      <w:lang w:val="en-US" w:eastAsia="zh-CN"/>
                    </w:rPr>
                    <w:t>2</w:t>
                  </w:r>
                </w:p>
              </w:tc>
              <w:tc>
                <w:tcPr>
                  <w:tcW w:w="828" w:type="dxa"/>
                  <w:noWrap w:val="0"/>
                  <w:vAlign w:val="center"/>
                </w:tcPr>
                <w:p w14:paraId="5282A806">
                  <w:pPr>
                    <w:pStyle w:val="57"/>
                    <w:rPr>
                      <w:rFonts w:ascii="Times New Roman" w:hAnsi="Times New Roman" w:cs="Times New Roman"/>
                      <w:color w:val="auto"/>
                      <w:szCs w:val="21"/>
                    </w:rPr>
                  </w:pPr>
                  <w:r>
                    <w:rPr>
                      <w:rFonts w:ascii="Times New Roman" w:hAnsi="Times New Roman" w:cs="Times New Roman"/>
                      <w:color w:val="auto"/>
                      <w:szCs w:val="21"/>
                    </w:rPr>
                    <w:t>≤1.5</w:t>
                  </w:r>
                </w:p>
              </w:tc>
              <w:tc>
                <w:tcPr>
                  <w:tcW w:w="974" w:type="dxa"/>
                  <w:noWrap w:val="0"/>
                  <w:vAlign w:val="center"/>
                </w:tcPr>
                <w:p w14:paraId="4AD31CDD">
                  <w:pPr>
                    <w:pStyle w:val="57"/>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1.33</w:t>
                  </w:r>
                </w:p>
              </w:tc>
              <w:tc>
                <w:tcPr>
                  <w:tcW w:w="974" w:type="dxa"/>
                  <w:noWrap w:val="0"/>
                  <w:vAlign w:val="center"/>
                </w:tcPr>
                <w:p w14:paraId="3FDF9488">
                  <w:pPr>
                    <w:jc w:val="center"/>
                    <w:rPr>
                      <w:rFonts w:hint="default" w:eastAsia="宋体"/>
                      <w:color w:val="auto"/>
                      <w:szCs w:val="21"/>
                      <w:lang w:val="en-US" w:eastAsia="zh-CN"/>
                    </w:rPr>
                  </w:pPr>
                  <w:r>
                    <w:rPr>
                      <w:rFonts w:hint="eastAsia"/>
                      <w:color w:val="auto"/>
                      <w:szCs w:val="21"/>
                      <w:lang w:val="en-US" w:eastAsia="zh-CN"/>
                    </w:rPr>
                    <w:t>0.33</w:t>
                  </w:r>
                </w:p>
              </w:tc>
              <w:tc>
                <w:tcPr>
                  <w:tcW w:w="959" w:type="dxa"/>
                  <w:noWrap w:val="0"/>
                  <w:vAlign w:val="center"/>
                </w:tcPr>
                <w:p w14:paraId="6EE451FE">
                  <w:pPr>
                    <w:jc w:val="center"/>
                    <w:rPr>
                      <w:color w:val="auto"/>
                      <w:szCs w:val="21"/>
                    </w:rPr>
                  </w:pPr>
                  <w:r>
                    <w:rPr>
                      <w:b/>
                      <w:bCs/>
                      <w:color w:val="auto"/>
                      <w:szCs w:val="21"/>
                    </w:rPr>
                    <w:t>超标</w:t>
                  </w:r>
                </w:p>
              </w:tc>
            </w:tr>
            <w:tr w14:paraId="2D35E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653" w:type="dxa"/>
                  <w:vMerge w:val="continue"/>
                  <w:noWrap w:val="0"/>
                  <w:vAlign w:val="center"/>
                </w:tcPr>
                <w:p w14:paraId="10E937D9">
                  <w:pPr>
                    <w:pStyle w:val="52"/>
                    <w:widowControl w:val="0"/>
                    <w:adjustRightInd/>
                    <w:snapToGrid/>
                    <w:ind w:right="0"/>
                    <w:rPr>
                      <w:color w:val="auto"/>
                      <w:szCs w:val="21"/>
                    </w:rPr>
                  </w:pPr>
                </w:p>
              </w:tc>
              <w:tc>
                <w:tcPr>
                  <w:tcW w:w="1522" w:type="dxa"/>
                  <w:noWrap w:val="0"/>
                  <w:vAlign w:val="center"/>
                </w:tcPr>
                <w:p w14:paraId="62234916">
                  <w:pPr>
                    <w:pStyle w:val="57"/>
                    <w:rPr>
                      <w:rFonts w:ascii="Times New Roman" w:hAnsi="Times New Roman" w:cs="Times New Roman"/>
                      <w:color w:val="auto"/>
                      <w:szCs w:val="21"/>
                    </w:rPr>
                  </w:pPr>
                  <w:r>
                    <w:rPr>
                      <w:rFonts w:ascii="Times New Roman" w:hAnsi="Times New Roman" w:cs="Times New Roman"/>
                      <w:color w:val="auto"/>
                      <w:szCs w:val="21"/>
                    </w:rPr>
                    <w:t>总磷</w:t>
                  </w:r>
                </w:p>
              </w:tc>
              <w:tc>
                <w:tcPr>
                  <w:tcW w:w="1235" w:type="dxa"/>
                  <w:vMerge w:val="continue"/>
                  <w:noWrap w:val="0"/>
                  <w:vAlign w:val="center"/>
                </w:tcPr>
                <w:p w14:paraId="5CB34FAE">
                  <w:pPr>
                    <w:jc w:val="center"/>
                    <w:rPr>
                      <w:color w:val="auto"/>
                      <w:szCs w:val="21"/>
                    </w:rPr>
                  </w:pPr>
                </w:p>
              </w:tc>
              <w:tc>
                <w:tcPr>
                  <w:tcW w:w="872" w:type="dxa"/>
                  <w:noWrap w:val="0"/>
                  <w:vAlign w:val="center"/>
                </w:tcPr>
                <w:p w14:paraId="2657FA14">
                  <w:pPr>
                    <w:autoSpaceDE w:val="0"/>
                    <w:adjustRightInd w:val="0"/>
                    <w:snapToGrid w:val="0"/>
                    <w:jc w:val="center"/>
                    <w:rPr>
                      <w:rFonts w:hint="default"/>
                      <w:bCs/>
                      <w:color w:val="auto"/>
                      <w:kern w:val="0"/>
                      <w:szCs w:val="21"/>
                      <w:lang w:val="en-US" w:eastAsia="zh-CN"/>
                    </w:rPr>
                  </w:pPr>
                  <w:r>
                    <w:rPr>
                      <w:rFonts w:hint="eastAsia"/>
                      <w:bCs/>
                      <w:color w:val="auto"/>
                      <w:kern w:val="0"/>
                      <w:szCs w:val="21"/>
                      <w:lang w:val="en-US" w:eastAsia="zh-CN"/>
                    </w:rPr>
                    <w:t>0.4</w:t>
                  </w:r>
                </w:p>
              </w:tc>
              <w:tc>
                <w:tcPr>
                  <w:tcW w:w="828" w:type="dxa"/>
                  <w:noWrap w:val="0"/>
                  <w:vAlign w:val="center"/>
                </w:tcPr>
                <w:p w14:paraId="49A4EBA7">
                  <w:pPr>
                    <w:pStyle w:val="57"/>
                    <w:rPr>
                      <w:rFonts w:ascii="Times New Roman" w:hAnsi="Times New Roman" w:cs="Times New Roman"/>
                      <w:color w:val="auto"/>
                      <w:szCs w:val="21"/>
                    </w:rPr>
                  </w:pPr>
                  <w:r>
                    <w:rPr>
                      <w:rFonts w:ascii="Times New Roman" w:hAnsi="Times New Roman" w:cs="Times New Roman"/>
                      <w:color w:val="auto"/>
                      <w:szCs w:val="21"/>
                    </w:rPr>
                    <w:t>≤0.3</w:t>
                  </w:r>
                </w:p>
              </w:tc>
              <w:tc>
                <w:tcPr>
                  <w:tcW w:w="974" w:type="dxa"/>
                  <w:noWrap w:val="0"/>
                  <w:vAlign w:val="center"/>
                </w:tcPr>
                <w:p w14:paraId="5412B1EA">
                  <w:pPr>
                    <w:pStyle w:val="57"/>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1.33</w:t>
                  </w:r>
                </w:p>
              </w:tc>
              <w:tc>
                <w:tcPr>
                  <w:tcW w:w="974" w:type="dxa"/>
                  <w:noWrap w:val="0"/>
                  <w:vAlign w:val="center"/>
                </w:tcPr>
                <w:p w14:paraId="0A1CBDE0">
                  <w:pPr>
                    <w:jc w:val="center"/>
                    <w:rPr>
                      <w:rFonts w:hint="default" w:eastAsia="宋体"/>
                      <w:color w:val="auto"/>
                      <w:szCs w:val="21"/>
                      <w:lang w:val="en-US" w:eastAsia="zh-CN"/>
                    </w:rPr>
                  </w:pPr>
                  <w:r>
                    <w:rPr>
                      <w:rFonts w:hint="eastAsia"/>
                      <w:color w:val="auto"/>
                      <w:szCs w:val="21"/>
                      <w:lang w:val="en-US" w:eastAsia="zh-CN"/>
                    </w:rPr>
                    <w:t>0.33</w:t>
                  </w:r>
                </w:p>
              </w:tc>
              <w:tc>
                <w:tcPr>
                  <w:tcW w:w="959" w:type="dxa"/>
                  <w:noWrap w:val="0"/>
                  <w:vAlign w:val="center"/>
                </w:tcPr>
                <w:p w14:paraId="1FD7234A">
                  <w:pPr>
                    <w:jc w:val="center"/>
                    <w:rPr>
                      <w:color w:val="auto"/>
                      <w:szCs w:val="21"/>
                    </w:rPr>
                  </w:pPr>
                  <w:r>
                    <w:rPr>
                      <w:b/>
                      <w:bCs/>
                      <w:color w:val="auto"/>
                      <w:szCs w:val="21"/>
                    </w:rPr>
                    <w:t>超标</w:t>
                  </w:r>
                </w:p>
              </w:tc>
            </w:tr>
            <w:tr w14:paraId="55CFA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653" w:type="dxa"/>
                  <w:vMerge w:val="continue"/>
                  <w:noWrap w:val="0"/>
                  <w:vAlign w:val="center"/>
                </w:tcPr>
                <w:p w14:paraId="6BA56BFF">
                  <w:pPr>
                    <w:pStyle w:val="52"/>
                    <w:widowControl w:val="0"/>
                    <w:adjustRightInd/>
                    <w:snapToGrid/>
                    <w:ind w:right="0"/>
                    <w:rPr>
                      <w:color w:val="auto"/>
                      <w:szCs w:val="21"/>
                    </w:rPr>
                  </w:pPr>
                </w:p>
              </w:tc>
              <w:tc>
                <w:tcPr>
                  <w:tcW w:w="1522" w:type="dxa"/>
                  <w:noWrap w:val="0"/>
                  <w:vAlign w:val="center"/>
                </w:tcPr>
                <w:p w14:paraId="593DC8E7">
                  <w:pPr>
                    <w:pStyle w:val="57"/>
                    <w:rPr>
                      <w:rFonts w:ascii="Times New Roman" w:hAnsi="Times New Roman" w:cs="Times New Roman"/>
                      <w:color w:val="auto"/>
                      <w:szCs w:val="21"/>
                    </w:rPr>
                  </w:pPr>
                  <w:r>
                    <w:rPr>
                      <w:rFonts w:ascii="Times New Roman" w:hAnsi="Times New Roman" w:cs="Times New Roman"/>
                      <w:color w:val="auto"/>
                      <w:szCs w:val="21"/>
                    </w:rPr>
                    <w:t>高锰酸盐指数</w:t>
                  </w:r>
                </w:p>
              </w:tc>
              <w:tc>
                <w:tcPr>
                  <w:tcW w:w="1235" w:type="dxa"/>
                  <w:vMerge w:val="restart"/>
                  <w:noWrap w:val="0"/>
                  <w:vAlign w:val="center"/>
                </w:tcPr>
                <w:p w14:paraId="529C9604">
                  <w:pPr>
                    <w:jc w:val="center"/>
                    <w:rPr>
                      <w:color w:val="auto"/>
                      <w:szCs w:val="21"/>
                    </w:rPr>
                  </w:pPr>
                  <w:r>
                    <w:rPr>
                      <w:rFonts w:hint="eastAsia"/>
                      <w:color w:val="auto"/>
                      <w:szCs w:val="21"/>
                      <w:lang w:val="en-US" w:eastAsia="zh-CN"/>
                    </w:rPr>
                    <w:t>2023年12月</w:t>
                  </w:r>
                </w:p>
              </w:tc>
              <w:tc>
                <w:tcPr>
                  <w:tcW w:w="872" w:type="dxa"/>
                  <w:noWrap w:val="0"/>
                  <w:vAlign w:val="center"/>
                </w:tcPr>
                <w:p w14:paraId="5725519D">
                  <w:pPr>
                    <w:autoSpaceDE w:val="0"/>
                    <w:adjustRightInd w:val="0"/>
                    <w:snapToGrid w:val="0"/>
                    <w:jc w:val="center"/>
                    <w:rPr>
                      <w:rFonts w:hint="default"/>
                      <w:bCs/>
                      <w:color w:val="auto"/>
                      <w:kern w:val="0"/>
                      <w:szCs w:val="21"/>
                      <w:lang w:val="en-US" w:eastAsia="zh-CN"/>
                    </w:rPr>
                  </w:pPr>
                  <w:r>
                    <w:rPr>
                      <w:rFonts w:hint="eastAsia"/>
                      <w:bCs/>
                      <w:color w:val="auto"/>
                      <w:kern w:val="0"/>
                      <w:szCs w:val="21"/>
                      <w:lang w:val="en-US" w:eastAsia="zh-CN"/>
                    </w:rPr>
                    <w:t>6</w:t>
                  </w:r>
                </w:p>
              </w:tc>
              <w:tc>
                <w:tcPr>
                  <w:tcW w:w="828" w:type="dxa"/>
                  <w:noWrap w:val="0"/>
                  <w:vAlign w:val="center"/>
                </w:tcPr>
                <w:p w14:paraId="713479FE">
                  <w:pPr>
                    <w:pStyle w:val="57"/>
                    <w:rPr>
                      <w:rFonts w:ascii="Times New Roman" w:hAnsi="Times New Roman" w:cs="Times New Roman"/>
                      <w:color w:val="auto"/>
                      <w:szCs w:val="21"/>
                    </w:rPr>
                  </w:pPr>
                  <w:r>
                    <w:rPr>
                      <w:rFonts w:ascii="Times New Roman" w:hAnsi="Times New Roman" w:cs="Times New Roman"/>
                      <w:color w:val="auto"/>
                      <w:szCs w:val="21"/>
                    </w:rPr>
                    <w:t>≤10</w:t>
                  </w:r>
                </w:p>
              </w:tc>
              <w:tc>
                <w:tcPr>
                  <w:tcW w:w="974" w:type="dxa"/>
                  <w:noWrap w:val="0"/>
                  <w:vAlign w:val="center"/>
                </w:tcPr>
                <w:p w14:paraId="07CB541E">
                  <w:pPr>
                    <w:pStyle w:val="57"/>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0.60</w:t>
                  </w:r>
                </w:p>
              </w:tc>
              <w:tc>
                <w:tcPr>
                  <w:tcW w:w="974" w:type="dxa"/>
                  <w:noWrap w:val="0"/>
                  <w:vAlign w:val="center"/>
                </w:tcPr>
                <w:p w14:paraId="41039C6C">
                  <w:pPr>
                    <w:jc w:val="center"/>
                    <w:rPr>
                      <w:rFonts w:hint="eastAsia" w:eastAsia="宋体"/>
                      <w:color w:val="auto"/>
                      <w:szCs w:val="21"/>
                      <w:lang w:val="en-US" w:eastAsia="zh-CN"/>
                    </w:rPr>
                  </w:pPr>
                  <w:r>
                    <w:rPr>
                      <w:rFonts w:hint="eastAsia"/>
                      <w:color w:val="auto"/>
                      <w:szCs w:val="21"/>
                      <w:lang w:val="en-US" w:eastAsia="zh-CN"/>
                    </w:rPr>
                    <w:t>0</w:t>
                  </w:r>
                </w:p>
              </w:tc>
              <w:tc>
                <w:tcPr>
                  <w:tcW w:w="959" w:type="dxa"/>
                  <w:noWrap w:val="0"/>
                  <w:vAlign w:val="center"/>
                </w:tcPr>
                <w:p w14:paraId="2ED74352">
                  <w:pPr>
                    <w:jc w:val="center"/>
                    <w:rPr>
                      <w:color w:val="auto"/>
                      <w:szCs w:val="21"/>
                    </w:rPr>
                  </w:pPr>
                  <w:r>
                    <w:rPr>
                      <w:color w:val="auto"/>
                      <w:szCs w:val="21"/>
                    </w:rPr>
                    <w:t>达标</w:t>
                  </w:r>
                </w:p>
              </w:tc>
            </w:tr>
            <w:tr w14:paraId="0BD06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653" w:type="dxa"/>
                  <w:vMerge w:val="continue"/>
                  <w:noWrap w:val="0"/>
                  <w:vAlign w:val="center"/>
                </w:tcPr>
                <w:p w14:paraId="7E4400EE">
                  <w:pPr>
                    <w:pStyle w:val="52"/>
                    <w:widowControl w:val="0"/>
                    <w:adjustRightInd/>
                    <w:snapToGrid/>
                    <w:ind w:right="0"/>
                    <w:rPr>
                      <w:color w:val="auto"/>
                      <w:szCs w:val="21"/>
                    </w:rPr>
                  </w:pPr>
                </w:p>
              </w:tc>
              <w:tc>
                <w:tcPr>
                  <w:tcW w:w="1522" w:type="dxa"/>
                  <w:noWrap w:val="0"/>
                  <w:vAlign w:val="center"/>
                </w:tcPr>
                <w:p w14:paraId="43CDEEBB">
                  <w:pPr>
                    <w:pStyle w:val="57"/>
                    <w:rPr>
                      <w:rFonts w:ascii="Times New Roman" w:hAnsi="Times New Roman" w:cs="Times New Roman"/>
                      <w:color w:val="auto"/>
                      <w:szCs w:val="21"/>
                    </w:rPr>
                  </w:pPr>
                  <w:r>
                    <w:rPr>
                      <w:rFonts w:ascii="Times New Roman" w:hAnsi="Times New Roman" w:cs="Times New Roman"/>
                      <w:color w:val="auto"/>
                      <w:position w:val="2"/>
                      <w:szCs w:val="21"/>
                    </w:rPr>
                    <w:t>NH</w:t>
                  </w:r>
                  <w:r>
                    <w:rPr>
                      <w:rFonts w:ascii="Times New Roman" w:hAnsi="Times New Roman" w:cs="Times New Roman"/>
                      <w:color w:val="auto"/>
                      <w:position w:val="2"/>
                      <w:szCs w:val="21"/>
                      <w:vertAlign w:val="subscript"/>
                    </w:rPr>
                    <w:t>3</w:t>
                  </w:r>
                  <w:r>
                    <w:rPr>
                      <w:rFonts w:ascii="Times New Roman" w:hAnsi="Times New Roman" w:cs="Times New Roman"/>
                      <w:color w:val="auto"/>
                      <w:position w:val="2"/>
                      <w:szCs w:val="21"/>
                    </w:rPr>
                    <w:t>-N</w:t>
                  </w:r>
                </w:p>
              </w:tc>
              <w:tc>
                <w:tcPr>
                  <w:tcW w:w="1235" w:type="dxa"/>
                  <w:vMerge w:val="continue"/>
                  <w:noWrap w:val="0"/>
                  <w:vAlign w:val="center"/>
                </w:tcPr>
                <w:p w14:paraId="477FF469">
                  <w:pPr>
                    <w:jc w:val="center"/>
                    <w:rPr>
                      <w:color w:val="auto"/>
                      <w:szCs w:val="21"/>
                    </w:rPr>
                  </w:pPr>
                </w:p>
              </w:tc>
              <w:tc>
                <w:tcPr>
                  <w:tcW w:w="872" w:type="dxa"/>
                  <w:noWrap w:val="0"/>
                  <w:vAlign w:val="center"/>
                </w:tcPr>
                <w:p w14:paraId="64844446">
                  <w:pPr>
                    <w:autoSpaceDE w:val="0"/>
                    <w:adjustRightInd w:val="0"/>
                    <w:snapToGrid w:val="0"/>
                    <w:jc w:val="center"/>
                    <w:rPr>
                      <w:rFonts w:hint="default"/>
                      <w:bCs/>
                      <w:color w:val="auto"/>
                      <w:kern w:val="0"/>
                      <w:szCs w:val="21"/>
                      <w:lang w:val="en-US" w:eastAsia="zh-CN"/>
                    </w:rPr>
                  </w:pPr>
                  <w:r>
                    <w:rPr>
                      <w:rFonts w:hint="eastAsia"/>
                      <w:bCs/>
                      <w:color w:val="auto"/>
                      <w:kern w:val="0"/>
                      <w:szCs w:val="21"/>
                      <w:lang w:val="en-US" w:eastAsia="zh-CN"/>
                    </w:rPr>
                    <w:t>1</w:t>
                  </w:r>
                </w:p>
              </w:tc>
              <w:tc>
                <w:tcPr>
                  <w:tcW w:w="828" w:type="dxa"/>
                  <w:noWrap w:val="0"/>
                  <w:vAlign w:val="center"/>
                </w:tcPr>
                <w:p w14:paraId="239D9FB4">
                  <w:pPr>
                    <w:pStyle w:val="57"/>
                    <w:rPr>
                      <w:rFonts w:ascii="Times New Roman" w:hAnsi="Times New Roman" w:cs="Times New Roman"/>
                      <w:color w:val="auto"/>
                      <w:szCs w:val="21"/>
                    </w:rPr>
                  </w:pPr>
                  <w:r>
                    <w:rPr>
                      <w:rFonts w:ascii="Times New Roman" w:hAnsi="Times New Roman" w:cs="Times New Roman"/>
                      <w:color w:val="auto"/>
                      <w:szCs w:val="21"/>
                    </w:rPr>
                    <w:t>≤1.5</w:t>
                  </w:r>
                </w:p>
              </w:tc>
              <w:tc>
                <w:tcPr>
                  <w:tcW w:w="974" w:type="dxa"/>
                  <w:noWrap w:val="0"/>
                  <w:vAlign w:val="center"/>
                </w:tcPr>
                <w:p w14:paraId="03343944">
                  <w:pPr>
                    <w:pStyle w:val="57"/>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0.67</w:t>
                  </w:r>
                </w:p>
              </w:tc>
              <w:tc>
                <w:tcPr>
                  <w:tcW w:w="974" w:type="dxa"/>
                  <w:noWrap w:val="0"/>
                  <w:vAlign w:val="center"/>
                </w:tcPr>
                <w:p w14:paraId="0491B9B5">
                  <w:pPr>
                    <w:jc w:val="center"/>
                    <w:rPr>
                      <w:rFonts w:hint="eastAsia" w:eastAsia="宋体"/>
                      <w:color w:val="auto"/>
                      <w:szCs w:val="21"/>
                      <w:lang w:val="en-US" w:eastAsia="zh-CN"/>
                    </w:rPr>
                  </w:pPr>
                  <w:r>
                    <w:rPr>
                      <w:rFonts w:hint="eastAsia"/>
                      <w:color w:val="auto"/>
                      <w:szCs w:val="21"/>
                      <w:lang w:val="en-US" w:eastAsia="zh-CN"/>
                    </w:rPr>
                    <w:t>0</w:t>
                  </w:r>
                </w:p>
              </w:tc>
              <w:tc>
                <w:tcPr>
                  <w:tcW w:w="959" w:type="dxa"/>
                  <w:noWrap w:val="0"/>
                  <w:vAlign w:val="center"/>
                </w:tcPr>
                <w:p w14:paraId="136C6972">
                  <w:pPr>
                    <w:jc w:val="center"/>
                    <w:rPr>
                      <w:color w:val="auto"/>
                      <w:szCs w:val="21"/>
                    </w:rPr>
                  </w:pPr>
                  <w:r>
                    <w:rPr>
                      <w:color w:val="auto"/>
                      <w:szCs w:val="21"/>
                    </w:rPr>
                    <w:t>达标</w:t>
                  </w:r>
                </w:p>
              </w:tc>
            </w:tr>
            <w:tr w14:paraId="2D10E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653" w:type="dxa"/>
                  <w:vMerge w:val="continue"/>
                  <w:noWrap w:val="0"/>
                  <w:vAlign w:val="center"/>
                </w:tcPr>
                <w:p w14:paraId="28ABE223">
                  <w:pPr>
                    <w:pStyle w:val="52"/>
                    <w:widowControl w:val="0"/>
                    <w:adjustRightInd/>
                    <w:snapToGrid/>
                    <w:ind w:right="0"/>
                    <w:rPr>
                      <w:color w:val="auto"/>
                      <w:szCs w:val="21"/>
                    </w:rPr>
                  </w:pPr>
                </w:p>
              </w:tc>
              <w:tc>
                <w:tcPr>
                  <w:tcW w:w="1522" w:type="dxa"/>
                  <w:noWrap w:val="0"/>
                  <w:vAlign w:val="center"/>
                </w:tcPr>
                <w:p w14:paraId="6AB51F04">
                  <w:pPr>
                    <w:pStyle w:val="57"/>
                    <w:rPr>
                      <w:rFonts w:ascii="Times New Roman" w:hAnsi="Times New Roman" w:cs="Times New Roman"/>
                      <w:color w:val="auto"/>
                      <w:szCs w:val="21"/>
                    </w:rPr>
                  </w:pPr>
                  <w:r>
                    <w:rPr>
                      <w:rFonts w:ascii="Times New Roman" w:hAnsi="Times New Roman" w:cs="Times New Roman"/>
                      <w:color w:val="auto"/>
                      <w:szCs w:val="21"/>
                    </w:rPr>
                    <w:t>总磷</w:t>
                  </w:r>
                </w:p>
              </w:tc>
              <w:tc>
                <w:tcPr>
                  <w:tcW w:w="1235" w:type="dxa"/>
                  <w:vMerge w:val="continue"/>
                  <w:noWrap w:val="0"/>
                  <w:vAlign w:val="center"/>
                </w:tcPr>
                <w:p w14:paraId="001EF463">
                  <w:pPr>
                    <w:jc w:val="center"/>
                    <w:rPr>
                      <w:color w:val="auto"/>
                      <w:szCs w:val="21"/>
                    </w:rPr>
                  </w:pPr>
                </w:p>
              </w:tc>
              <w:tc>
                <w:tcPr>
                  <w:tcW w:w="872" w:type="dxa"/>
                  <w:noWrap w:val="0"/>
                  <w:vAlign w:val="center"/>
                </w:tcPr>
                <w:p w14:paraId="7EA11A04">
                  <w:pPr>
                    <w:autoSpaceDE w:val="0"/>
                    <w:adjustRightInd w:val="0"/>
                    <w:snapToGrid w:val="0"/>
                    <w:jc w:val="center"/>
                    <w:rPr>
                      <w:rFonts w:hint="default"/>
                      <w:bCs/>
                      <w:color w:val="auto"/>
                      <w:kern w:val="0"/>
                      <w:szCs w:val="21"/>
                      <w:lang w:val="en-US" w:eastAsia="zh-CN"/>
                    </w:rPr>
                  </w:pPr>
                  <w:r>
                    <w:rPr>
                      <w:rFonts w:hint="eastAsia"/>
                      <w:bCs/>
                      <w:color w:val="auto"/>
                      <w:kern w:val="0"/>
                      <w:szCs w:val="21"/>
                      <w:lang w:val="en-US" w:eastAsia="zh-CN"/>
                    </w:rPr>
                    <w:t>0.2</w:t>
                  </w:r>
                </w:p>
              </w:tc>
              <w:tc>
                <w:tcPr>
                  <w:tcW w:w="828" w:type="dxa"/>
                  <w:noWrap w:val="0"/>
                  <w:vAlign w:val="center"/>
                </w:tcPr>
                <w:p w14:paraId="6759A492">
                  <w:pPr>
                    <w:pStyle w:val="57"/>
                    <w:rPr>
                      <w:rFonts w:ascii="Times New Roman" w:hAnsi="Times New Roman" w:cs="Times New Roman"/>
                      <w:color w:val="auto"/>
                      <w:szCs w:val="21"/>
                    </w:rPr>
                  </w:pPr>
                  <w:r>
                    <w:rPr>
                      <w:rFonts w:ascii="Times New Roman" w:hAnsi="Times New Roman" w:cs="Times New Roman"/>
                      <w:color w:val="auto"/>
                      <w:szCs w:val="21"/>
                    </w:rPr>
                    <w:t>≤0.3</w:t>
                  </w:r>
                </w:p>
              </w:tc>
              <w:tc>
                <w:tcPr>
                  <w:tcW w:w="974" w:type="dxa"/>
                  <w:noWrap w:val="0"/>
                  <w:vAlign w:val="center"/>
                </w:tcPr>
                <w:p w14:paraId="798E7BB7">
                  <w:pPr>
                    <w:pStyle w:val="57"/>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0.67</w:t>
                  </w:r>
                </w:p>
              </w:tc>
              <w:tc>
                <w:tcPr>
                  <w:tcW w:w="974" w:type="dxa"/>
                  <w:noWrap w:val="0"/>
                  <w:vAlign w:val="center"/>
                </w:tcPr>
                <w:p w14:paraId="23F747AA">
                  <w:pPr>
                    <w:jc w:val="center"/>
                    <w:rPr>
                      <w:rFonts w:hint="eastAsia" w:eastAsia="宋体"/>
                      <w:color w:val="auto"/>
                      <w:szCs w:val="21"/>
                      <w:lang w:val="en-US" w:eastAsia="zh-CN"/>
                    </w:rPr>
                  </w:pPr>
                  <w:r>
                    <w:rPr>
                      <w:rFonts w:hint="eastAsia"/>
                      <w:color w:val="auto"/>
                      <w:szCs w:val="21"/>
                      <w:lang w:val="en-US" w:eastAsia="zh-CN"/>
                    </w:rPr>
                    <w:t>0</w:t>
                  </w:r>
                </w:p>
              </w:tc>
              <w:tc>
                <w:tcPr>
                  <w:tcW w:w="959" w:type="dxa"/>
                  <w:noWrap w:val="0"/>
                  <w:vAlign w:val="center"/>
                </w:tcPr>
                <w:p w14:paraId="56BC188E">
                  <w:pPr>
                    <w:jc w:val="center"/>
                    <w:rPr>
                      <w:color w:val="auto"/>
                      <w:szCs w:val="21"/>
                    </w:rPr>
                  </w:pPr>
                  <w:r>
                    <w:rPr>
                      <w:color w:val="auto"/>
                      <w:szCs w:val="21"/>
                    </w:rPr>
                    <w:t>达标</w:t>
                  </w:r>
                </w:p>
              </w:tc>
            </w:tr>
          </w:tbl>
          <w:p w14:paraId="6E59DCFC">
            <w:pPr>
              <w:keepNext w:val="0"/>
              <w:keepLines w:val="0"/>
              <w:pageBreakBefore w:val="0"/>
              <w:widowControl w:val="0"/>
              <w:kinsoku/>
              <w:wordWrap/>
              <w:overflowPunct/>
              <w:topLinePunct w:val="0"/>
              <w:autoSpaceDE/>
              <w:autoSpaceDN/>
              <w:bidi w:val="0"/>
              <w:adjustRightInd/>
              <w:snapToGrid w:val="0"/>
              <w:spacing w:line="520" w:lineRule="exact"/>
              <w:ind w:leftChars="0" w:firstLine="482" w:firstLineChars="200"/>
              <w:textAlignment w:val="auto"/>
              <w:outlineLvl w:val="9"/>
              <w:rPr>
                <w:rFonts w:hint="eastAsia" w:ascii="Times New Roman" w:hAnsi="Times New Roman" w:eastAsia="宋体" w:cs="Times New Roman"/>
                <w:b/>
                <w:bCs/>
                <w:color w:val="auto"/>
                <w:sz w:val="24"/>
                <w:szCs w:val="24"/>
                <w:highlight w:val="none"/>
                <w:u w:val="single"/>
              </w:rPr>
            </w:pPr>
            <w:r>
              <w:rPr>
                <w:rFonts w:hint="eastAsia" w:ascii="Times New Roman" w:hAnsi="Times New Roman" w:eastAsia="宋体" w:cs="Times New Roman"/>
                <w:b/>
                <w:bCs/>
                <w:color w:val="auto"/>
                <w:sz w:val="24"/>
                <w:szCs w:val="24"/>
                <w:highlight w:val="none"/>
                <w:u w:val="single"/>
              </w:rPr>
              <w:t>由上表可知，马颊河西吉七断面2022年NH</w:t>
            </w:r>
            <w:r>
              <w:rPr>
                <w:rFonts w:hint="eastAsia" w:ascii="Times New Roman" w:hAnsi="Times New Roman" w:eastAsia="宋体" w:cs="Times New Roman"/>
                <w:b/>
                <w:bCs/>
                <w:color w:val="auto"/>
                <w:sz w:val="24"/>
                <w:szCs w:val="24"/>
                <w:highlight w:val="none"/>
                <w:u w:val="single"/>
                <w:vertAlign w:val="subscript"/>
              </w:rPr>
              <w:t>3</w:t>
            </w:r>
            <w:r>
              <w:rPr>
                <w:rFonts w:hint="eastAsia" w:ascii="Times New Roman" w:hAnsi="Times New Roman" w:eastAsia="宋体" w:cs="Times New Roman"/>
                <w:b/>
                <w:bCs/>
                <w:color w:val="auto"/>
                <w:sz w:val="24"/>
                <w:szCs w:val="24"/>
                <w:highlight w:val="none"/>
                <w:u w:val="single"/>
              </w:rPr>
              <w:t>-N第三、四季度均有不同程度超标</w:t>
            </w:r>
            <w:r>
              <w:rPr>
                <w:color w:val="auto"/>
                <w:sz w:val="24"/>
              </w:rPr>
              <w:t>。</w:t>
            </w:r>
            <w:r>
              <w:rPr>
                <w:rFonts w:hint="eastAsia" w:ascii="Times New Roman" w:hAnsi="Times New Roman" w:eastAsia="宋体" w:cs="Times New Roman"/>
                <w:b/>
                <w:bCs/>
                <w:color w:val="auto"/>
                <w:sz w:val="24"/>
                <w:szCs w:val="24"/>
                <w:highlight w:val="none"/>
                <w:u w:val="single"/>
              </w:rPr>
              <w:t>原因主要是因为部分生活垃圾丢弃于河流沿岸，随雨水进入河流所致。同时，沿途部分村庄生活废水未经处理直接进入地表水体也对水质产生一定的影响。</w:t>
            </w:r>
          </w:p>
          <w:p w14:paraId="19B3F949">
            <w:pPr>
              <w:keepNext w:val="0"/>
              <w:keepLines w:val="0"/>
              <w:pageBreakBefore w:val="0"/>
              <w:widowControl w:val="0"/>
              <w:kinsoku/>
              <w:wordWrap/>
              <w:overflowPunct/>
              <w:topLinePunct w:val="0"/>
              <w:autoSpaceDE/>
              <w:autoSpaceDN/>
              <w:bidi w:val="0"/>
              <w:adjustRightInd/>
              <w:snapToGrid w:val="0"/>
              <w:spacing w:line="520" w:lineRule="exact"/>
              <w:ind w:leftChars="0" w:firstLine="480" w:firstLineChars="200"/>
              <w:textAlignment w:val="auto"/>
              <w:outlineLvl w:val="9"/>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根据《濮阳市</w:t>
            </w:r>
            <w:r>
              <w:rPr>
                <w:rFonts w:hint="default" w:ascii="Times New Roman" w:hAnsi="Times New Roman" w:eastAsia="宋体" w:cs="Times New Roman"/>
                <w:color w:val="auto"/>
                <w:sz w:val="24"/>
                <w:szCs w:val="24"/>
                <w:highlight w:val="none"/>
              </w:rPr>
              <w:t>202</w:t>
            </w:r>
            <w:r>
              <w:rPr>
                <w:rFonts w:hint="eastAsia" w:ascii="Times New Roman" w:hAnsi="Times New Roman" w:eastAsia="宋体"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rPr>
              <w:t>年碧水保卫战实施方案》，</w:t>
            </w:r>
            <w:r>
              <w:rPr>
                <w:rFonts w:hint="eastAsia" w:ascii="Times New Roman" w:hAnsi="Times New Roman" w:eastAsia="宋体" w:cs="Times New Roman"/>
                <w:color w:val="auto"/>
                <w:sz w:val="24"/>
                <w:szCs w:val="24"/>
                <w:highlight w:val="none"/>
                <w:lang w:val="en-US" w:eastAsia="zh-CN"/>
              </w:rPr>
              <w:t>完成国家、省下达的和市定的地表水环境质量年度目标任务。县级以上集中式饮用水水源地取水水质达标率达到100%。</w:t>
            </w:r>
            <w:r>
              <w:rPr>
                <w:rFonts w:hint="eastAsia" w:ascii="Times New Roman" w:hAnsi="Times New Roman" w:eastAsia="宋体" w:cs="Times New Roman"/>
                <w:color w:val="auto"/>
                <w:sz w:val="24"/>
                <w:szCs w:val="24"/>
                <w:highlight w:val="none"/>
              </w:rPr>
              <w:t>主要任务：</w:t>
            </w:r>
          </w:p>
          <w:p w14:paraId="3A348C4C">
            <w:pPr>
              <w:keepNext w:val="0"/>
              <w:keepLines w:val="0"/>
              <w:pageBreakBefore w:val="0"/>
              <w:widowControl w:val="0"/>
              <w:kinsoku/>
              <w:wordWrap/>
              <w:overflowPunct/>
              <w:topLinePunct w:val="0"/>
              <w:autoSpaceDE/>
              <w:autoSpaceDN/>
              <w:bidi w:val="0"/>
              <w:adjustRightInd/>
              <w:snapToGrid w:val="0"/>
              <w:spacing w:line="520" w:lineRule="exact"/>
              <w:ind w:leftChars="0"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rPr>
              <w:t>1</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高质量推进黄河流域水生态保护治理</w:t>
            </w:r>
            <w:r>
              <w:rPr>
                <w:rFonts w:hint="eastAsia"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rPr>
              <w:t>2</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持续强化重点领域治理能力综合提升</w:t>
            </w:r>
            <w:r>
              <w:rPr>
                <w:rFonts w:hint="eastAsia"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rPr>
              <w:t>3</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巩固提升饮用水水源地安全保障</w:t>
            </w:r>
            <w:r>
              <w:rPr>
                <w:rFonts w:hint="eastAsia"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rPr>
              <w:t>4</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持续打好城市黑臭水体治理攻坚</w:t>
            </w:r>
            <w:r>
              <w:rPr>
                <w:rFonts w:hint="eastAsia"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rPr>
              <w:t>5</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持续推动河湖水资源水生态保护修复</w:t>
            </w:r>
            <w:r>
              <w:rPr>
                <w:rFonts w:hint="eastAsia"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rPr>
              <w:t>6</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扎实推进入河排污口排查整治</w:t>
            </w:r>
            <w:r>
              <w:rPr>
                <w:rFonts w:hint="eastAsia"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（7）</w:t>
            </w:r>
            <w:r>
              <w:rPr>
                <w:rFonts w:hint="eastAsia" w:ascii="Times New Roman" w:hAnsi="Times New Roman" w:eastAsia="宋体" w:cs="Times New Roman"/>
                <w:color w:val="auto"/>
                <w:sz w:val="24"/>
                <w:szCs w:val="24"/>
                <w:highlight w:val="none"/>
                <w:lang w:val="en-US" w:eastAsia="zh-CN"/>
              </w:rPr>
              <w:t>持续提升污水资源化利用水平；</w:t>
            </w:r>
            <w:r>
              <w:rPr>
                <w:rFonts w:hint="eastAsia" w:cs="Times New Roman"/>
                <w:color w:val="auto"/>
                <w:sz w:val="24"/>
                <w:szCs w:val="24"/>
                <w:highlight w:val="none"/>
                <w:lang w:val="en-US" w:eastAsia="zh-CN"/>
              </w:rPr>
              <w:t>（8）</w:t>
            </w:r>
            <w:r>
              <w:rPr>
                <w:rFonts w:hint="eastAsia" w:ascii="Times New Roman" w:hAnsi="Times New Roman" w:eastAsia="宋体" w:cs="Times New Roman"/>
                <w:color w:val="auto"/>
                <w:sz w:val="24"/>
                <w:szCs w:val="24"/>
                <w:highlight w:val="none"/>
                <w:lang w:val="en-US" w:eastAsia="zh-CN"/>
              </w:rPr>
              <w:t>提升环境监测监管能力水平；</w:t>
            </w:r>
            <w:r>
              <w:rPr>
                <w:rFonts w:hint="eastAsia" w:cs="Times New Roman"/>
                <w:color w:val="auto"/>
                <w:sz w:val="24"/>
                <w:szCs w:val="24"/>
                <w:highlight w:val="none"/>
                <w:lang w:val="en-US" w:eastAsia="zh-CN"/>
              </w:rPr>
              <w:t>（9）</w:t>
            </w:r>
            <w:r>
              <w:rPr>
                <w:rFonts w:hint="eastAsia" w:ascii="Times New Roman" w:hAnsi="Times New Roman" w:eastAsia="宋体" w:cs="Times New Roman"/>
                <w:color w:val="auto"/>
                <w:sz w:val="24"/>
                <w:szCs w:val="24"/>
                <w:highlight w:val="none"/>
                <w:lang w:val="en-US" w:eastAsia="zh-CN"/>
              </w:rPr>
              <w:t>统筹做好其他水生态环境保护工作</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通过一系列污染防治管控措施的落实，区域地表水环境质量将得到持续改善</w:t>
            </w:r>
            <w:r>
              <w:rPr>
                <w:rFonts w:hint="eastAsia" w:ascii="Times New Roman" w:hAnsi="Times New Roman" w:eastAsia="宋体" w:cs="Times New Roman"/>
                <w:color w:val="auto"/>
                <w:sz w:val="24"/>
                <w:szCs w:val="24"/>
                <w:highlight w:val="none"/>
                <w:lang w:eastAsia="zh-CN"/>
              </w:rPr>
              <w:t>。</w:t>
            </w:r>
          </w:p>
          <w:p w14:paraId="2712F5AB">
            <w:pPr>
              <w:snapToGrid w:val="0"/>
              <w:spacing w:line="360" w:lineRule="auto"/>
              <w:rPr>
                <w:b/>
                <w:bCs/>
                <w:color w:val="auto"/>
                <w:sz w:val="24"/>
              </w:rPr>
            </w:pPr>
            <w:r>
              <w:rPr>
                <w:b/>
                <w:bCs/>
                <w:color w:val="auto"/>
                <w:sz w:val="24"/>
              </w:rPr>
              <w:t>3</w:t>
            </w:r>
            <w:r>
              <w:rPr>
                <w:rFonts w:hint="eastAsia"/>
                <w:b/>
                <w:bCs/>
                <w:color w:val="auto"/>
                <w:sz w:val="24"/>
              </w:rPr>
              <w:t>、</w:t>
            </w:r>
            <w:r>
              <w:rPr>
                <w:b/>
                <w:bCs/>
                <w:color w:val="auto"/>
                <w:sz w:val="24"/>
              </w:rPr>
              <w:t>声环境质量现状</w:t>
            </w:r>
          </w:p>
          <w:p w14:paraId="30EB4166">
            <w:pPr>
              <w:tabs>
                <w:tab w:val="left" w:pos="6165"/>
              </w:tabs>
              <w:snapToGrid w:val="0"/>
              <w:spacing w:line="360" w:lineRule="auto"/>
              <w:ind w:firstLine="480" w:firstLineChars="200"/>
              <w:rPr>
                <w:color w:val="auto"/>
                <w:sz w:val="24"/>
              </w:rPr>
            </w:pPr>
            <w:r>
              <w:rPr>
                <w:color w:val="auto"/>
                <w:sz w:val="24"/>
              </w:rPr>
              <w:t>根据</w:t>
            </w:r>
            <w:r>
              <w:rPr>
                <w:rFonts w:hint="eastAsia"/>
                <w:color w:val="auto"/>
                <w:sz w:val="24"/>
              </w:rPr>
              <w:t>《</w:t>
            </w:r>
            <w:r>
              <w:rPr>
                <w:color w:val="auto"/>
                <w:sz w:val="24"/>
              </w:rPr>
              <w:t>建设项目环境影响报告表编制技术指南（污染影响类）</w:t>
            </w:r>
            <w:r>
              <w:rPr>
                <w:rFonts w:hint="eastAsia"/>
                <w:color w:val="auto"/>
                <w:sz w:val="24"/>
              </w:rPr>
              <w:t>》</w:t>
            </w:r>
            <w:r>
              <w:rPr>
                <w:color w:val="auto"/>
                <w:sz w:val="24"/>
              </w:rPr>
              <w:t>（试行）中相关</w:t>
            </w:r>
            <w:r>
              <w:rPr>
                <w:rFonts w:hint="eastAsia"/>
                <w:color w:val="auto"/>
                <w:sz w:val="24"/>
              </w:rPr>
              <w:t>要求：</w:t>
            </w:r>
            <w:r>
              <w:rPr>
                <w:color w:val="auto"/>
                <w:sz w:val="24"/>
              </w:rPr>
              <w:t>厂界外周边50米范围内存在声环境保护目标的建设项目，应监测保护目标声环境质量现状并评价达标情况。本项目周边50m范围内无环境敏感目标，</w:t>
            </w:r>
            <w:r>
              <w:rPr>
                <w:rFonts w:hint="eastAsia"/>
                <w:color w:val="auto"/>
                <w:sz w:val="24"/>
              </w:rPr>
              <w:t>距离最近的敏感目标南夏固村</w:t>
            </w:r>
            <w:r>
              <w:rPr>
                <w:rFonts w:hint="eastAsia"/>
                <w:b/>
                <w:bCs/>
                <w:color w:val="auto"/>
                <w:sz w:val="24"/>
                <w:u w:val="single"/>
                <w:lang w:val="en-US" w:eastAsia="zh-CN"/>
              </w:rPr>
              <w:t>360</w:t>
            </w:r>
            <w:r>
              <w:rPr>
                <w:rFonts w:hint="eastAsia"/>
                <w:b/>
                <w:bCs/>
                <w:color w:val="auto"/>
                <w:sz w:val="24"/>
                <w:u w:val="single"/>
              </w:rPr>
              <w:t>m</w:t>
            </w:r>
            <w:r>
              <w:rPr>
                <w:rFonts w:hint="eastAsia"/>
                <w:color w:val="auto"/>
                <w:sz w:val="24"/>
              </w:rPr>
              <w:t>，因此无需进行</w:t>
            </w:r>
            <w:r>
              <w:rPr>
                <w:color w:val="auto"/>
                <w:sz w:val="24"/>
              </w:rPr>
              <w:t>声环境质量现状监测。</w:t>
            </w:r>
          </w:p>
          <w:p w14:paraId="6A855CF4">
            <w:pPr>
              <w:snapToGrid w:val="0"/>
              <w:spacing w:line="360" w:lineRule="auto"/>
              <w:rPr>
                <w:b/>
                <w:bCs/>
                <w:color w:val="auto"/>
                <w:sz w:val="24"/>
              </w:rPr>
            </w:pPr>
            <w:r>
              <w:rPr>
                <w:b/>
                <w:bCs/>
                <w:color w:val="auto"/>
                <w:sz w:val="24"/>
              </w:rPr>
              <w:t>4</w:t>
            </w:r>
            <w:r>
              <w:rPr>
                <w:rFonts w:hint="eastAsia"/>
                <w:b/>
                <w:bCs/>
                <w:color w:val="auto"/>
                <w:sz w:val="24"/>
              </w:rPr>
              <w:t>、</w:t>
            </w:r>
            <w:r>
              <w:rPr>
                <w:b/>
                <w:bCs/>
                <w:color w:val="auto"/>
                <w:sz w:val="24"/>
              </w:rPr>
              <w:t>生态环境现状</w:t>
            </w:r>
          </w:p>
          <w:p w14:paraId="3A018EC8">
            <w:pPr>
              <w:snapToGrid w:val="0"/>
              <w:spacing w:line="360" w:lineRule="auto"/>
              <w:ind w:firstLine="480" w:firstLineChars="200"/>
              <w:rPr>
                <w:rFonts w:hint="eastAsia"/>
                <w:color w:val="auto"/>
                <w:kern w:val="0"/>
                <w:sz w:val="24"/>
              </w:rPr>
            </w:pPr>
            <w:r>
              <w:rPr>
                <w:rFonts w:hint="eastAsia"/>
                <w:color w:val="auto"/>
                <w:sz w:val="24"/>
              </w:rPr>
              <w:t>由于长期人为活动和自然条件的影响，区域天然植被几乎无残存，以人工种植植物为主，区域内未发现珍稀动物存在，附近无自然生态保护区。</w:t>
            </w:r>
          </w:p>
          <w:p w14:paraId="6AF0E825">
            <w:pPr>
              <w:snapToGrid w:val="0"/>
              <w:spacing w:line="360" w:lineRule="auto"/>
              <w:rPr>
                <w:b/>
                <w:bCs/>
                <w:color w:val="auto"/>
                <w:sz w:val="24"/>
              </w:rPr>
            </w:pPr>
            <w:r>
              <w:rPr>
                <w:b/>
                <w:bCs/>
                <w:color w:val="auto"/>
                <w:sz w:val="24"/>
              </w:rPr>
              <w:t>5、电磁辐射</w:t>
            </w:r>
          </w:p>
          <w:p w14:paraId="479B6ED0">
            <w:pPr>
              <w:spacing w:line="360" w:lineRule="auto"/>
              <w:ind w:firstLine="480" w:firstLineChars="200"/>
              <w:jc w:val="left"/>
              <w:rPr>
                <w:rFonts w:hint="eastAsia"/>
                <w:color w:val="auto"/>
                <w:kern w:val="0"/>
                <w:sz w:val="24"/>
              </w:rPr>
            </w:pPr>
            <w:r>
              <w:rPr>
                <w:rFonts w:hint="eastAsia"/>
                <w:color w:val="auto"/>
                <w:sz w:val="24"/>
              </w:rPr>
              <w:t>本项目不涉及</w:t>
            </w:r>
            <w:r>
              <w:rPr>
                <w:rFonts w:hint="eastAsia"/>
                <w:color w:val="auto"/>
                <w:kern w:val="0"/>
                <w:sz w:val="24"/>
              </w:rPr>
              <w:t>。</w:t>
            </w:r>
          </w:p>
          <w:p w14:paraId="330AFDA8">
            <w:pPr>
              <w:snapToGrid w:val="0"/>
              <w:spacing w:line="360" w:lineRule="auto"/>
              <w:rPr>
                <w:b/>
                <w:bCs/>
                <w:color w:val="auto"/>
                <w:sz w:val="24"/>
              </w:rPr>
            </w:pPr>
            <w:r>
              <w:rPr>
                <w:rFonts w:hint="eastAsia"/>
                <w:b/>
                <w:bCs/>
                <w:color w:val="auto"/>
                <w:sz w:val="24"/>
              </w:rPr>
              <w:t>6</w:t>
            </w:r>
            <w:r>
              <w:rPr>
                <w:b/>
                <w:bCs/>
                <w:color w:val="auto"/>
                <w:sz w:val="24"/>
              </w:rPr>
              <w:t>、地下水</w:t>
            </w:r>
            <w:r>
              <w:rPr>
                <w:rFonts w:hint="eastAsia"/>
                <w:b/>
                <w:bCs/>
                <w:color w:val="auto"/>
                <w:sz w:val="24"/>
              </w:rPr>
              <w:t>、土壤</w:t>
            </w:r>
            <w:r>
              <w:rPr>
                <w:b/>
                <w:bCs/>
                <w:color w:val="auto"/>
                <w:sz w:val="24"/>
              </w:rPr>
              <w:t>环境质量现状</w:t>
            </w:r>
          </w:p>
          <w:p w14:paraId="47DDD6E5">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根据《建设项目环境影响报告表编制技术指南（污染影响类）》（试行）可知“地下水、土壤环境原则上不开展环境质量现状调查。建设项目存在土壤、地下水环境污染途径的，应结合污染源、保护目标分布情况开展现状调查以留作背景值。”本项目涉及的土壤、地下水污染途径包括垂直入渗</w:t>
            </w:r>
            <w:r>
              <w:rPr>
                <w:rFonts w:hint="eastAsia" w:ascii="宋体" w:hAnsi="宋体" w:cs="宋体"/>
                <w:color w:val="auto"/>
                <w:kern w:val="0"/>
                <w:sz w:val="24"/>
                <w:lang w:eastAsia="zh-CN"/>
              </w:rPr>
              <w:t>、</w:t>
            </w:r>
            <w:r>
              <w:rPr>
                <w:rFonts w:hint="eastAsia" w:ascii="宋体" w:hAnsi="宋体" w:cs="宋体"/>
                <w:color w:val="auto"/>
                <w:kern w:val="0"/>
                <w:sz w:val="24"/>
                <w:lang w:val="en-US" w:eastAsia="zh-CN"/>
              </w:rPr>
              <w:t>大气沉降和</w:t>
            </w:r>
            <w:r>
              <w:rPr>
                <w:rFonts w:hint="eastAsia" w:ascii="宋体" w:hAnsi="宋体" w:cs="宋体"/>
                <w:color w:val="auto"/>
                <w:kern w:val="0"/>
                <w:sz w:val="24"/>
              </w:rPr>
              <w:t>地面漫流。</w:t>
            </w:r>
          </w:p>
          <w:p w14:paraId="58C11AB3">
            <w:pPr>
              <w:spacing w:line="360" w:lineRule="auto"/>
              <w:ind w:firstLine="480" w:firstLineChars="200"/>
              <w:rPr>
                <w:rFonts w:hint="eastAsia" w:ascii="宋体" w:hAnsi="宋体" w:cs="宋体"/>
                <w:color w:val="auto"/>
                <w:kern w:val="0"/>
                <w:sz w:val="24"/>
              </w:rPr>
            </w:pPr>
            <w:r>
              <w:rPr>
                <w:rFonts w:hint="eastAsia" w:ascii="宋体" w:hAnsi="宋体" w:cs="宋体"/>
                <w:color w:val="auto"/>
                <w:kern w:val="0"/>
                <w:sz w:val="24"/>
              </w:rPr>
              <w:t>根据现场踏勘，本项目为租赁已建成的厂房，厂房地面已全部硬化、厂房外道路等已经全部硬化，无法进行土壤</w:t>
            </w:r>
            <w:r>
              <w:rPr>
                <w:rFonts w:hint="eastAsia" w:ascii="宋体" w:hAnsi="宋体" w:cs="宋体"/>
                <w:color w:val="auto"/>
                <w:kern w:val="0"/>
                <w:sz w:val="24"/>
                <w:lang w:val="en-US" w:eastAsia="zh-CN"/>
              </w:rPr>
              <w:t>和地下水</w:t>
            </w:r>
            <w:r>
              <w:rPr>
                <w:rFonts w:hint="eastAsia" w:ascii="宋体" w:hAnsi="宋体" w:cs="宋体"/>
                <w:color w:val="auto"/>
                <w:kern w:val="0"/>
                <w:sz w:val="24"/>
              </w:rPr>
              <w:t>环境质量现状采样。故本项目不再进行土壤</w:t>
            </w:r>
            <w:r>
              <w:rPr>
                <w:rFonts w:hint="eastAsia" w:ascii="宋体" w:hAnsi="宋体" w:cs="宋体"/>
                <w:color w:val="auto"/>
                <w:kern w:val="0"/>
                <w:sz w:val="24"/>
                <w:lang w:val="en-US" w:eastAsia="zh-CN"/>
              </w:rPr>
              <w:t>和地下水</w:t>
            </w:r>
            <w:r>
              <w:rPr>
                <w:rFonts w:hint="eastAsia" w:ascii="宋体" w:hAnsi="宋体" w:cs="宋体"/>
                <w:color w:val="auto"/>
                <w:kern w:val="0"/>
                <w:sz w:val="24"/>
              </w:rPr>
              <w:t>环境质量现状采样。</w:t>
            </w:r>
          </w:p>
          <w:p w14:paraId="673E60AA">
            <w:pPr>
              <w:pStyle w:val="2"/>
              <w:rPr>
                <w:rFonts w:hint="eastAsia" w:ascii="宋体" w:hAnsi="宋体" w:cs="宋体"/>
                <w:color w:val="auto"/>
                <w:kern w:val="0"/>
                <w:sz w:val="24"/>
              </w:rPr>
            </w:pPr>
          </w:p>
          <w:p w14:paraId="4EAAF2AC">
            <w:pPr>
              <w:pStyle w:val="2"/>
              <w:ind w:left="0" w:leftChars="0" w:firstLine="0" w:firstLineChars="0"/>
            </w:pPr>
          </w:p>
        </w:tc>
      </w:tr>
      <w:tr w14:paraId="578072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24" w:hRule="atLeast"/>
          <w:jc w:val="center"/>
        </w:trPr>
        <w:tc>
          <w:tcPr>
            <w:tcW w:w="452" w:type="dxa"/>
            <w:vAlign w:val="center"/>
          </w:tcPr>
          <w:p w14:paraId="6BEF6C19">
            <w:pPr>
              <w:adjustRightInd w:val="0"/>
              <w:snapToGrid w:val="0"/>
              <w:jc w:val="center"/>
              <w:rPr>
                <w:rFonts w:hint="eastAsia" w:ascii="宋体" w:hAnsi="宋体" w:cs="宋体"/>
                <w:b/>
                <w:bCs/>
                <w:color w:val="auto"/>
                <w:kern w:val="0"/>
                <w:sz w:val="24"/>
              </w:rPr>
            </w:pPr>
            <w:r>
              <w:rPr>
                <w:rFonts w:hint="eastAsia" w:ascii="宋体" w:hAnsi="宋体" w:cs="宋体"/>
                <w:b/>
                <w:bCs/>
                <w:color w:val="auto"/>
                <w:kern w:val="0"/>
                <w:sz w:val="24"/>
              </w:rPr>
              <w:t>环境</w:t>
            </w:r>
          </w:p>
          <w:p w14:paraId="3FA7A5DA">
            <w:pPr>
              <w:adjustRightInd w:val="0"/>
              <w:snapToGrid w:val="0"/>
              <w:jc w:val="center"/>
              <w:rPr>
                <w:rFonts w:hint="eastAsia" w:ascii="宋体" w:hAnsi="宋体" w:cs="宋体"/>
                <w:b/>
                <w:bCs/>
                <w:color w:val="auto"/>
                <w:kern w:val="0"/>
                <w:sz w:val="24"/>
              </w:rPr>
            </w:pPr>
            <w:r>
              <w:rPr>
                <w:rFonts w:hint="eastAsia" w:ascii="宋体" w:hAnsi="宋体" w:cs="宋体"/>
                <w:b/>
                <w:bCs/>
                <w:color w:val="auto"/>
                <w:kern w:val="0"/>
                <w:sz w:val="24"/>
              </w:rPr>
              <w:t>保护</w:t>
            </w:r>
          </w:p>
          <w:p w14:paraId="6D1DC956">
            <w:pPr>
              <w:adjustRightInd w:val="0"/>
              <w:snapToGrid w:val="0"/>
              <w:jc w:val="center"/>
              <w:rPr>
                <w:rFonts w:hint="eastAsia" w:ascii="宋体" w:hAnsi="宋体" w:cs="宋体"/>
                <w:color w:val="auto"/>
                <w:kern w:val="0"/>
                <w:szCs w:val="21"/>
              </w:rPr>
            </w:pPr>
            <w:r>
              <w:rPr>
                <w:rFonts w:hint="eastAsia" w:ascii="宋体" w:hAnsi="宋体" w:cs="宋体"/>
                <w:b/>
                <w:bCs/>
                <w:color w:val="auto"/>
                <w:kern w:val="0"/>
                <w:sz w:val="24"/>
              </w:rPr>
              <w:t>目标</w:t>
            </w:r>
          </w:p>
        </w:tc>
        <w:tc>
          <w:tcPr>
            <w:tcW w:w="8609" w:type="dxa"/>
            <w:vAlign w:val="center"/>
          </w:tcPr>
          <w:p w14:paraId="61191EFD">
            <w:pPr>
              <w:snapToGrid w:val="0"/>
              <w:spacing w:line="360" w:lineRule="auto"/>
              <w:rPr>
                <w:b/>
                <w:bCs/>
                <w:color w:val="auto"/>
                <w:sz w:val="24"/>
              </w:rPr>
            </w:pPr>
            <w:bookmarkStart w:id="92" w:name="_Toc2258"/>
            <w:bookmarkStart w:id="93" w:name="_Toc18739"/>
            <w:r>
              <w:rPr>
                <w:b/>
                <w:bCs/>
                <w:color w:val="auto"/>
                <w:sz w:val="24"/>
              </w:rPr>
              <w:t>主要环境保护目标（列出名单及保护级别）：</w:t>
            </w:r>
            <w:bookmarkEnd w:id="92"/>
            <w:bookmarkEnd w:id="93"/>
          </w:p>
          <w:p w14:paraId="56529CB5">
            <w:pPr>
              <w:spacing w:line="360" w:lineRule="auto"/>
              <w:ind w:firstLine="480" w:firstLineChars="200"/>
              <w:rPr>
                <w:color w:val="auto"/>
                <w:sz w:val="24"/>
              </w:rPr>
            </w:pPr>
            <w:r>
              <w:rPr>
                <w:color w:val="auto"/>
                <w:sz w:val="24"/>
              </w:rPr>
              <w:t>本项目位于</w:t>
            </w:r>
            <w:r>
              <w:rPr>
                <w:rFonts w:hint="eastAsia"/>
                <w:color w:val="auto"/>
                <w:sz w:val="24"/>
              </w:rPr>
              <w:t>清丰县先进制造业开发区</w:t>
            </w:r>
            <w:r>
              <w:rPr>
                <w:color w:val="auto"/>
                <w:sz w:val="24"/>
              </w:rPr>
              <w:t>，根据项目周围环境情况，确定本次环评的环境保护目标。具体保护目标及保护级别见</w:t>
            </w:r>
            <w:r>
              <w:rPr>
                <w:rFonts w:hint="eastAsia"/>
                <w:color w:val="auto"/>
                <w:sz w:val="24"/>
              </w:rPr>
              <w:t>下表</w:t>
            </w:r>
            <w:r>
              <w:rPr>
                <w:color w:val="auto"/>
                <w:sz w:val="24"/>
              </w:rPr>
              <w:t>。</w:t>
            </w:r>
          </w:p>
          <w:p w14:paraId="1D46646C">
            <w:pPr>
              <w:pStyle w:val="46"/>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eastAsia" w:ascii="Times New Roman" w:hAnsi="Arial Unicode MS" w:eastAsia="宋体" w:cs="Times New Roman"/>
                <w:b/>
                <w:color w:val="auto"/>
                <w:kern w:val="2"/>
                <w:sz w:val="24"/>
                <w:szCs w:val="24"/>
                <w:lang w:val="en-US" w:eastAsia="zh-CN" w:bidi="ar-SA"/>
              </w:rPr>
            </w:pPr>
            <w:r>
              <w:rPr>
                <w:rFonts w:hint="eastAsia" w:ascii="Times New Roman" w:hAnsi="Arial Unicode MS" w:eastAsia="宋体" w:cs="Times New Roman"/>
                <w:b/>
                <w:color w:val="auto"/>
                <w:kern w:val="2"/>
                <w:sz w:val="24"/>
                <w:szCs w:val="24"/>
                <w:lang w:val="en-US" w:eastAsia="zh-CN" w:bidi="ar-SA"/>
              </w:rPr>
              <w:t>大气环境保护目标及保护级别一览表</w:t>
            </w:r>
          </w:p>
          <w:tbl>
            <w:tblPr>
              <w:tblStyle w:val="25"/>
              <w:tblW w:w="8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29"/>
              <w:gridCol w:w="1538"/>
              <w:gridCol w:w="1388"/>
              <w:gridCol w:w="835"/>
              <w:gridCol w:w="1033"/>
              <w:gridCol w:w="691"/>
              <w:gridCol w:w="982"/>
              <w:gridCol w:w="982"/>
            </w:tblGrid>
            <w:tr w14:paraId="0836F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29" w:type="dxa"/>
                  <w:vMerge w:val="restart"/>
                  <w:vAlign w:val="center"/>
                </w:tcPr>
                <w:p w14:paraId="11D6C2D1">
                  <w:pPr>
                    <w:snapToGrid w:val="0"/>
                    <w:jc w:val="center"/>
                    <w:rPr>
                      <w:b/>
                      <w:bCs/>
                      <w:color w:val="auto"/>
                      <w:spacing w:val="-6"/>
                      <w:szCs w:val="21"/>
                    </w:rPr>
                  </w:pPr>
                  <w:r>
                    <w:rPr>
                      <w:b/>
                      <w:bCs/>
                      <w:color w:val="auto"/>
                      <w:spacing w:val="-6"/>
                      <w:szCs w:val="21"/>
                    </w:rPr>
                    <w:t>名称</w:t>
                  </w:r>
                </w:p>
              </w:tc>
              <w:tc>
                <w:tcPr>
                  <w:tcW w:w="2926" w:type="dxa"/>
                  <w:gridSpan w:val="2"/>
                  <w:vAlign w:val="center"/>
                </w:tcPr>
                <w:p w14:paraId="1D3B51EE">
                  <w:pPr>
                    <w:adjustRightInd w:val="0"/>
                    <w:snapToGrid w:val="0"/>
                    <w:jc w:val="center"/>
                    <w:rPr>
                      <w:b/>
                      <w:bCs/>
                      <w:color w:val="auto"/>
                      <w:spacing w:val="-6"/>
                      <w:szCs w:val="21"/>
                    </w:rPr>
                  </w:pPr>
                  <w:r>
                    <w:rPr>
                      <w:b/>
                      <w:bCs/>
                      <w:color w:val="auto"/>
                      <w:szCs w:val="21"/>
                    </w:rPr>
                    <w:t>坐标</w:t>
                  </w:r>
                </w:p>
              </w:tc>
              <w:tc>
                <w:tcPr>
                  <w:tcW w:w="835" w:type="dxa"/>
                  <w:vMerge w:val="restart"/>
                  <w:vAlign w:val="center"/>
                </w:tcPr>
                <w:p w14:paraId="39E592E8">
                  <w:pPr>
                    <w:snapToGrid w:val="0"/>
                    <w:jc w:val="center"/>
                    <w:rPr>
                      <w:b/>
                      <w:bCs/>
                      <w:color w:val="auto"/>
                      <w:spacing w:val="-6"/>
                      <w:szCs w:val="21"/>
                    </w:rPr>
                  </w:pPr>
                  <w:r>
                    <w:rPr>
                      <w:b/>
                      <w:bCs/>
                      <w:color w:val="auto"/>
                      <w:spacing w:val="-6"/>
                      <w:szCs w:val="21"/>
                    </w:rPr>
                    <w:t>保护对象</w:t>
                  </w:r>
                </w:p>
              </w:tc>
              <w:tc>
                <w:tcPr>
                  <w:tcW w:w="1033" w:type="dxa"/>
                  <w:vMerge w:val="restart"/>
                  <w:vAlign w:val="center"/>
                </w:tcPr>
                <w:p w14:paraId="3F02ECD8">
                  <w:pPr>
                    <w:snapToGrid w:val="0"/>
                    <w:jc w:val="center"/>
                    <w:rPr>
                      <w:b/>
                      <w:bCs/>
                      <w:color w:val="auto"/>
                      <w:spacing w:val="-6"/>
                      <w:szCs w:val="21"/>
                    </w:rPr>
                  </w:pPr>
                  <w:r>
                    <w:rPr>
                      <w:b/>
                      <w:bCs/>
                      <w:color w:val="auto"/>
                      <w:spacing w:val="-6"/>
                      <w:szCs w:val="21"/>
                    </w:rPr>
                    <w:t>环境功能区</w:t>
                  </w:r>
                </w:p>
              </w:tc>
              <w:tc>
                <w:tcPr>
                  <w:tcW w:w="691" w:type="dxa"/>
                  <w:vMerge w:val="restart"/>
                  <w:vAlign w:val="center"/>
                </w:tcPr>
                <w:p w14:paraId="73892517">
                  <w:pPr>
                    <w:snapToGrid w:val="0"/>
                    <w:jc w:val="center"/>
                    <w:rPr>
                      <w:b/>
                      <w:bCs/>
                      <w:color w:val="auto"/>
                      <w:spacing w:val="-6"/>
                      <w:szCs w:val="21"/>
                    </w:rPr>
                  </w:pPr>
                  <w:r>
                    <w:rPr>
                      <w:b/>
                      <w:bCs/>
                      <w:color w:val="auto"/>
                      <w:spacing w:val="-6"/>
                      <w:szCs w:val="21"/>
                    </w:rPr>
                    <w:t>相对</w:t>
                  </w:r>
                </w:p>
                <w:p w14:paraId="49FCDE87">
                  <w:pPr>
                    <w:snapToGrid w:val="0"/>
                    <w:jc w:val="center"/>
                    <w:rPr>
                      <w:b/>
                      <w:bCs/>
                      <w:color w:val="auto"/>
                      <w:spacing w:val="-6"/>
                      <w:szCs w:val="21"/>
                    </w:rPr>
                  </w:pPr>
                  <w:r>
                    <w:rPr>
                      <w:b/>
                      <w:bCs/>
                      <w:color w:val="auto"/>
                      <w:spacing w:val="-6"/>
                      <w:szCs w:val="21"/>
                    </w:rPr>
                    <w:t>方位</w:t>
                  </w:r>
                </w:p>
              </w:tc>
              <w:tc>
                <w:tcPr>
                  <w:tcW w:w="982" w:type="dxa"/>
                  <w:vMerge w:val="restart"/>
                  <w:vAlign w:val="center"/>
                </w:tcPr>
                <w:p w14:paraId="50774E9C">
                  <w:pPr>
                    <w:snapToGrid w:val="0"/>
                    <w:jc w:val="center"/>
                    <w:rPr>
                      <w:b/>
                      <w:bCs/>
                      <w:color w:val="auto"/>
                      <w:spacing w:val="-6"/>
                      <w:szCs w:val="21"/>
                    </w:rPr>
                  </w:pPr>
                  <w:r>
                    <w:rPr>
                      <w:b/>
                      <w:bCs/>
                      <w:color w:val="auto"/>
                      <w:spacing w:val="-6"/>
                      <w:szCs w:val="21"/>
                    </w:rPr>
                    <w:t>相对厂界距离（m）</w:t>
                  </w:r>
                </w:p>
              </w:tc>
              <w:tc>
                <w:tcPr>
                  <w:tcW w:w="982" w:type="dxa"/>
                  <w:vMerge w:val="restart"/>
                  <w:vAlign w:val="center"/>
                </w:tcPr>
                <w:p w14:paraId="12964E7F">
                  <w:pPr>
                    <w:snapToGrid w:val="0"/>
                    <w:jc w:val="center"/>
                    <w:rPr>
                      <w:b/>
                      <w:bCs/>
                      <w:color w:val="auto"/>
                      <w:spacing w:val="-6"/>
                      <w:szCs w:val="21"/>
                    </w:rPr>
                  </w:pPr>
                  <w:r>
                    <w:rPr>
                      <w:rFonts w:hint="eastAsia"/>
                      <w:b/>
                      <w:bCs/>
                      <w:color w:val="auto"/>
                      <w:spacing w:val="-6"/>
                      <w:szCs w:val="21"/>
                    </w:rPr>
                    <w:t>保护内容</w:t>
                  </w:r>
                </w:p>
              </w:tc>
            </w:tr>
            <w:tr w14:paraId="7CD0A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29" w:type="dxa"/>
                  <w:vMerge w:val="continue"/>
                  <w:vAlign w:val="center"/>
                </w:tcPr>
                <w:p w14:paraId="66155D23">
                  <w:pPr>
                    <w:snapToGrid w:val="0"/>
                    <w:jc w:val="center"/>
                    <w:rPr>
                      <w:b/>
                      <w:bCs/>
                      <w:color w:val="auto"/>
                      <w:spacing w:val="-6"/>
                      <w:szCs w:val="21"/>
                    </w:rPr>
                  </w:pPr>
                </w:p>
              </w:tc>
              <w:tc>
                <w:tcPr>
                  <w:tcW w:w="1538" w:type="dxa"/>
                  <w:vAlign w:val="center"/>
                </w:tcPr>
                <w:p w14:paraId="4903FE4C">
                  <w:pPr>
                    <w:adjustRightInd w:val="0"/>
                    <w:snapToGrid w:val="0"/>
                    <w:jc w:val="center"/>
                    <w:rPr>
                      <w:b/>
                      <w:bCs/>
                      <w:color w:val="auto"/>
                      <w:spacing w:val="-6"/>
                      <w:szCs w:val="21"/>
                    </w:rPr>
                  </w:pPr>
                  <w:r>
                    <w:rPr>
                      <w:b/>
                      <w:bCs/>
                      <w:color w:val="auto"/>
                      <w:szCs w:val="21"/>
                    </w:rPr>
                    <w:t>经度</w:t>
                  </w:r>
                </w:p>
              </w:tc>
              <w:tc>
                <w:tcPr>
                  <w:tcW w:w="1388" w:type="dxa"/>
                  <w:vAlign w:val="center"/>
                </w:tcPr>
                <w:p w14:paraId="51BEA548">
                  <w:pPr>
                    <w:adjustRightInd w:val="0"/>
                    <w:snapToGrid w:val="0"/>
                    <w:jc w:val="center"/>
                    <w:rPr>
                      <w:b/>
                      <w:bCs/>
                      <w:color w:val="auto"/>
                      <w:spacing w:val="-6"/>
                      <w:szCs w:val="21"/>
                    </w:rPr>
                  </w:pPr>
                  <w:r>
                    <w:rPr>
                      <w:b/>
                      <w:bCs/>
                      <w:color w:val="auto"/>
                      <w:szCs w:val="21"/>
                    </w:rPr>
                    <w:t>纬度</w:t>
                  </w:r>
                </w:p>
              </w:tc>
              <w:tc>
                <w:tcPr>
                  <w:tcW w:w="835" w:type="dxa"/>
                  <w:vMerge w:val="continue"/>
                  <w:vAlign w:val="center"/>
                </w:tcPr>
                <w:p w14:paraId="1612F8DD">
                  <w:pPr>
                    <w:snapToGrid w:val="0"/>
                    <w:jc w:val="center"/>
                    <w:rPr>
                      <w:color w:val="auto"/>
                      <w:spacing w:val="-6"/>
                      <w:szCs w:val="21"/>
                    </w:rPr>
                  </w:pPr>
                </w:p>
              </w:tc>
              <w:tc>
                <w:tcPr>
                  <w:tcW w:w="1033" w:type="dxa"/>
                  <w:vMerge w:val="continue"/>
                  <w:vAlign w:val="center"/>
                </w:tcPr>
                <w:p w14:paraId="2EFD8914">
                  <w:pPr>
                    <w:snapToGrid w:val="0"/>
                    <w:jc w:val="center"/>
                    <w:rPr>
                      <w:color w:val="auto"/>
                      <w:spacing w:val="-6"/>
                      <w:szCs w:val="21"/>
                    </w:rPr>
                  </w:pPr>
                </w:p>
              </w:tc>
              <w:tc>
                <w:tcPr>
                  <w:tcW w:w="691" w:type="dxa"/>
                  <w:vMerge w:val="continue"/>
                  <w:vAlign w:val="center"/>
                </w:tcPr>
                <w:p w14:paraId="7E51F990">
                  <w:pPr>
                    <w:snapToGrid w:val="0"/>
                    <w:jc w:val="center"/>
                    <w:rPr>
                      <w:color w:val="auto"/>
                      <w:spacing w:val="-6"/>
                      <w:szCs w:val="21"/>
                    </w:rPr>
                  </w:pPr>
                </w:p>
              </w:tc>
              <w:tc>
                <w:tcPr>
                  <w:tcW w:w="982" w:type="dxa"/>
                  <w:vMerge w:val="continue"/>
                  <w:vAlign w:val="center"/>
                </w:tcPr>
                <w:p w14:paraId="38AC1342">
                  <w:pPr>
                    <w:snapToGrid w:val="0"/>
                    <w:jc w:val="center"/>
                    <w:rPr>
                      <w:color w:val="auto"/>
                      <w:spacing w:val="-6"/>
                      <w:szCs w:val="21"/>
                    </w:rPr>
                  </w:pPr>
                </w:p>
              </w:tc>
              <w:tc>
                <w:tcPr>
                  <w:tcW w:w="982" w:type="dxa"/>
                  <w:vMerge w:val="continue"/>
                  <w:vAlign w:val="center"/>
                </w:tcPr>
                <w:p w14:paraId="738B3DB6">
                  <w:pPr>
                    <w:snapToGrid w:val="0"/>
                    <w:jc w:val="center"/>
                    <w:rPr>
                      <w:color w:val="auto"/>
                      <w:spacing w:val="-6"/>
                      <w:szCs w:val="21"/>
                    </w:rPr>
                  </w:pPr>
                </w:p>
              </w:tc>
            </w:tr>
            <w:tr w14:paraId="09CFB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929" w:type="dxa"/>
                  <w:vAlign w:val="center"/>
                </w:tcPr>
                <w:p w14:paraId="5423E1D5">
                  <w:pPr>
                    <w:snapToGrid w:val="0"/>
                    <w:jc w:val="center"/>
                    <w:rPr>
                      <w:color w:val="auto"/>
                      <w:spacing w:val="-6"/>
                      <w:szCs w:val="21"/>
                    </w:rPr>
                  </w:pPr>
                  <w:r>
                    <w:rPr>
                      <w:rFonts w:hint="eastAsia"/>
                      <w:color w:val="auto"/>
                      <w:spacing w:val="-6"/>
                      <w:szCs w:val="21"/>
                    </w:rPr>
                    <w:t>南夏固村</w:t>
                  </w:r>
                </w:p>
              </w:tc>
              <w:tc>
                <w:tcPr>
                  <w:tcW w:w="1538" w:type="dxa"/>
                  <w:vAlign w:val="center"/>
                </w:tcPr>
                <w:p w14:paraId="3B95A3AC">
                  <w:pPr>
                    <w:snapToGrid w:val="0"/>
                    <w:jc w:val="center"/>
                    <w:rPr>
                      <w:color w:val="auto"/>
                      <w:szCs w:val="21"/>
                    </w:rPr>
                  </w:pPr>
                  <w:r>
                    <w:rPr>
                      <w:rFonts w:hint="eastAsia"/>
                      <w:color w:val="auto"/>
                      <w:szCs w:val="21"/>
                    </w:rPr>
                    <w:t>E</w:t>
                  </w:r>
                  <w:r>
                    <w:rPr>
                      <w:color w:val="auto"/>
                      <w:szCs w:val="21"/>
                    </w:rPr>
                    <w:t>115.11680226°</w:t>
                  </w:r>
                </w:p>
              </w:tc>
              <w:tc>
                <w:tcPr>
                  <w:tcW w:w="1388" w:type="dxa"/>
                  <w:vAlign w:val="center"/>
                </w:tcPr>
                <w:p w14:paraId="37404883">
                  <w:pPr>
                    <w:snapToGrid w:val="0"/>
                    <w:jc w:val="center"/>
                    <w:rPr>
                      <w:color w:val="auto"/>
                      <w:szCs w:val="21"/>
                    </w:rPr>
                  </w:pPr>
                  <w:r>
                    <w:rPr>
                      <w:rFonts w:hint="eastAsia"/>
                      <w:color w:val="auto"/>
                      <w:szCs w:val="21"/>
                    </w:rPr>
                    <w:t>N</w:t>
                  </w:r>
                  <w:r>
                    <w:rPr>
                      <w:color w:val="auto"/>
                      <w:szCs w:val="21"/>
                    </w:rPr>
                    <w:t>35.85837983°</w:t>
                  </w:r>
                </w:p>
              </w:tc>
              <w:tc>
                <w:tcPr>
                  <w:tcW w:w="835" w:type="dxa"/>
                  <w:vAlign w:val="center"/>
                </w:tcPr>
                <w:p w14:paraId="554D5BE5">
                  <w:pPr>
                    <w:snapToGrid w:val="0"/>
                    <w:jc w:val="center"/>
                    <w:rPr>
                      <w:color w:val="auto"/>
                      <w:spacing w:val="-6"/>
                      <w:szCs w:val="21"/>
                    </w:rPr>
                  </w:pPr>
                  <w:r>
                    <w:rPr>
                      <w:rFonts w:hint="eastAsia"/>
                      <w:color w:val="auto"/>
                      <w:spacing w:val="-6"/>
                      <w:szCs w:val="21"/>
                    </w:rPr>
                    <w:t>居民</w:t>
                  </w:r>
                </w:p>
              </w:tc>
              <w:tc>
                <w:tcPr>
                  <w:tcW w:w="1033" w:type="dxa"/>
                  <w:vAlign w:val="center"/>
                </w:tcPr>
                <w:p w14:paraId="3468A798">
                  <w:pPr>
                    <w:snapToGrid w:val="0"/>
                    <w:jc w:val="center"/>
                    <w:rPr>
                      <w:color w:val="auto"/>
                      <w:spacing w:val="-6"/>
                      <w:szCs w:val="21"/>
                    </w:rPr>
                  </w:pPr>
                  <w:r>
                    <w:rPr>
                      <w:color w:val="auto"/>
                      <w:spacing w:val="-6"/>
                      <w:szCs w:val="21"/>
                    </w:rPr>
                    <w:t>二类区</w:t>
                  </w:r>
                </w:p>
              </w:tc>
              <w:tc>
                <w:tcPr>
                  <w:tcW w:w="691" w:type="dxa"/>
                  <w:vAlign w:val="center"/>
                </w:tcPr>
                <w:p w14:paraId="3D79C132">
                  <w:pPr>
                    <w:snapToGrid w:val="0"/>
                    <w:jc w:val="center"/>
                    <w:rPr>
                      <w:color w:val="auto"/>
                      <w:spacing w:val="-6"/>
                      <w:szCs w:val="21"/>
                    </w:rPr>
                  </w:pPr>
                  <w:r>
                    <w:rPr>
                      <w:rFonts w:hint="eastAsia"/>
                      <w:color w:val="auto"/>
                      <w:spacing w:val="-6"/>
                      <w:szCs w:val="21"/>
                    </w:rPr>
                    <w:t>W</w:t>
                  </w:r>
                </w:p>
              </w:tc>
              <w:tc>
                <w:tcPr>
                  <w:tcW w:w="982" w:type="dxa"/>
                  <w:vAlign w:val="center"/>
                </w:tcPr>
                <w:p w14:paraId="1880C33F">
                  <w:pPr>
                    <w:snapToGrid w:val="0"/>
                    <w:jc w:val="center"/>
                    <w:rPr>
                      <w:rFonts w:hint="default" w:eastAsia="宋体"/>
                      <w:color w:val="auto"/>
                      <w:spacing w:val="-6"/>
                      <w:szCs w:val="21"/>
                      <w:lang w:val="en-US" w:eastAsia="zh-CN"/>
                    </w:rPr>
                  </w:pPr>
                  <w:r>
                    <w:rPr>
                      <w:rFonts w:hint="eastAsia"/>
                      <w:color w:val="auto"/>
                      <w:spacing w:val="-6"/>
                      <w:szCs w:val="21"/>
                      <w:lang w:val="en-US" w:eastAsia="zh-CN"/>
                    </w:rPr>
                    <w:t>360</w:t>
                  </w:r>
                </w:p>
              </w:tc>
              <w:tc>
                <w:tcPr>
                  <w:tcW w:w="982" w:type="dxa"/>
                  <w:vAlign w:val="center"/>
                </w:tcPr>
                <w:p w14:paraId="0FE324D3">
                  <w:pPr>
                    <w:snapToGrid w:val="0"/>
                    <w:jc w:val="center"/>
                    <w:rPr>
                      <w:color w:val="auto"/>
                      <w:spacing w:val="-6"/>
                      <w:szCs w:val="21"/>
                    </w:rPr>
                  </w:pPr>
                  <w:r>
                    <w:rPr>
                      <w:rFonts w:hint="eastAsia"/>
                      <w:color w:val="auto"/>
                      <w:spacing w:val="-6"/>
                      <w:szCs w:val="21"/>
                    </w:rPr>
                    <w:t>2200人</w:t>
                  </w:r>
                </w:p>
              </w:tc>
            </w:tr>
          </w:tbl>
          <w:p w14:paraId="08E2821F">
            <w:pPr>
              <w:pStyle w:val="46"/>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eastAsia" w:ascii="Times New Roman" w:hAnsi="Arial Unicode MS" w:eastAsia="宋体" w:cs="Times New Roman"/>
                <w:b/>
                <w:color w:val="auto"/>
                <w:kern w:val="2"/>
                <w:sz w:val="24"/>
                <w:szCs w:val="24"/>
                <w:lang w:val="en-US" w:eastAsia="zh-CN" w:bidi="ar-SA"/>
              </w:rPr>
            </w:pPr>
            <w:r>
              <w:rPr>
                <w:rFonts w:hint="eastAsia" w:ascii="Times New Roman" w:hAnsi="Arial Unicode MS" w:eastAsia="宋体" w:cs="Times New Roman"/>
                <w:b/>
                <w:color w:val="auto"/>
                <w:kern w:val="2"/>
                <w:sz w:val="24"/>
                <w:szCs w:val="24"/>
                <w:lang w:val="en-US" w:eastAsia="zh-CN" w:bidi="ar-SA"/>
              </w:rPr>
              <w:t>地表水环境保护目标及保护级别一览表</w:t>
            </w:r>
          </w:p>
          <w:tbl>
            <w:tblPr>
              <w:tblStyle w:val="25"/>
              <w:tblW w:w="83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54"/>
              <w:gridCol w:w="1151"/>
              <w:gridCol w:w="706"/>
              <w:gridCol w:w="765"/>
              <w:gridCol w:w="4607"/>
            </w:tblGrid>
            <w:tr w14:paraId="6AEEB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3" w:hRule="atLeast"/>
                <w:jc w:val="center"/>
              </w:trPr>
              <w:tc>
                <w:tcPr>
                  <w:tcW w:w="1154" w:type="dxa"/>
                  <w:vAlign w:val="center"/>
                </w:tcPr>
                <w:p w14:paraId="361F02E7">
                  <w:pPr>
                    <w:jc w:val="center"/>
                    <w:rPr>
                      <w:b/>
                      <w:bCs/>
                      <w:color w:val="auto"/>
                      <w:szCs w:val="21"/>
                    </w:rPr>
                  </w:pPr>
                  <w:r>
                    <w:rPr>
                      <w:b/>
                      <w:bCs/>
                      <w:color w:val="auto"/>
                      <w:szCs w:val="21"/>
                    </w:rPr>
                    <w:t>环境类别</w:t>
                  </w:r>
                </w:p>
              </w:tc>
              <w:tc>
                <w:tcPr>
                  <w:tcW w:w="1151" w:type="dxa"/>
                  <w:vAlign w:val="center"/>
                </w:tcPr>
                <w:p w14:paraId="51F0C009">
                  <w:pPr>
                    <w:jc w:val="center"/>
                    <w:rPr>
                      <w:b/>
                      <w:bCs/>
                      <w:color w:val="auto"/>
                      <w:szCs w:val="21"/>
                    </w:rPr>
                  </w:pPr>
                  <w:r>
                    <w:rPr>
                      <w:b/>
                      <w:bCs/>
                      <w:color w:val="auto"/>
                      <w:szCs w:val="21"/>
                    </w:rPr>
                    <w:t>保护目标</w:t>
                  </w:r>
                </w:p>
              </w:tc>
              <w:tc>
                <w:tcPr>
                  <w:tcW w:w="706" w:type="dxa"/>
                  <w:vAlign w:val="center"/>
                </w:tcPr>
                <w:p w14:paraId="12973CD9">
                  <w:pPr>
                    <w:jc w:val="center"/>
                    <w:rPr>
                      <w:b/>
                      <w:bCs/>
                      <w:color w:val="auto"/>
                      <w:szCs w:val="21"/>
                    </w:rPr>
                  </w:pPr>
                  <w:r>
                    <w:rPr>
                      <w:b/>
                      <w:bCs/>
                      <w:color w:val="auto"/>
                      <w:szCs w:val="21"/>
                    </w:rPr>
                    <w:t>方位</w:t>
                  </w:r>
                </w:p>
              </w:tc>
              <w:tc>
                <w:tcPr>
                  <w:tcW w:w="765" w:type="dxa"/>
                  <w:vAlign w:val="center"/>
                </w:tcPr>
                <w:p w14:paraId="04FCCF1B">
                  <w:pPr>
                    <w:jc w:val="center"/>
                    <w:rPr>
                      <w:b/>
                      <w:bCs/>
                      <w:color w:val="auto"/>
                      <w:szCs w:val="21"/>
                    </w:rPr>
                  </w:pPr>
                  <w:r>
                    <w:rPr>
                      <w:b/>
                      <w:bCs/>
                      <w:color w:val="auto"/>
                      <w:szCs w:val="21"/>
                    </w:rPr>
                    <w:t>距离</w:t>
                  </w:r>
                </w:p>
              </w:tc>
              <w:tc>
                <w:tcPr>
                  <w:tcW w:w="4607" w:type="dxa"/>
                  <w:vAlign w:val="center"/>
                </w:tcPr>
                <w:p w14:paraId="6CCBF1D3">
                  <w:pPr>
                    <w:jc w:val="center"/>
                    <w:rPr>
                      <w:b/>
                      <w:bCs/>
                      <w:color w:val="auto"/>
                      <w:szCs w:val="21"/>
                    </w:rPr>
                  </w:pPr>
                  <w:r>
                    <w:rPr>
                      <w:b/>
                      <w:bCs/>
                      <w:color w:val="auto"/>
                      <w:szCs w:val="21"/>
                    </w:rPr>
                    <w:t>保护级别</w:t>
                  </w:r>
                </w:p>
              </w:tc>
            </w:tr>
            <w:tr w14:paraId="7912A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154" w:type="dxa"/>
                  <w:vMerge w:val="restart"/>
                  <w:vAlign w:val="center"/>
                </w:tcPr>
                <w:p w14:paraId="40560A15">
                  <w:pPr>
                    <w:jc w:val="center"/>
                    <w:rPr>
                      <w:color w:val="auto"/>
                      <w:szCs w:val="21"/>
                    </w:rPr>
                  </w:pPr>
                  <w:r>
                    <w:rPr>
                      <w:color w:val="auto"/>
                      <w:szCs w:val="21"/>
                    </w:rPr>
                    <w:t>地表水</w:t>
                  </w:r>
                </w:p>
              </w:tc>
              <w:tc>
                <w:tcPr>
                  <w:tcW w:w="1151" w:type="dxa"/>
                  <w:vAlign w:val="center"/>
                </w:tcPr>
                <w:p w14:paraId="6AEAC18B">
                  <w:pPr>
                    <w:jc w:val="center"/>
                    <w:rPr>
                      <w:color w:val="auto"/>
                      <w:szCs w:val="21"/>
                    </w:rPr>
                  </w:pPr>
                  <w:r>
                    <w:rPr>
                      <w:rFonts w:hint="eastAsia"/>
                      <w:color w:val="auto"/>
                      <w:szCs w:val="21"/>
                    </w:rPr>
                    <w:t>潴龙河</w:t>
                  </w:r>
                </w:p>
              </w:tc>
              <w:tc>
                <w:tcPr>
                  <w:tcW w:w="706" w:type="dxa"/>
                  <w:vAlign w:val="center"/>
                </w:tcPr>
                <w:p w14:paraId="7366B254">
                  <w:pPr>
                    <w:jc w:val="center"/>
                    <w:rPr>
                      <w:color w:val="auto"/>
                      <w:kern w:val="0"/>
                      <w:szCs w:val="21"/>
                    </w:rPr>
                  </w:pPr>
                  <w:r>
                    <w:rPr>
                      <w:rFonts w:hint="eastAsia"/>
                      <w:color w:val="auto"/>
                      <w:kern w:val="0"/>
                      <w:szCs w:val="21"/>
                    </w:rPr>
                    <w:t>E</w:t>
                  </w:r>
                </w:p>
              </w:tc>
              <w:tc>
                <w:tcPr>
                  <w:tcW w:w="765" w:type="dxa"/>
                  <w:vAlign w:val="center"/>
                </w:tcPr>
                <w:p w14:paraId="436C04BE">
                  <w:pPr>
                    <w:jc w:val="center"/>
                    <w:rPr>
                      <w:color w:val="auto"/>
                      <w:kern w:val="0"/>
                      <w:szCs w:val="21"/>
                      <w:lang w:val="zh-CN"/>
                    </w:rPr>
                  </w:pPr>
                  <w:r>
                    <w:rPr>
                      <w:rFonts w:hint="eastAsia"/>
                      <w:color w:val="auto"/>
                      <w:szCs w:val="21"/>
                    </w:rPr>
                    <w:t>2100</w:t>
                  </w:r>
                  <w:r>
                    <w:rPr>
                      <w:color w:val="auto"/>
                      <w:szCs w:val="21"/>
                    </w:rPr>
                    <w:t>m</w:t>
                  </w:r>
                </w:p>
              </w:tc>
              <w:tc>
                <w:tcPr>
                  <w:tcW w:w="4607" w:type="dxa"/>
                  <w:vAlign w:val="center"/>
                </w:tcPr>
                <w:p w14:paraId="5B4E5950">
                  <w:pPr>
                    <w:adjustRightInd w:val="0"/>
                    <w:snapToGrid w:val="0"/>
                    <w:jc w:val="center"/>
                    <w:rPr>
                      <w:color w:val="auto"/>
                      <w:kern w:val="0"/>
                      <w:szCs w:val="21"/>
                      <w:lang w:val="zh-CN"/>
                    </w:rPr>
                  </w:pPr>
                  <w:r>
                    <w:rPr>
                      <w:color w:val="auto"/>
                      <w:szCs w:val="21"/>
                    </w:rPr>
                    <w:t>《地表水环境质量标准》（GB3838-2002）</w:t>
                  </w:r>
                  <w:r>
                    <w:rPr>
                      <w:rFonts w:hint="eastAsia"/>
                      <w:color w:val="auto"/>
                      <w:szCs w:val="21"/>
                    </w:rPr>
                    <w:fldChar w:fldCharType="begin"/>
                  </w:r>
                  <w:r>
                    <w:rPr>
                      <w:rFonts w:hint="eastAsia"/>
                      <w:color w:val="auto"/>
                      <w:szCs w:val="21"/>
                    </w:rPr>
                    <w:instrText xml:space="preserve"> = 4 \* ROMAN \* MERGEFORMAT </w:instrText>
                  </w:r>
                  <w:r>
                    <w:rPr>
                      <w:rFonts w:hint="eastAsia"/>
                      <w:color w:val="auto"/>
                      <w:szCs w:val="21"/>
                    </w:rPr>
                    <w:fldChar w:fldCharType="separate"/>
                  </w:r>
                  <w:r>
                    <w:rPr>
                      <w:color w:val="auto"/>
                    </w:rPr>
                    <w:t>IV</w:t>
                  </w:r>
                  <w:r>
                    <w:rPr>
                      <w:rFonts w:hint="eastAsia"/>
                      <w:color w:val="auto"/>
                      <w:szCs w:val="21"/>
                    </w:rPr>
                    <w:fldChar w:fldCharType="end"/>
                  </w:r>
                  <w:r>
                    <w:rPr>
                      <w:color w:val="auto"/>
                      <w:szCs w:val="21"/>
                    </w:rPr>
                    <w:t>类</w:t>
                  </w:r>
                </w:p>
              </w:tc>
            </w:tr>
            <w:tr w14:paraId="7490E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154" w:type="dxa"/>
                  <w:vMerge w:val="continue"/>
                  <w:vAlign w:val="center"/>
                </w:tcPr>
                <w:p w14:paraId="7098D060">
                  <w:pPr>
                    <w:jc w:val="center"/>
                    <w:rPr>
                      <w:color w:val="auto"/>
                      <w:szCs w:val="21"/>
                    </w:rPr>
                  </w:pPr>
                </w:p>
              </w:tc>
              <w:tc>
                <w:tcPr>
                  <w:tcW w:w="1151" w:type="dxa"/>
                  <w:vAlign w:val="center"/>
                </w:tcPr>
                <w:p w14:paraId="6DD4C249">
                  <w:pPr>
                    <w:jc w:val="center"/>
                    <w:rPr>
                      <w:rFonts w:hint="eastAsia"/>
                      <w:color w:val="auto"/>
                      <w:szCs w:val="21"/>
                    </w:rPr>
                  </w:pPr>
                  <w:r>
                    <w:rPr>
                      <w:color w:val="auto"/>
                      <w:sz w:val="21"/>
                      <w:szCs w:val="21"/>
                    </w:rPr>
                    <w:t>马颊河</w:t>
                  </w:r>
                </w:p>
              </w:tc>
              <w:tc>
                <w:tcPr>
                  <w:tcW w:w="706" w:type="dxa"/>
                  <w:vAlign w:val="center"/>
                </w:tcPr>
                <w:p w14:paraId="6012B7EB">
                  <w:pPr>
                    <w:jc w:val="center"/>
                    <w:rPr>
                      <w:rFonts w:hint="eastAsia" w:eastAsia="宋体"/>
                      <w:color w:val="auto"/>
                      <w:kern w:val="0"/>
                      <w:szCs w:val="21"/>
                      <w:lang w:val="en-US" w:eastAsia="zh-CN"/>
                    </w:rPr>
                  </w:pPr>
                  <w:r>
                    <w:rPr>
                      <w:rFonts w:hint="eastAsia"/>
                      <w:color w:val="auto"/>
                      <w:kern w:val="0"/>
                      <w:szCs w:val="21"/>
                      <w:lang w:val="en-US" w:eastAsia="zh-CN"/>
                    </w:rPr>
                    <w:t>W</w:t>
                  </w:r>
                </w:p>
              </w:tc>
              <w:tc>
                <w:tcPr>
                  <w:tcW w:w="765" w:type="dxa"/>
                  <w:vAlign w:val="center"/>
                </w:tcPr>
                <w:p w14:paraId="037020A9">
                  <w:pPr>
                    <w:jc w:val="center"/>
                    <w:rPr>
                      <w:rFonts w:hint="default" w:eastAsia="宋体"/>
                      <w:color w:val="auto"/>
                      <w:szCs w:val="21"/>
                      <w:lang w:val="en-US" w:eastAsia="zh-CN"/>
                    </w:rPr>
                  </w:pPr>
                  <w:r>
                    <w:rPr>
                      <w:rFonts w:hint="eastAsia"/>
                      <w:color w:val="auto"/>
                      <w:szCs w:val="21"/>
                      <w:lang w:val="en-US" w:eastAsia="zh-CN"/>
                    </w:rPr>
                    <w:t>2000m</w:t>
                  </w:r>
                </w:p>
              </w:tc>
              <w:tc>
                <w:tcPr>
                  <w:tcW w:w="4607" w:type="dxa"/>
                  <w:vAlign w:val="center"/>
                </w:tcPr>
                <w:p w14:paraId="337F6CD1">
                  <w:pPr>
                    <w:adjustRightInd w:val="0"/>
                    <w:snapToGrid w:val="0"/>
                    <w:jc w:val="center"/>
                    <w:rPr>
                      <w:color w:val="auto"/>
                      <w:szCs w:val="21"/>
                    </w:rPr>
                  </w:pPr>
                  <w:r>
                    <w:rPr>
                      <w:color w:val="auto"/>
                      <w:szCs w:val="21"/>
                    </w:rPr>
                    <w:t>《地表水环境质量标准》（GB3838-2002）</w:t>
                  </w:r>
                  <w:r>
                    <w:rPr>
                      <w:rFonts w:hint="eastAsia"/>
                      <w:color w:val="auto"/>
                      <w:szCs w:val="21"/>
                    </w:rPr>
                    <w:t>III</w:t>
                  </w:r>
                  <w:r>
                    <w:rPr>
                      <w:color w:val="auto"/>
                      <w:szCs w:val="21"/>
                    </w:rPr>
                    <w:t>类</w:t>
                  </w:r>
                </w:p>
              </w:tc>
            </w:tr>
          </w:tbl>
          <w:p w14:paraId="547B210A">
            <w:pPr>
              <w:snapToGrid w:val="0"/>
              <w:spacing w:line="360" w:lineRule="auto"/>
              <w:ind w:firstLine="480" w:firstLineChars="200"/>
              <w:rPr>
                <w:rFonts w:hint="eastAsia" w:ascii="宋体" w:hAnsi="宋体" w:cs="宋体"/>
                <w:color w:val="auto"/>
                <w:kern w:val="0"/>
                <w:szCs w:val="21"/>
              </w:rPr>
            </w:pPr>
            <w:r>
              <w:rPr>
                <w:rFonts w:hint="eastAsia"/>
                <w:color w:val="auto"/>
                <w:sz w:val="24"/>
              </w:rPr>
              <w:t>本项目厂界外50m范围内无声环境保护目标；500米范围内无地下水集中式饮用水水源和热水、矿泉水、温泉等特殊地下水资源；用地范围内无生态环境保护目标。</w:t>
            </w:r>
          </w:p>
        </w:tc>
      </w:tr>
      <w:tr w14:paraId="2B98BD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4" w:hRule="atLeast"/>
          <w:jc w:val="center"/>
        </w:trPr>
        <w:tc>
          <w:tcPr>
            <w:tcW w:w="452" w:type="dxa"/>
            <w:tcMar>
              <w:left w:w="28" w:type="dxa"/>
              <w:right w:w="28" w:type="dxa"/>
            </w:tcMar>
            <w:vAlign w:val="center"/>
          </w:tcPr>
          <w:p w14:paraId="52B688B2">
            <w:pPr>
              <w:adjustRightInd w:val="0"/>
              <w:snapToGrid w:val="0"/>
              <w:jc w:val="center"/>
              <w:rPr>
                <w:rFonts w:hint="eastAsia" w:ascii="宋体" w:hAnsi="宋体" w:cs="宋体"/>
                <w:b/>
                <w:bCs/>
                <w:color w:val="auto"/>
                <w:kern w:val="0"/>
                <w:sz w:val="24"/>
              </w:rPr>
            </w:pPr>
            <w:r>
              <w:rPr>
                <w:rFonts w:hint="eastAsia" w:ascii="宋体" w:hAnsi="宋体" w:cs="宋体"/>
                <w:b/>
                <w:bCs/>
                <w:color w:val="auto"/>
                <w:kern w:val="0"/>
                <w:sz w:val="24"/>
              </w:rPr>
              <w:t>污染</w:t>
            </w:r>
          </w:p>
          <w:p w14:paraId="659BFCD2">
            <w:pPr>
              <w:adjustRightInd w:val="0"/>
              <w:snapToGrid w:val="0"/>
              <w:jc w:val="center"/>
              <w:rPr>
                <w:rFonts w:hint="eastAsia" w:ascii="宋体" w:hAnsi="宋体" w:cs="宋体"/>
                <w:b/>
                <w:bCs/>
                <w:color w:val="auto"/>
                <w:kern w:val="0"/>
                <w:sz w:val="24"/>
              </w:rPr>
            </w:pPr>
            <w:r>
              <w:rPr>
                <w:rFonts w:hint="eastAsia" w:ascii="宋体" w:hAnsi="宋体" w:cs="宋体"/>
                <w:b/>
                <w:bCs/>
                <w:color w:val="auto"/>
                <w:kern w:val="0"/>
                <w:sz w:val="24"/>
              </w:rPr>
              <w:t>物排</w:t>
            </w:r>
          </w:p>
          <w:p w14:paraId="45D0FF29">
            <w:pPr>
              <w:adjustRightInd w:val="0"/>
              <w:snapToGrid w:val="0"/>
              <w:jc w:val="center"/>
              <w:rPr>
                <w:rFonts w:hint="eastAsia" w:ascii="宋体" w:hAnsi="宋体" w:cs="宋体"/>
                <w:b/>
                <w:bCs/>
                <w:color w:val="auto"/>
                <w:kern w:val="0"/>
                <w:sz w:val="24"/>
              </w:rPr>
            </w:pPr>
            <w:r>
              <w:rPr>
                <w:rFonts w:hint="eastAsia" w:ascii="宋体" w:hAnsi="宋体" w:cs="宋体"/>
                <w:b/>
                <w:bCs/>
                <w:color w:val="auto"/>
                <w:kern w:val="0"/>
                <w:sz w:val="24"/>
              </w:rPr>
              <w:t>放控</w:t>
            </w:r>
          </w:p>
          <w:p w14:paraId="64603B45">
            <w:pPr>
              <w:adjustRightInd w:val="0"/>
              <w:snapToGrid w:val="0"/>
              <w:jc w:val="center"/>
              <w:rPr>
                <w:rFonts w:hint="eastAsia" w:ascii="宋体" w:hAnsi="宋体" w:cs="宋体"/>
                <w:b/>
                <w:bCs/>
                <w:color w:val="auto"/>
                <w:kern w:val="0"/>
                <w:sz w:val="24"/>
              </w:rPr>
            </w:pPr>
            <w:r>
              <w:rPr>
                <w:rFonts w:hint="eastAsia" w:ascii="宋体" w:hAnsi="宋体" w:cs="宋体"/>
                <w:b/>
                <w:bCs/>
                <w:color w:val="auto"/>
                <w:kern w:val="0"/>
                <w:sz w:val="24"/>
              </w:rPr>
              <w:t>制标</w:t>
            </w:r>
          </w:p>
          <w:p w14:paraId="6FBF5150">
            <w:pPr>
              <w:adjustRightInd w:val="0"/>
              <w:snapToGrid w:val="0"/>
              <w:jc w:val="center"/>
              <w:rPr>
                <w:rFonts w:ascii="宋体" w:hAnsi="宋体" w:cs="宋体"/>
                <w:color w:val="auto"/>
                <w:kern w:val="0"/>
                <w:szCs w:val="21"/>
              </w:rPr>
            </w:pPr>
            <w:r>
              <w:rPr>
                <w:rFonts w:hint="eastAsia" w:ascii="宋体" w:hAnsi="宋体" w:cs="宋体"/>
                <w:b/>
                <w:bCs/>
                <w:color w:val="auto"/>
                <w:kern w:val="0"/>
                <w:sz w:val="24"/>
              </w:rPr>
              <w:t>准</w:t>
            </w:r>
          </w:p>
        </w:tc>
        <w:tc>
          <w:tcPr>
            <w:tcW w:w="8609" w:type="dxa"/>
            <w:vAlign w:val="center"/>
          </w:tcPr>
          <w:p w14:paraId="64A8AD97">
            <w:pPr>
              <w:snapToGrid w:val="0"/>
              <w:spacing w:line="360" w:lineRule="auto"/>
              <w:rPr>
                <w:b/>
                <w:bCs/>
                <w:color w:val="auto"/>
                <w:sz w:val="24"/>
              </w:rPr>
            </w:pPr>
            <w:bookmarkStart w:id="94" w:name="_Toc12163"/>
            <w:bookmarkStart w:id="95" w:name="_Toc20327"/>
            <w:r>
              <w:rPr>
                <w:b/>
                <w:bCs/>
                <w:color w:val="auto"/>
                <w:sz w:val="24"/>
              </w:rPr>
              <w:t>1、废气</w:t>
            </w:r>
            <w:bookmarkEnd w:id="94"/>
            <w:bookmarkEnd w:id="95"/>
          </w:p>
          <w:p w14:paraId="1C4E624E">
            <w:pPr>
              <w:pStyle w:val="5"/>
              <w:tabs>
                <w:tab w:val="left" w:pos="397"/>
              </w:tabs>
              <w:snapToGrid w:val="0"/>
              <w:spacing w:before="0" w:after="0" w:line="360" w:lineRule="auto"/>
              <w:ind w:firstLine="480" w:firstLineChars="200"/>
              <w:rPr>
                <w:rFonts w:ascii="Times New Roman" w:hAnsi="Times New Roman" w:eastAsia="宋体"/>
                <w:b w:val="0"/>
                <w:color w:val="auto"/>
                <w:sz w:val="24"/>
              </w:rPr>
            </w:pPr>
            <w:bookmarkStart w:id="96" w:name="_Toc19491"/>
            <w:bookmarkStart w:id="97" w:name="_Toc28770"/>
            <w:r>
              <w:rPr>
                <w:rFonts w:hint="eastAsia" w:ascii="Times New Roman" w:hAnsi="Times New Roman" w:eastAsia="宋体"/>
                <w:b w:val="0"/>
                <w:color w:val="auto"/>
                <w:sz w:val="24"/>
              </w:rPr>
              <w:t>本</w:t>
            </w:r>
            <w:r>
              <w:rPr>
                <w:rFonts w:ascii="Times New Roman" w:hAnsi="Times New Roman" w:eastAsia="宋体"/>
                <w:b w:val="0"/>
                <w:color w:val="auto"/>
                <w:sz w:val="24"/>
              </w:rPr>
              <w:t>项目颗粒物执行《大气污染物综合排放标准》（GB16297-1996）表2二级标准</w:t>
            </w:r>
            <w:r>
              <w:rPr>
                <w:rFonts w:hint="eastAsia" w:ascii="Times New Roman" w:hAnsi="Times New Roman" w:eastAsia="宋体"/>
                <w:b w:val="0"/>
                <w:color w:val="auto"/>
                <w:sz w:val="24"/>
              </w:rPr>
              <w:t>；</w:t>
            </w:r>
            <w:r>
              <w:rPr>
                <w:rFonts w:ascii="Times New Roman" w:hAnsi="Times New Roman" w:eastAsia="宋体"/>
                <w:b w:val="0"/>
                <w:color w:val="auto"/>
                <w:sz w:val="24"/>
              </w:rPr>
              <w:t>非甲烷总烃</w:t>
            </w:r>
            <w:r>
              <w:rPr>
                <w:rFonts w:hint="eastAsia" w:ascii="Times New Roman" w:hAnsi="Times New Roman" w:eastAsia="宋体"/>
                <w:b w:val="0"/>
                <w:color w:val="auto"/>
                <w:sz w:val="24"/>
              </w:rPr>
              <w:t>、甲苯、二甲苯执行《工业涂装工序挥发性有机物排放标准》（DB41/1951-2020）</w:t>
            </w:r>
            <w:r>
              <w:rPr>
                <w:rFonts w:hint="eastAsia" w:ascii="Times New Roman" w:hAnsi="Times New Roman" w:eastAsia="宋体"/>
                <w:b w:val="0"/>
                <w:color w:val="auto"/>
                <w:sz w:val="24"/>
                <w:lang w:eastAsia="zh-CN"/>
              </w:rPr>
              <w:t>、《挥发性有机物无组织排放控制标准》（GB37822-2019）</w:t>
            </w:r>
            <w:r>
              <w:rPr>
                <w:rFonts w:hint="eastAsia" w:ascii="Times New Roman" w:hAnsi="Times New Roman" w:eastAsia="宋体"/>
                <w:b w:val="0"/>
                <w:color w:val="auto"/>
                <w:sz w:val="24"/>
              </w:rPr>
              <w:t>标准，同时满足</w:t>
            </w:r>
            <w:r>
              <w:rPr>
                <w:rFonts w:ascii="Times New Roman" w:hAnsi="Times New Roman" w:eastAsia="宋体"/>
                <w:b w:val="0"/>
                <w:color w:val="auto"/>
                <w:sz w:val="24"/>
              </w:rPr>
              <w:t>《关于全省开展工业企业挥发性有机物专项治理工作中排放建议值的通知》（豫环攻坚办</w:t>
            </w:r>
            <w:r>
              <w:rPr>
                <w:rFonts w:hint="eastAsia" w:ascii="Times New Roman" w:hAnsi="Times New Roman" w:eastAsia="宋体"/>
                <w:b w:val="0"/>
                <w:color w:val="auto"/>
                <w:sz w:val="24"/>
              </w:rPr>
              <w:t>〔2017〕</w:t>
            </w:r>
            <w:r>
              <w:rPr>
                <w:rFonts w:ascii="Times New Roman" w:hAnsi="Times New Roman" w:eastAsia="宋体"/>
                <w:b w:val="0"/>
                <w:color w:val="auto"/>
                <w:sz w:val="24"/>
              </w:rPr>
              <w:t>162号）</w:t>
            </w:r>
            <w:r>
              <w:rPr>
                <w:rFonts w:hint="eastAsia" w:ascii="Times New Roman" w:hAnsi="Times New Roman" w:eastAsia="宋体"/>
                <w:b w:val="0"/>
                <w:color w:val="auto"/>
                <w:sz w:val="24"/>
              </w:rPr>
              <w:t>和《重污染天气重点行业应急减排措施制定技术指南（2020年修订版）》（环办大气函〔2020〕340号）中家具制造行业A级企业要求。</w:t>
            </w:r>
            <w:r>
              <w:rPr>
                <w:rFonts w:ascii="Times New Roman" w:hAnsi="Times New Roman" w:eastAsia="宋体"/>
                <w:b w:val="0"/>
                <w:color w:val="auto"/>
                <w:sz w:val="24"/>
              </w:rPr>
              <w:t>具体排放标准见</w:t>
            </w:r>
            <w:r>
              <w:rPr>
                <w:rFonts w:hint="eastAsia" w:ascii="Times New Roman" w:hAnsi="Times New Roman" w:eastAsia="宋体"/>
                <w:b w:val="0"/>
                <w:color w:val="auto"/>
                <w:sz w:val="24"/>
              </w:rPr>
              <w:t>下表</w:t>
            </w:r>
            <w:r>
              <w:rPr>
                <w:rFonts w:ascii="Times New Roman" w:hAnsi="Times New Roman" w:eastAsia="宋体"/>
                <w:b w:val="0"/>
                <w:color w:val="auto"/>
                <w:sz w:val="24"/>
              </w:rPr>
              <w:t>。</w:t>
            </w:r>
          </w:p>
          <w:p w14:paraId="2AE34B58">
            <w:pPr>
              <w:pStyle w:val="46"/>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eastAsia" w:ascii="Times New Roman" w:hAnsi="Arial Unicode MS" w:eastAsia="宋体" w:cs="Times New Roman"/>
                <w:b/>
                <w:color w:val="auto"/>
                <w:kern w:val="2"/>
                <w:sz w:val="24"/>
                <w:szCs w:val="24"/>
                <w:lang w:val="en-US" w:eastAsia="zh-CN" w:bidi="ar-SA"/>
              </w:rPr>
            </w:pPr>
            <w:r>
              <w:rPr>
                <w:rFonts w:hint="eastAsia" w:ascii="Times New Roman" w:hAnsi="Arial Unicode MS" w:eastAsia="宋体" w:cs="Times New Roman"/>
                <w:b/>
                <w:color w:val="auto"/>
                <w:kern w:val="2"/>
                <w:sz w:val="24"/>
                <w:szCs w:val="24"/>
                <w:lang w:val="en-US" w:eastAsia="zh-CN" w:bidi="ar-SA"/>
              </w:rPr>
              <w:t>废气污染物排放标准一览表</w:t>
            </w:r>
          </w:p>
          <w:tbl>
            <w:tblPr>
              <w:tblStyle w:val="25"/>
              <w:tblW w:w="83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3401"/>
              <w:gridCol w:w="1028"/>
              <w:gridCol w:w="3241"/>
            </w:tblGrid>
            <w:tr w14:paraId="66D10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13" w:type="dxa"/>
                  <w:tcMar>
                    <w:top w:w="85" w:type="dxa"/>
                    <w:bottom w:w="85" w:type="dxa"/>
                  </w:tcMar>
                  <w:vAlign w:val="center"/>
                </w:tcPr>
                <w:p w14:paraId="403FC754">
                  <w:pPr>
                    <w:snapToGrid w:val="0"/>
                    <w:jc w:val="center"/>
                    <w:rPr>
                      <w:b/>
                      <w:bCs/>
                      <w:color w:val="auto"/>
                      <w:szCs w:val="21"/>
                    </w:rPr>
                  </w:pPr>
                  <w:r>
                    <w:rPr>
                      <w:b/>
                      <w:bCs/>
                      <w:color w:val="auto"/>
                      <w:szCs w:val="21"/>
                    </w:rPr>
                    <w:t>污染类型</w:t>
                  </w:r>
                </w:p>
              </w:tc>
              <w:tc>
                <w:tcPr>
                  <w:tcW w:w="3401" w:type="dxa"/>
                  <w:tcMar>
                    <w:top w:w="85" w:type="dxa"/>
                    <w:bottom w:w="85" w:type="dxa"/>
                  </w:tcMar>
                  <w:vAlign w:val="center"/>
                </w:tcPr>
                <w:p w14:paraId="2E0EEC7A">
                  <w:pPr>
                    <w:snapToGrid w:val="0"/>
                    <w:jc w:val="center"/>
                    <w:rPr>
                      <w:b/>
                      <w:bCs/>
                      <w:color w:val="auto"/>
                      <w:szCs w:val="21"/>
                    </w:rPr>
                  </w:pPr>
                  <w:r>
                    <w:rPr>
                      <w:b/>
                      <w:bCs/>
                      <w:color w:val="auto"/>
                      <w:szCs w:val="21"/>
                    </w:rPr>
                    <w:t>标准名称及级（类）别</w:t>
                  </w:r>
                </w:p>
              </w:tc>
              <w:tc>
                <w:tcPr>
                  <w:tcW w:w="1028" w:type="dxa"/>
                  <w:tcMar>
                    <w:top w:w="85" w:type="dxa"/>
                    <w:bottom w:w="85" w:type="dxa"/>
                  </w:tcMar>
                  <w:vAlign w:val="center"/>
                </w:tcPr>
                <w:p w14:paraId="429D2BA9">
                  <w:pPr>
                    <w:snapToGrid w:val="0"/>
                    <w:jc w:val="center"/>
                    <w:rPr>
                      <w:b/>
                      <w:bCs/>
                      <w:color w:val="auto"/>
                      <w:szCs w:val="21"/>
                    </w:rPr>
                  </w:pPr>
                  <w:r>
                    <w:rPr>
                      <w:b/>
                      <w:bCs/>
                      <w:color w:val="auto"/>
                      <w:szCs w:val="21"/>
                    </w:rPr>
                    <w:t>污染</w:t>
                  </w:r>
                </w:p>
                <w:p w14:paraId="165B7B76">
                  <w:pPr>
                    <w:snapToGrid w:val="0"/>
                    <w:jc w:val="center"/>
                    <w:rPr>
                      <w:b/>
                      <w:bCs/>
                      <w:color w:val="auto"/>
                      <w:szCs w:val="21"/>
                    </w:rPr>
                  </w:pPr>
                  <w:r>
                    <w:rPr>
                      <w:b/>
                      <w:bCs/>
                      <w:color w:val="auto"/>
                      <w:szCs w:val="21"/>
                    </w:rPr>
                    <w:t>因子</w:t>
                  </w:r>
                </w:p>
              </w:tc>
              <w:tc>
                <w:tcPr>
                  <w:tcW w:w="3241" w:type="dxa"/>
                  <w:tcMar>
                    <w:top w:w="85" w:type="dxa"/>
                    <w:bottom w:w="85" w:type="dxa"/>
                  </w:tcMar>
                  <w:vAlign w:val="center"/>
                </w:tcPr>
                <w:p w14:paraId="25969A21">
                  <w:pPr>
                    <w:snapToGrid w:val="0"/>
                    <w:jc w:val="center"/>
                    <w:rPr>
                      <w:b/>
                      <w:bCs/>
                      <w:color w:val="auto"/>
                      <w:szCs w:val="21"/>
                    </w:rPr>
                  </w:pPr>
                  <w:r>
                    <w:rPr>
                      <w:b/>
                      <w:bCs/>
                      <w:color w:val="auto"/>
                      <w:szCs w:val="21"/>
                    </w:rPr>
                    <w:t>标准限值</w:t>
                  </w:r>
                </w:p>
              </w:tc>
            </w:tr>
            <w:tr w14:paraId="285DE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vMerge w:val="restart"/>
                  <w:tcMar>
                    <w:top w:w="85" w:type="dxa"/>
                    <w:bottom w:w="85" w:type="dxa"/>
                  </w:tcMar>
                  <w:vAlign w:val="center"/>
                </w:tcPr>
                <w:p w14:paraId="52769CA6">
                  <w:pPr>
                    <w:snapToGrid w:val="0"/>
                    <w:jc w:val="center"/>
                    <w:rPr>
                      <w:color w:val="auto"/>
                      <w:szCs w:val="21"/>
                    </w:rPr>
                  </w:pPr>
                  <w:r>
                    <w:rPr>
                      <w:color w:val="auto"/>
                      <w:szCs w:val="21"/>
                    </w:rPr>
                    <w:t>废气</w:t>
                  </w:r>
                </w:p>
              </w:tc>
              <w:tc>
                <w:tcPr>
                  <w:tcW w:w="3401" w:type="dxa"/>
                  <w:vMerge w:val="restart"/>
                  <w:tcMar>
                    <w:top w:w="85" w:type="dxa"/>
                    <w:bottom w:w="85" w:type="dxa"/>
                  </w:tcMar>
                  <w:vAlign w:val="center"/>
                </w:tcPr>
                <w:p w14:paraId="49B750E5">
                  <w:pPr>
                    <w:snapToGrid w:val="0"/>
                    <w:jc w:val="center"/>
                    <w:rPr>
                      <w:color w:val="auto"/>
                      <w:szCs w:val="21"/>
                    </w:rPr>
                  </w:pPr>
                  <w:r>
                    <w:rPr>
                      <w:color w:val="auto"/>
                      <w:szCs w:val="21"/>
                    </w:rPr>
                    <w:t>《大气污染物综合排放标准》（GB16297-1996）</w:t>
                  </w:r>
                </w:p>
              </w:tc>
              <w:tc>
                <w:tcPr>
                  <w:tcW w:w="1028" w:type="dxa"/>
                  <w:tcMar>
                    <w:top w:w="85" w:type="dxa"/>
                    <w:bottom w:w="85" w:type="dxa"/>
                  </w:tcMar>
                  <w:vAlign w:val="center"/>
                </w:tcPr>
                <w:p w14:paraId="29319C2D">
                  <w:pPr>
                    <w:snapToGrid w:val="0"/>
                    <w:jc w:val="center"/>
                    <w:rPr>
                      <w:color w:val="auto"/>
                      <w:szCs w:val="21"/>
                    </w:rPr>
                  </w:pPr>
                  <w:r>
                    <w:rPr>
                      <w:color w:val="auto"/>
                      <w:szCs w:val="21"/>
                    </w:rPr>
                    <w:t>颗粒物</w:t>
                  </w:r>
                </w:p>
              </w:tc>
              <w:tc>
                <w:tcPr>
                  <w:tcW w:w="3241" w:type="dxa"/>
                  <w:tcMar>
                    <w:top w:w="85" w:type="dxa"/>
                    <w:bottom w:w="85" w:type="dxa"/>
                  </w:tcMar>
                  <w:vAlign w:val="center"/>
                </w:tcPr>
                <w:p w14:paraId="756BB969">
                  <w:pPr>
                    <w:snapToGrid w:val="0"/>
                    <w:jc w:val="center"/>
                    <w:rPr>
                      <w:color w:val="auto"/>
                      <w:szCs w:val="21"/>
                    </w:rPr>
                  </w:pPr>
                  <w:r>
                    <w:rPr>
                      <w:color w:val="auto"/>
                      <w:szCs w:val="21"/>
                    </w:rPr>
                    <w:t>浓度</w:t>
                  </w:r>
                  <w:r>
                    <w:rPr>
                      <w:rFonts w:hint="eastAsia"/>
                      <w:color w:val="auto"/>
                      <w:szCs w:val="21"/>
                    </w:rPr>
                    <w:t>限值</w:t>
                  </w:r>
                  <w:r>
                    <w:rPr>
                      <w:color w:val="auto"/>
                      <w:szCs w:val="21"/>
                    </w:rPr>
                    <w:t>120mg/m</w:t>
                  </w:r>
                  <w:r>
                    <w:rPr>
                      <w:color w:val="auto"/>
                      <w:szCs w:val="21"/>
                      <w:vertAlign w:val="superscript"/>
                    </w:rPr>
                    <w:t>3</w:t>
                  </w:r>
                  <w:r>
                    <w:rPr>
                      <w:color w:val="auto"/>
                      <w:szCs w:val="21"/>
                    </w:rPr>
                    <w:t>，15m排气筒</w:t>
                  </w:r>
                  <w:r>
                    <w:rPr>
                      <w:rFonts w:hint="eastAsia"/>
                      <w:color w:val="auto"/>
                      <w:szCs w:val="21"/>
                    </w:rPr>
                    <w:t>排放</w:t>
                  </w:r>
                  <w:r>
                    <w:rPr>
                      <w:color w:val="auto"/>
                      <w:szCs w:val="21"/>
                    </w:rPr>
                    <w:t>速率</w:t>
                  </w:r>
                  <w:r>
                    <w:rPr>
                      <w:rFonts w:hint="eastAsia"/>
                      <w:color w:val="auto"/>
                      <w:szCs w:val="21"/>
                    </w:rPr>
                    <w:t>限值</w:t>
                  </w:r>
                  <w:r>
                    <w:rPr>
                      <w:color w:val="auto"/>
                      <w:szCs w:val="21"/>
                    </w:rPr>
                    <w:t>3.5kg/h</w:t>
                  </w:r>
                  <w:r>
                    <w:rPr>
                      <w:rFonts w:hint="eastAsia"/>
                      <w:color w:val="auto"/>
                      <w:szCs w:val="21"/>
                    </w:rPr>
                    <w:t>；</w:t>
                  </w:r>
                  <w:r>
                    <w:rPr>
                      <w:color w:val="auto"/>
                      <w:szCs w:val="21"/>
                    </w:rPr>
                    <w:t>无组织排放限值：1.0mg/m</w:t>
                  </w:r>
                  <w:r>
                    <w:rPr>
                      <w:color w:val="auto"/>
                      <w:szCs w:val="21"/>
                      <w:vertAlign w:val="superscript"/>
                    </w:rPr>
                    <w:t>3</w:t>
                  </w:r>
                </w:p>
              </w:tc>
            </w:tr>
            <w:tr w14:paraId="32206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vMerge w:val="continue"/>
                  <w:tcMar>
                    <w:top w:w="85" w:type="dxa"/>
                    <w:bottom w:w="85" w:type="dxa"/>
                  </w:tcMar>
                  <w:vAlign w:val="center"/>
                </w:tcPr>
                <w:p w14:paraId="318F5C28">
                  <w:pPr>
                    <w:snapToGrid w:val="0"/>
                    <w:jc w:val="center"/>
                    <w:rPr>
                      <w:color w:val="auto"/>
                      <w:szCs w:val="21"/>
                    </w:rPr>
                  </w:pPr>
                </w:p>
              </w:tc>
              <w:tc>
                <w:tcPr>
                  <w:tcW w:w="3401" w:type="dxa"/>
                  <w:vMerge w:val="continue"/>
                  <w:tcMar>
                    <w:top w:w="85" w:type="dxa"/>
                    <w:bottom w:w="85" w:type="dxa"/>
                  </w:tcMar>
                  <w:vAlign w:val="center"/>
                </w:tcPr>
                <w:p w14:paraId="137C2D5B">
                  <w:pPr>
                    <w:snapToGrid w:val="0"/>
                    <w:jc w:val="center"/>
                    <w:rPr>
                      <w:color w:val="auto"/>
                      <w:szCs w:val="21"/>
                    </w:rPr>
                  </w:pPr>
                </w:p>
              </w:tc>
              <w:tc>
                <w:tcPr>
                  <w:tcW w:w="1028" w:type="dxa"/>
                  <w:tcMar>
                    <w:top w:w="85" w:type="dxa"/>
                    <w:bottom w:w="85" w:type="dxa"/>
                  </w:tcMar>
                  <w:vAlign w:val="center"/>
                </w:tcPr>
                <w:p w14:paraId="10BB7448">
                  <w:pPr>
                    <w:snapToGrid w:val="0"/>
                    <w:jc w:val="center"/>
                    <w:rPr>
                      <w:color w:val="auto"/>
                      <w:szCs w:val="21"/>
                    </w:rPr>
                  </w:pPr>
                  <w:r>
                    <w:rPr>
                      <w:color w:val="auto"/>
                      <w:szCs w:val="21"/>
                    </w:rPr>
                    <w:t>非甲烷总烃</w:t>
                  </w:r>
                </w:p>
              </w:tc>
              <w:tc>
                <w:tcPr>
                  <w:tcW w:w="3241" w:type="dxa"/>
                  <w:tcMar>
                    <w:top w:w="85" w:type="dxa"/>
                    <w:bottom w:w="85" w:type="dxa"/>
                  </w:tcMar>
                  <w:vAlign w:val="center"/>
                </w:tcPr>
                <w:p w14:paraId="4727F3BD">
                  <w:pPr>
                    <w:snapToGrid w:val="0"/>
                    <w:jc w:val="center"/>
                    <w:rPr>
                      <w:color w:val="auto"/>
                      <w:szCs w:val="21"/>
                    </w:rPr>
                  </w:pPr>
                  <w:r>
                    <w:rPr>
                      <w:color w:val="auto"/>
                      <w:szCs w:val="21"/>
                    </w:rPr>
                    <w:t>浓度</w:t>
                  </w:r>
                  <w:r>
                    <w:rPr>
                      <w:rFonts w:hint="eastAsia"/>
                      <w:color w:val="auto"/>
                      <w:szCs w:val="21"/>
                    </w:rPr>
                    <w:t>限值</w:t>
                  </w:r>
                  <w:r>
                    <w:rPr>
                      <w:color w:val="auto"/>
                      <w:szCs w:val="21"/>
                    </w:rPr>
                    <w:t>120mg/m</w:t>
                  </w:r>
                  <w:r>
                    <w:rPr>
                      <w:color w:val="auto"/>
                      <w:szCs w:val="21"/>
                      <w:vertAlign w:val="superscript"/>
                    </w:rPr>
                    <w:t>3</w:t>
                  </w:r>
                  <w:r>
                    <w:rPr>
                      <w:color w:val="auto"/>
                      <w:szCs w:val="21"/>
                    </w:rPr>
                    <w:t>，15m排气筒</w:t>
                  </w:r>
                  <w:r>
                    <w:rPr>
                      <w:rFonts w:hint="eastAsia"/>
                      <w:color w:val="auto"/>
                      <w:szCs w:val="21"/>
                    </w:rPr>
                    <w:t>排放</w:t>
                  </w:r>
                  <w:r>
                    <w:rPr>
                      <w:color w:val="auto"/>
                      <w:szCs w:val="21"/>
                    </w:rPr>
                    <w:t>速率</w:t>
                  </w:r>
                  <w:r>
                    <w:rPr>
                      <w:rFonts w:hint="eastAsia"/>
                      <w:color w:val="auto"/>
                      <w:szCs w:val="21"/>
                    </w:rPr>
                    <w:t>限值10</w:t>
                  </w:r>
                  <w:r>
                    <w:rPr>
                      <w:color w:val="auto"/>
                      <w:szCs w:val="21"/>
                    </w:rPr>
                    <w:t>kg/h</w:t>
                  </w:r>
                  <w:r>
                    <w:rPr>
                      <w:rFonts w:hint="eastAsia"/>
                      <w:color w:val="auto"/>
                      <w:szCs w:val="21"/>
                    </w:rPr>
                    <w:t>；</w:t>
                  </w:r>
                  <w:r>
                    <w:rPr>
                      <w:color w:val="auto"/>
                      <w:szCs w:val="21"/>
                    </w:rPr>
                    <w:t>无组织排放限值：</w:t>
                  </w:r>
                  <w:r>
                    <w:rPr>
                      <w:rFonts w:hint="eastAsia"/>
                      <w:color w:val="auto"/>
                      <w:szCs w:val="21"/>
                    </w:rPr>
                    <w:t>4</w:t>
                  </w:r>
                  <w:r>
                    <w:rPr>
                      <w:color w:val="auto"/>
                      <w:szCs w:val="21"/>
                    </w:rPr>
                    <w:t>.0mg/m</w:t>
                  </w:r>
                  <w:r>
                    <w:rPr>
                      <w:color w:val="auto"/>
                      <w:szCs w:val="21"/>
                      <w:vertAlign w:val="superscript"/>
                    </w:rPr>
                    <w:t>3</w:t>
                  </w:r>
                </w:p>
              </w:tc>
            </w:tr>
            <w:tr w14:paraId="17EBF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713" w:type="dxa"/>
                  <w:vMerge w:val="continue"/>
                  <w:tcMar>
                    <w:top w:w="85" w:type="dxa"/>
                    <w:bottom w:w="85" w:type="dxa"/>
                  </w:tcMar>
                  <w:vAlign w:val="center"/>
                </w:tcPr>
                <w:p w14:paraId="7E631267">
                  <w:pPr>
                    <w:snapToGrid w:val="0"/>
                    <w:jc w:val="center"/>
                    <w:rPr>
                      <w:color w:val="auto"/>
                      <w:szCs w:val="21"/>
                    </w:rPr>
                  </w:pPr>
                </w:p>
              </w:tc>
              <w:tc>
                <w:tcPr>
                  <w:tcW w:w="3401" w:type="dxa"/>
                  <w:vMerge w:val="restart"/>
                  <w:tcMar>
                    <w:top w:w="85" w:type="dxa"/>
                    <w:bottom w:w="85" w:type="dxa"/>
                  </w:tcMar>
                  <w:vAlign w:val="center"/>
                </w:tcPr>
                <w:p w14:paraId="31B2902C">
                  <w:pPr>
                    <w:snapToGrid w:val="0"/>
                    <w:jc w:val="center"/>
                    <w:rPr>
                      <w:color w:val="auto"/>
                      <w:szCs w:val="21"/>
                    </w:rPr>
                  </w:pPr>
                  <w:r>
                    <w:rPr>
                      <w:rFonts w:hint="eastAsia"/>
                      <w:color w:val="auto"/>
                      <w:szCs w:val="21"/>
                    </w:rPr>
                    <w:t>《挥发性有机物无组织排放控制标准》（GB37822-2019）</w:t>
                  </w:r>
                </w:p>
              </w:tc>
              <w:tc>
                <w:tcPr>
                  <w:tcW w:w="1028" w:type="dxa"/>
                  <w:vMerge w:val="restart"/>
                  <w:tcMar>
                    <w:top w:w="85" w:type="dxa"/>
                    <w:bottom w:w="85" w:type="dxa"/>
                  </w:tcMar>
                  <w:vAlign w:val="center"/>
                </w:tcPr>
                <w:p w14:paraId="55D8E449">
                  <w:pPr>
                    <w:snapToGrid w:val="0"/>
                    <w:jc w:val="center"/>
                    <w:rPr>
                      <w:color w:val="auto"/>
                      <w:szCs w:val="21"/>
                    </w:rPr>
                  </w:pPr>
                  <w:r>
                    <w:rPr>
                      <w:color w:val="auto"/>
                      <w:szCs w:val="21"/>
                    </w:rPr>
                    <w:t>非甲烷总烃</w:t>
                  </w:r>
                </w:p>
              </w:tc>
              <w:tc>
                <w:tcPr>
                  <w:tcW w:w="3241" w:type="dxa"/>
                  <w:tcMar>
                    <w:top w:w="85" w:type="dxa"/>
                    <w:bottom w:w="85" w:type="dxa"/>
                  </w:tcMar>
                  <w:vAlign w:val="center"/>
                </w:tcPr>
                <w:p w14:paraId="7E777954">
                  <w:pPr>
                    <w:snapToGrid w:val="0"/>
                    <w:jc w:val="center"/>
                    <w:rPr>
                      <w:rFonts w:hint="default" w:eastAsia="宋体"/>
                      <w:color w:val="auto"/>
                      <w:szCs w:val="21"/>
                      <w:lang w:val="en-US" w:eastAsia="zh-CN"/>
                    </w:rPr>
                  </w:pPr>
                  <w:r>
                    <w:rPr>
                      <w:rFonts w:hint="eastAsia"/>
                      <w:color w:val="auto"/>
                      <w:szCs w:val="21"/>
                      <w:lang w:val="en-US" w:eastAsia="zh-CN"/>
                    </w:rPr>
                    <w:t>监控点处1h平均浓度，6</w:t>
                  </w:r>
                  <w:r>
                    <w:rPr>
                      <w:color w:val="auto"/>
                      <w:szCs w:val="21"/>
                    </w:rPr>
                    <w:t>mg/m</w:t>
                  </w:r>
                  <w:r>
                    <w:rPr>
                      <w:color w:val="auto"/>
                      <w:szCs w:val="21"/>
                      <w:vertAlign w:val="superscript"/>
                    </w:rPr>
                    <w:t>3</w:t>
                  </w:r>
                </w:p>
              </w:tc>
            </w:tr>
            <w:tr w14:paraId="42270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713" w:type="dxa"/>
                  <w:vMerge w:val="continue"/>
                  <w:tcMar>
                    <w:top w:w="85" w:type="dxa"/>
                    <w:bottom w:w="85" w:type="dxa"/>
                  </w:tcMar>
                  <w:vAlign w:val="center"/>
                </w:tcPr>
                <w:p w14:paraId="4823DAB3">
                  <w:pPr>
                    <w:snapToGrid w:val="0"/>
                    <w:jc w:val="center"/>
                    <w:rPr>
                      <w:color w:val="auto"/>
                      <w:szCs w:val="21"/>
                    </w:rPr>
                  </w:pPr>
                </w:p>
              </w:tc>
              <w:tc>
                <w:tcPr>
                  <w:tcW w:w="3401" w:type="dxa"/>
                  <w:vMerge w:val="continue"/>
                  <w:tcMar>
                    <w:top w:w="85" w:type="dxa"/>
                    <w:bottom w:w="85" w:type="dxa"/>
                  </w:tcMar>
                  <w:vAlign w:val="center"/>
                </w:tcPr>
                <w:p w14:paraId="1A4D4C1A">
                  <w:pPr>
                    <w:snapToGrid w:val="0"/>
                    <w:jc w:val="center"/>
                    <w:rPr>
                      <w:rFonts w:hint="eastAsia"/>
                      <w:color w:val="auto"/>
                      <w:szCs w:val="21"/>
                    </w:rPr>
                  </w:pPr>
                </w:p>
              </w:tc>
              <w:tc>
                <w:tcPr>
                  <w:tcW w:w="1028" w:type="dxa"/>
                  <w:vMerge w:val="continue"/>
                  <w:tcMar>
                    <w:top w:w="85" w:type="dxa"/>
                    <w:bottom w:w="85" w:type="dxa"/>
                  </w:tcMar>
                  <w:vAlign w:val="center"/>
                </w:tcPr>
                <w:p w14:paraId="0CCC2D35">
                  <w:pPr>
                    <w:snapToGrid w:val="0"/>
                    <w:jc w:val="center"/>
                    <w:rPr>
                      <w:color w:val="auto"/>
                      <w:szCs w:val="21"/>
                    </w:rPr>
                  </w:pPr>
                </w:p>
              </w:tc>
              <w:tc>
                <w:tcPr>
                  <w:tcW w:w="3241" w:type="dxa"/>
                  <w:tcMar>
                    <w:top w:w="85" w:type="dxa"/>
                    <w:bottom w:w="85" w:type="dxa"/>
                  </w:tcMar>
                  <w:vAlign w:val="center"/>
                </w:tcPr>
                <w:p w14:paraId="33E899D8">
                  <w:pPr>
                    <w:snapToGrid w:val="0"/>
                    <w:jc w:val="center"/>
                    <w:rPr>
                      <w:rFonts w:hint="default" w:eastAsia="宋体"/>
                      <w:color w:val="auto"/>
                      <w:szCs w:val="21"/>
                      <w:lang w:val="en-US" w:eastAsia="zh-CN"/>
                    </w:rPr>
                  </w:pPr>
                  <w:r>
                    <w:rPr>
                      <w:rFonts w:hint="eastAsia"/>
                      <w:color w:val="auto"/>
                      <w:szCs w:val="21"/>
                      <w:lang w:val="en-US" w:eastAsia="zh-CN"/>
                    </w:rPr>
                    <w:t>监控点处任意一次浓度值，30</w:t>
                  </w:r>
                  <w:r>
                    <w:rPr>
                      <w:color w:val="auto"/>
                      <w:szCs w:val="21"/>
                    </w:rPr>
                    <w:t>mg/m</w:t>
                  </w:r>
                  <w:r>
                    <w:rPr>
                      <w:color w:val="auto"/>
                      <w:szCs w:val="21"/>
                      <w:vertAlign w:val="superscript"/>
                    </w:rPr>
                    <w:t>3</w:t>
                  </w:r>
                </w:p>
              </w:tc>
            </w:tr>
            <w:tr w14:paraId="4B74F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vMerge w:val="continue"/>
                  <w:tcMar>
                    <w:top w:w="85" w:type="dxa"/>
                    <w:bottom w:w="85" w:type="dxa"/>
                  </w:tcMar>
                  <w:vAlign w:val="center"/>
                </w:tcPr>
                <w:p w14:paraId="3F119C9C">
                  <w:pPr>
                    <w:snapToGrid w:val="0"/>
                    <w:jc w:val="center"/>
                    <w:rPr>
                      <w:color w:val="auto"/>
                      <w:szCs w:val="21"/>
                    </w:rPr>
                  </w:pPr>
                </w:p>
              </w:tc>
              <w:tc>
                <w:tcPr>
                  <w:tcW w:w="3401" w:type="dxa"/>
                  <w:vMerge w:val="restart"/>
                  <w:tcMar>
                    <w:top w:w="85" w:type="dxa"/>
                    <w:bottom w:w="85" w:type="dxa"/>
                  </w:tcMar>
                  <w:vAlign w:val="center"/>
                </w:tcPr>
                <w:p w14:paraId="3CF5D8A6">
                  <w:pPr>
                    <w:snapToGrid w:val="0"/>
                    <w:jc w:val="center"/>
                    <w:rPr>
                      <w:color w:val="auto"/>
                      <w:szCs w:val="21"/>
                    </w:rPr>
                  </w:pPr>
                  <w:r>
                    <w:rPr>
                      <w:color w:val="auto"/>
                      <w:szCs w:val="21"/>
                    </w:rPr>
                    <w:t>《河南省环境污染防治攻坚战领导小组办公室文件》豫环攻坚办〔20</w:t>
                  </w:r>
                  <w:r>
                    <w:rPr>
                      <w:rFonts w:hint="eastAsia"/>
                      <w:color w:val="auto"/>
                      <w:szCs w:val="21"/>
                    </w:rPr>
                    <w:t>17</w:t>
                  </w:r>
                  <w:r>
                    <w:rPr>
                      <w:color w:val="auto"/>
                      <w:szCs w:val="21"/>
                    </w:rPr>
                    <w:t>〕162号</w:t>
                  </w:r>
                </w:p>
              </w:tc>
              <w:tc>
                <w:tcPr>
                  <w:tcW w:w="1028" w:type="dxa"/>
                  <w:tcMar>
                    <w:top w:w="85" w:type="dxa"/>
                    <w:bottom w:w="85" w:type="dxa"/>
                  </w:tcMar>
                  <w:vAlign w:val="center"/>
                </w:tcPr>
                <w:p w14:paraId="0BF97277">
                  <w:pPr>
                    <w:snapToGrid w:val="0"/>
                    <w:jc w:val="center"/>
                    <w:rPr>
                      <w:color w:val="auto"/>
                      <w:szCs w:val="21"/>
                    </w:rPr>
                  </w:pPr>
                  <w:r>
                    <w:rPr>
                      <w:color w:val="auto"/>
                      <w:szCs w:val="21"/>
                    </w:rPr>
                    <w:t>非甲烷总烃</w:t>
                  </w:r>
                </w:p>
              </w:tc>
              <w:tc>
                <w:tcPr>
                  <w:tcW w:w="3241" w:type="dxa"/>
                  <w:tcMar>
                    <w:top w:w="85" w:type="dxa"/>
                    <w:bottom w:w="85" w:type="dxa"/>
                  </w:tcMar>
                  <w:vAlign w:val="center"/>
                </w:tcPr>
                <w:p w14:paraId="09C24196">
                  <w:pPr>
                    <w:snapToGrid w:val="0"/>
                    <w:jc w:val="center"/>
                    <w:rPr>
                      <w:bCs/>
                      <w:iCs/>
                      <w:color w:val="auto"/>
                      <w:szCs w:val="21"/>
                    </w:rPr>
                  </w:pPr>
                  <w:r>
                    <w:rPr>
                      <w:color w:val="auto"/>
                      <w:szCs w:val="21"/>
                    </w:rPr>
                    <w:t>工业企业边界浓度限值：2.0mg/m</w:t>
                  </w:r>
                  <w:r>
                    <w:rPr>
                      <w:color w:val="auto"/>
                      <w:szCs w:val="21"/>
                      <w:vertAlign w:val="superscript"/>
                    </w:rPr>
                    <w:t>3</w:t>
                  </w:r>
                </w:p>
              </w:tc>
            </w:tr>
            <w:tr w14:paraId="50EA0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713" w:type="dxa"/>
                  <w:vMerge w:val="continue"/>
                  <w:tcMar>
                    <w:top w:w="85" w:type="dxa"/>
                    <w:bottom w:w="85" w:type="dxa"/>
                  </w:tcMar>
                  <w:vAlign w:val="center"/>
                </w:tcPr>
                <w:p w14:paraId="4DF2B05B">
                  <w:pPr>
                    <w:snapToGrid w:val="0"/>
                    <w:jc w:val="center"/>
                    <w:rPr>
                      <w:color w:val="auto"/>
                      <w:szCs w:val="21"/>
                    </w:rPr>
                  </w:pPr>
                </w:p>
              </w:tc>
              <w:tc>
                <w:tcPr>
                  <w:tcW w:w="3401" w:type="dxa"/>
                  <w:vMerge w:val="continue"/>
                  <w:tcMar>
                    <w:top w:w="85" w:type="dxa"/>
                    <w:bottom w:w="85" w:type="dxa"/>
                  </w:tcMar>
                  <w:vAlign w:val="center"/>
                </w:tcPr>
                <w:p w14:paraId="1348BC51">
                  <w:pPr>
                    <w:snapToGrid w:val="0"/>
                    <w:jc w:val="center"/>
                    <w:rPr>
                      <w:color w:val="auto"/>
                      <w:szCs w:val="21"/>
                    </w:rPr>
                  </w:pPr>
                </w:p>
              </w:tc>
              <w:tc>
                <w:tcPr>
                  <w:tcW w:w="1028" w:type="dxa"/>
                  <w:tcMar>
                    <w:top w:w="85" w:type="dxa"/>
                    <w:bottom w:w="85" w:type="dxa"/>
                  </w:tcMar>
                  <w:vAlign w:val="center"/>
                </w:tcPr>
                <w:p w14:paraId="10074ADA">
                  <w:pPr>
                    <w:snapToGrid w:val="0"/>
                    <w:jc w:val="center"/>
                    <w:rPr>
                      <w:color w:val="auto"/>
                      <w:szCs w:val="21"/>
                    </w:rPr>
                  </w:pPr>
                  <w:r>
                    <w:rPr>
                      <w:color w:val="auto"/>
                      <w:szCs w:val="21"/>
                    </w:rPr>
                    <w:t>甲苯、二甲苯</w:t>
                  </w:r>
                </w:p>
              </w:tc>
              <w:tc>
                <w:tcPr>
                  <w:tcW w:w="3241" w:type="dxa"/>
                  <w:tcMar>
                    <w:top w:w="85" w:type="dxa"/>
                    <w:bottom w:w="85" w:type="dxa"/>
                  </w:tcMar>
                  <w:vAlign w:val="center"/>
                </w:tcPr>
                <w:p w14:paraId="1DF9D4FD">
                  <w:pPr>
                    <w:snapToGrid w:val="0"/>
                    <w:jc w:val="center"/>
                    <w:rPr>
                      <w:bCs/>
                      <w:iCs/>
                      <w:color w:val="auto"/>
                      <w:szCs w:val="21"/>
                    </w:rPr>
                  </w:pPr>
                  <w:r>
                    <w:rPr>
                      <w:color w:val="auto"/>
                      <w:szCs w:val="21"/>
                    </w:rPr>
                    <w:t>企业边界浓度限值：甲苯：0.6mg/m</w:t>
                  </w:r>
                  <w:r>
                    <w:rPr>
                      <w:color w:val="auto"/>
                      <w:szCs w:val="21"/>
                      <w:vertAlign w:val="superscript"/>
                    </w:rPr>
                    <w:t>3</w:t>
                  </w:r>
                  <w:r>
                    <w:rPr>
                      <w:color w:val="auto"/>
                      <w:szCs w:val="21"/>
                    </w:rPr>
                    <w:t>、二甲苯：0.2mg/m</w:t>
                  </w:r>
                  <w:r>
                    <w:rPr>
                      <w:color w:val="auto"/>
                      <w:szCs w:val="21"/>
                      <w:vertAlign w:val="superscript"/>
                    </w:rPr>
                    <w:t>3</w:t>
                  </w:r>
                </w:p>
              </w:tc>
            </w:tr>
            <w:tr w14:paraId="37144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13" w:type="dxa"/>
                  <w:vMerge w:val="continue"/>
                  <w:tcMar>
                    <w:top w:w="85" w:type="dxa"/>
                    <w:bottom w:w="85" w:type="dxa"/>
                  </w:tcMar>
                  <w:vAlign w:val="center"/>
                </w:tcPr>
                <w:p w14:paraId="25CA49FF">
                  <w:pPr>
                    <w:snapToGrid w:val="0"/>
                    <w:jc w:val="center"/>
                    <w:rPr>
                      <w:color w:val="auto"/>
                      <w:szCs w:val="21"/>
                    </w:rPr>
                  </w:pPr>
                </w:p>
              </w:tc>
              <w:tc>
                <w:tcPr>
                  <w:tcW w:w="3401" w:type="dxa"/>
                  <w:vMerge w:val="restart"/>
                  <w:tcMar>
                    <w:top w:w="85" w:type="dxa"/>
                    <w:bottom w:w="85" w:type="dxa"/>
                  </w:tcMar>
                  <w:vAlign w:val="center"/>
                </w:tcPr>
                <w:p w14:paraId="5BDA4C0A">
                  <w:pPr>
                    <w:snapToGrid w:val="0"/>
                    <w:jc w:val="center"/>
                    <w:rPr>
                      <w:color w:val="auto"/>
                      <w:szCs w:val="21"/>
                    </w:rPr>
                  </w:pPr>
                  <w:r>
                    <w:rPr>
                      <w:rFonts w:hint="eastAsia"/>
                      <w:color w:val="auto"/>
                      <w:szCs w:val="21"/>
                    </w:rPr>
                    <w:t>河南省地方标准</w:t>
                  </w:r>
                  <w:r>
                    <w:rPr>
                      <w:color w:val="auto"/>
                      <w:szCs w:val="21"/>
                    </w:rPr>
                    <w:t>《工业涂装工序挥发性有机物排放标准》（DB41/1951-2020）</w:t>
                  </w:r>
                </w:p>
              </w:tc>
              <w:tc>
                <w:tcPr>
                  <w:tcW w:w="1028" w:type="dxa"/>
                  <w:tcMar>
                    <w:top w:w="85" w:type="dxa"/>
                    <w:bottom w:w="85" w:type="dxa"/>
                  </w:tcMar>
                  <w:vAlign w:val="center"/>
                </w:tcPr>
                <w:p w14:paraId="04CD4166">
                  <w:pPr>
                    <w:snapToGrid w:val="0"/>
                    <w:jc w:val="center"/>
                    <w:rPr>
                      <w:color w:val="auto"/>
                      <w:szCs w:val="21"/>
                    </w:rPr>
                  </w:pPr>
                  <w:r>
                    <w:rPr>
                      <w:color w:val="auto"/>
                      <w:szCs w:val="21"/>
                    </w:rPr>
                    <w:t>非甲烷总烃</w:t>
                  </w:r>
                </w:p>
              </w:tc>
              <w:tc>
                <w:tcPr>
                  <w:tcW w:w="3241" w:type="dxa"/>
                  <w:tcMar>
                    <w:top w:w="85" w:type="dxa"/>
                    <w:bottom w:w="85" w:type="dxa"/>
                  </w:tcMar>
                  <w:vAlign w:val="center"/>
                </w:tcPr>
                <w:p w14:paraId="195D85B8">
                  <w:pPr>
                    <w:snapToGrid w:val="0"/>
                    <w:jc w:val="center"/>
                    <w:rPr>
                      <w:color w:val="auto"/>
                      <w:szCs w:val="21"/>
                    </w:rPr>
                  </w:pPr>
                  <w:r>
                    <w:rPr>
                      <w:color w:val="auto"/>
                      <w:szCs w:val="21"/>
                    </w:rPr>
                    <w:t>50mg/m</w:t>
                  </w:r>
                  <w:r>
                    <w:rPr>
                      <w:color w:val="auto"/>
                      <w:szCs w:val="21"/>
                      <w:vertAlign w:val="superscript"/>
                    </w:rPr>
                    <w:t>3</w:t>
                  </w:r>
                </w:p>
              </w:tc>
            </w:tr>
            <w:tr w14:paraId="2A8BC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713" w:type="dxa"/>
                  <w:vMerge w:val="continue"/>
                  <w:tcMar>
                    <w:top w:w="85" w:type="dxa"/>
                    <w:bottom w:w="85" w:type="dxa"/>
                  </w:tcMar>
                  <w:vAlign w:val="center"/>
                </w:tcPr>
                <w:p w14:paraId="55D8FF76">
                  <w:pPr>
                    <w:snapToGrid w:val="0"/>
                    <w:jc w:val="center"/>
                    <w:rPr>
                      <w:color w:val="auto"/>
                      <w:szCs w:val="21"/>
                    </w:rPr>
                  </w:pPr>
                </w:p>
              </w:tc>
              <w:tc>
                <w:tcPr>
                  <w:tcW w:w="3401" w:type="dxa"/>
                  <w:vMerge w:val="continue"/>
                  <w:tcMar>
                    <w:top w:w="85" w:type="dxa"/>
                    <w:bottom w:w="85" w:type="dxa"/>
                  </w:tcMar>
                  <w:vAlign w:val="center"/>
                </w:tcPr>
                <w:p w14:paraId="4321D25E">
                  <w:pPr>
                    <w:snapToGrid w:val="0"/>
                    <w:jc w:val="center"/>
                    <w:rPr>
                      <w:color w:val="auto"/>
                      <w:szCs w:val="21"/>
                    </w:rPr>
                  </w:pPr>
                </w:p>
              </w:tc>
              <w:tc>
                <w:tcPr>
                  <w:tcW w:w="1028" w:type="dxa"/>
                  <w:tcMar>
                    <w:top w:w="85" w:type="dxa"/>
                    <w:bottom w:w="85" w:type="dxa"/>
                  </w:tcMar>
                  <w:vAlign w:val="center"/>
                </w:tcPr>
                <w:p w14:paraId="55DA424D">
                  <w:pPr>
                    <w:snapToGrid w:val="0"/>
                    <w:jc w:val="center"/>
                    <w:rPr>
                      <w:color w:val="auto"/>
                      <w:szCs w:val="21"/>
                    </w:rPr>
                  </w:pPr>
                  <w:r>
                    <w:rPr>
                      <w:color w:val="auto"/>
                      <w:szCs w:val="21"/>
                    </w:rPr>
                    <w:t>甲苯、二甲苯</w:t>
                  </w:r>
                </w:p>
              </w:tc>
              <w:tc>
                <w:tcPr>
                  <w:tcW w:w="3241" w:type="dxa"/>
                  <w:tcMar>
                    <w:top w:w="85" w:type="dxa"/>
                    <w:bottom w:w="85" w:type="dxa"/>
                  </w:tcMar>
                  <w:vAlign w:val="center"/>
                </w:tcPr>
                <w:p w14:paraId="1DBDC26A">
                  <w:pPr>
                    <w:snapToGrid w:val="0"/>
                    <w:jc w:val="center"/>
                    <w:rPr>
                      <w:color w:val="auto"/>
                      <w:szCs w:val="21"/>
                    </w:rPr>
                  </w:pPr>
                  <w:r>
                    <w:rPr>
                      <w:color w:val="auto"/>
                      <w:szCs w:val="21"/>
                    </w:rPr>
                    <w:t>甲苯与二甲苯合计20mg/m</w:t>
                  </w:r>
                  <w:r>
                    <w:rPr>
                      <w:color w:val="auto"/>
                      <w:szCs w:val="21"/>
                      <w:vertAlign w:val="superscript"/>
                    </w:rPr>
                    <w:t>3</w:t>
                  </w:r>
                </w:p>
              </w:tc>
            </w:tr>
            <w:tr w14:paraId="6E16E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713" w:type="dxa"/>
                  <w:vMerge w:val="continue"/>
                  <w:tcMar>
                    <w:top w:w="85" w:type="dxa"/>
                    <w:bottom w:w="85" w:type="dxa"/>
                  </w:tcMar>
                  <w:vAlign w:val="center"/>
                </w:tcPr>
                <w:p w14:paraId="28422F90">
                  <w:pPr>
                    <w:snapToGrid w:val="0"/>
                    <w:jc w:val="center"/>
                    <w:rPr>
                      <w:color w:val="auto"/>
                      <w:szCs w:val="21"/>
                    </w:rPr>
                  </w:pPr>
                </w:p>
              </w:tc>
              <w:tc>
                <w:tcPr>
                  <w:tcW w:w="3401" w:type="dxa"/>
                  <w:vMerge w:val="restart"/>
                  <w:tcMar>
                    <w:top w:w="85" w:type="dxa"/>
                    <w:bottom w:w="85" w:type="dxa"/>
                  </w:tcMar>
                  <w:vAlign w:val="center"/>
                </w:tcPr>
                <w:p w14:paraId="2FF061FE">
                  <w:pPr>
                    <w:snapToGrid w:val="0"/>
                    <w:jc w:val="center"/>
                    <w:rPr>
                      <w:color w:val="auto"/>
                      <w:szCs w:val="21"/>
                    </w:rPr>
                  </w:pPr>
                  <w:r>
                    <w:rPr>
                      <w:color w:val="auto"/>
                      <w:szCs w:val="21"/>
                    </w:rPr>
                    <w:t>《重污染天气重点行业应急减排措施制定技术指南（2020年修订版）》（环办大气函〔2020〕340号）家具行业绩效分级指标（A级）</w:t>
                  </w:r>
                </w:p>
              </w:tc>
              <w:tc>
                <w:tcPr>
                  <w:tcW w:w="1028" w:type="dxa"/>
                  <w:tcMar>
                    <w:top w:w="85" w:type="dxa"/>
                    <w:bottom w:w="85" w:type="dxa"/>
                  </w:tcMar>
                  <w:vAlign w:val="center"/>
                </w:tcPr>
                <w:p w14:paraId="6C7818FB">
                  <w:pPr>
                    <w:snapToGrid w:val="0"/>
                    <w:jc w:val="center"/>
                    <w:rPr>
                      <w:color w:val="auto"/>
                      <w:szCs w:val="21"/>
                    </w:rPr>
                  </w:pPr>
                  <w:r>
                    <w:rPr>
                      <w:rFonts w:hint="eastAsia"/>
                      <w:color w:val="auto"/>
                      <w:szCs w:val="21"/>
                    </w:rPr>
                    <w:t>PM</w:t>
                  </w:r>
                </w:p>
              </w:tc>
              <w:tc>
                <w:tcPr>
                  <w:tcW w:w="3241" w:type="dxa"/>
                  <w:tcMar>
                    <w:top w:w="85" w:type="dxa"/>
                    <w:bottom w:w="85" w:type="dxa"/>
                  </w:tcMar>
                  <w:vAlign w:val="center"/>
                </w:tcPr>
                <w:p w14:paraId="2DEA897C">
                  <w:pPr>
                    <w:snapToGrid w:val="0"/>
                    <w:jc w:val="center"/>
                    <w:rPr>
                      <w:color w:val="auto"/>
                      <w:kern w:val="0"/>
                      <w:szCs w:val="21"/>
                    </w:rPr>
                  </w:pPr>
                  <w:r>
                    <w:rPr>
                      <w:rFonts w:hint="eastAsia"/>
                      <w:color w:val="auto"/>
                      <w:kern w:val="0"/>
                      <w:szCs w:val="21"/>
                    </w:rPr>
                    <w:t>10</w:t>
                  </w:r>
                  <w:r>
                    <w:rPr>
                      <w:color w:val="auto"/>
                      <w:szCs w:val="21"/>
                    </w:rPr>
                    <w:t>mg/m</w:t>
                  </w:r>
                  <w:r>
                    <w:rPr>
                      <w:color w:val="auto"/>
                      <w:szCs w:val="21"/>
                      <w:vertAlign w:val="superscript"/>
                    </w:rPr>
                    <w:t>3</w:t>
                  </w:r>
                </w:p>
              </w:tc>
            </w:tr>
            <w:tr w14:paraId="75FD6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713" w:type="dxa"/>
                  <w:vMerge w:val="continue"/>
                  <w:tcMar>
                    <w:top w:w="85" w:type="dxa"/>
                    <w:bottom w:w="85" w:type="dxa"/>
                  </w:tcMar>
                  <w:vAlign w:val="center"/>
                </w:tcPr>
                <w:p w14:paraId="49AFAFA8">
                  <w:pPr>
                    <w:snapToGrid w:val="0"/>
                    <w:jc w:val="center"/>
                    <w:rPr>
                      <w:color w:val="auto"/>
                      <w:szCs w:val="21"/>
                    </w:rPr>
                  </w:pPr>
                </w:p>
              </w:tc>
              <w:tc>
                <w:tcPr>
                  <w:tcW w:w="3401" w:type="dxa"/>
                  <w:vMerge w:val="continue"/>
                  <w:tcMar>
                    <w:top w:w="85" w:type="dxa"/>
                    <w:bottom w:w="85" w:type="dxa"/>
                  </w:tcMar>
                  <w:vAlign w:val="center"/>
                </w:tcPr>
                <w:p w14:paraId="30D8E450">
                  <w:pPr>
                    <w:snapToGrid w:val="0"/>
                    <w:jc w:val="center"/>
                    <w:rPr>
                      <w:color w:val="auto"/>
                      <w:szCs w:val="21"/>
                    </w:rPr>
                  </w:pPr>
                </w:p>
              </w:tc>
              <w:tc>
                <w:tcPr>
                  <w:tcW w:w="1028" w:type="dxa"/>
                  <w:tcMar>
                    <w:top w:w="85" w:type="dxa"/>
                    <w:bottom w:w="85" w:type="dxa"/>
                  </w:tcMar>
                  <w:vAlign w:val="center"/>
                </w:tcPr>
                <w:p w14:paraId="0D3B93C3">
                  <w:pPr>
                    <w:snapToGrid w:val="0"/>
                    <w:jc w:val="center"/>
                    <w:rPr>
                      <w:color w:val="auto"/>
                      <w:szCs w:val="21"/>
                    </w:rPr>
                  </w:pPr>
                  <w:r>
                    <w:rPr>
                      <w:rFonts w:hint="eastAsia"/>
                      <w:color w:val="auto"/>
                      <w:szCs w:val="21"/>
                    </w:rPr>
                    <w:t>NMHC</w:t>
                  </w:r>
                </w:p>
              </w:tc>
              <w:tc>
                <w:tcPr>
                  <w:tcW w:w="3241" w:type="dxa"/>
                  <w:tcMar>
                    <w:top w:w="85" w:type="dxa"/>
                    <w:bottom w:w="85" w:type="dxa"/>
                  </w:tcMar>
                  <w:vAlign w:val="center"/>
                </w:tcPr>
                <w:p w14:paraId="5B930FF2">
                  <w:pPr>
                    <w:snapToGrid w:val="0"/>
                    <w:jc w:val="center"/>
                    <w:rPr>
                      <w:color w:val="auto"/>
                      <w:kern w:val="0"/>
                      <w:szCs w:val="21"/>
                    </w:rPr>
                  </w:pPr>
                  <w:r>
                    <w:rPr>
                      <w:rFonts w:hint="eastAsia"/>
                      <w:color w:val="auto"/>
                      <w:kern w:val="0"/>
                      <w:szCs w:val="21"/>
                    </w:rPr>
                    <w:t>20</w:t>
                  </w:r>
                  <w:r>
                    <w:rPr>
                      <w:color w:val="auto"/>
                      <w:szCs w:val="21"/>
                    </w:rPr>
                    <w:t>mg/m</w:t>
                  </w:r>
                  <w:r>
                    <w:rPr>
                      <w:color w:val="auto"/>
                      <w:szCs w:val="21"/>
                      <w:vertAlign w:val="superscript"/>
                    </w:rPr>
                    <w:t>3</w:t>
                  </w:r>
                </w:p>
              </w:tc>
            </w:tr>
          </w:tbl>
          <w:p w14:paraId="00406489">
            <w:pPr>
              <w:snapToGrid w:val="0"/>
              <w:spacing w:line="360" w:lineRule="auto"/>
              <w:rPr>
                <w:b/>
                <w:bCs/>
                <w:color w:val="auto"/>
                <w:sz w:val="24"/>
              </w:rPr>
            </w:pPr>
            <w:r>
              <w:rPr>
                <w:rFonts w:hint="eastAsia"/>
                <w:b/>
                <w:bCs/>
                <w:color w:val="auto"/>
                <w:sz w:val="24"/>
              </w:rPr>
              <w:t>2、废水</w:t>
            </w:r>
          </w:p>
          <w:p w14:paraId="365C7D8B">
            <w:pPr>
              <w:pStyle w:val="46"/>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eastAsia" w:ascii="Times New Roman" w:hAnsi="Arial Unicode MS" w:eastAsia="宋体" w:cs="Times New Roman"/>
                <w:b/>
                <w:color w:val="auto"/>
                <w:kern w:val="2"/>
                <w:sz w:val="24"/>
                <w:szCs w:val="24"/>
                <w:lang w:val="en-US" w:eastAsia="zh-CN" w:bidi="ar-SA"/>
              </w:rPr>
            </w:pPr>
            <w:r>
              <w:rPr>
                <w:rFonts w:hint="eastAsia" w:ascii="Times New Roman" w:hAnsi="Arial Unicode MS" w:eastAsia="宋体" w:cs="Times New Roman"/>
                <w:b/>
                <w:color w:val="auto"/>
                <w:kern w:val="2"/>
                <w:sz w:val="24"/>
                <w:szCs w:val="24"/>
                <w:lang w:val="en-US" w:eastAsia="zh-CN" w:bidi="ar-SA"/>
              </w:rPr>
              <w:t>废水污染物排放标准一览表     单位：mg/L</w:t>
            </w:r>
          </w:p>
          <w:tbl>
            <w:tblPr>
              <w:tblStyle w:val="25"/>
              <w:tblW w:w="83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66"/>
              <w:gridCol w:w="750"/>
              <w:gridCol w:w="798"/>
              <w:gridCol w:w="650"/>
              <w:gridCol w:w="950"/>
              <w:gridCol w:w="700"/>
              <w:gridCol w:w="669"/>
            </w:tblGrid>
            <w:tr w14:paraId="72679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blHeader/>
                <w:jc w:val="center"/>
              </w:trPr>
              <w:tc>
                <w:tcPr>
                  <w:tcW w:w="3866" w:type="dxa"/>
                  <w:vAlign w:val="center"/>
                </w:tcPr>
                <w:p w14:paraId="387680F0">
                  <w:pPr>
                    <w:autoSpaceDE w:val="0"/>
                    <w:autoSpaceDN w:val="0"/>
                    <w:adjustRightInd w:val="0"/>
                    <w:jc w:val="center"/>
                    <w:rPr>
                      <w:b/>
                      <w:bCs/>
                      <w:color w:val="auto"/>
                    </w:rPr>
                  </w:pPr>
                  <w:r>
                    <w:rPr>
                      <w:b/>
                      <w:bCs/>
                      <w:color w:val="auto"/>
                      <w:lang w:val="zh-CN"/>
                    </w:rPr>
                    <w:t>指标</w:t>
                  </w:r>
                </w:p>
              </w:tc>
              <w:tc>
                <w:tcPr>
                  <w:tcW w:w="750" w:type="dxa"/>
                  <w:vAlign w:val="center"/>
                </w:tcPr>
                <w:p w14:paraId="5533E208">
                  <w:pPr>
                    <w:autoSpaceDE w:val="0"/>
                    <w:autoSpaceDN w:val="0"/>
                    <w:adjustRightInd w:val="0"/>
                    <w:jc w:val="center"/>
                    <w:rPr>
                      <w:b/>
                      <w:bCs/>
                      <w:color w:val="auto"/>
                    </w:rPr>
                  </w:pPr>
                  <w:r>
                    <w:rPr>
                      <w:b/>
                      <w:bCs/>
                      <w:color w:val="auto"/>
                    </w:rPr>
                    <w:t>COD</w:t>
                  </w:r>
                </w:p>
              </w:tc>
              <w:tc>
                <w:tcPr>
                  <w:tcW w:w="798" w:type="dxa"/>
                  <w:vAlign w:val="center"/>
                </w:tcPr>
                <w:p w14:paraId="31F77C39">
                  <w:pPr>
                    <w:autoSpaceDE w:val="0"/>
                    <w:autoSpaceDN w:val="0"/>
                    <w:adjustRightInd w:val="0"/>
                    <w:jc w:val="center"/>
                    <w:rPr>
                      <w:b/>
                      <w:bCs/>
                      <w:color w:val="auto"/>
                    </w:rPr>
                  </w:pPr>
                  <w:r>
                    <w:rPr>
                      <w:b/>
                      <w:bCs/>
                      <w:color w:val="auto"/>
                    </w:rPr>
                    <w:t>BOD</w:t>
                  </w:r>
                  <w:r>
                    <w:rPr>
                      <w:b/>
                      <w:bCs/>
                      <w:color w:val="auto"/>
                      <w:vertAlign w:val="subscript"/>
                    </w:rPr>
                    <w:t>5</w:t>
                  </w:r>
                </w:p>
              </w:tc>
              <w:tc>
                <w:tcPr>
                  <w:tcW w:w="650" w:type="dxa"/>
                  <w:vAlign w:val="center"/>
                </w:tcPr>
                <w:p w14:paraId="3E650648">
                  <w:pPr>
                    <w:autoSpaceDE w:val="0"/>
                    <w:autoSpaceDN w:val="0"/>
                    <w:adjustRightInd w:val="0"/>
                    <w:jc w:val="center"/>
                    <w:rPr>
                      <w:b/>
                      <w:bCs/>
                      <w:color w:val="auto"/>
                    </w:rPr>
                  </w:pPr>
                  <w:r>
                    <w:rPr>
                      <w:b/>
                      <w:bCs/>
                      <w:color w:val="auto"/>
                    </w:rPr>
                    <w:t>SS</w:t>
                  </w:r>
                </w:p>
              </w:tc>
              <w:tc>
                <w:tcPr>
                  <w:tcW w:w="950" w:type="dxa"/>
                  <w:vAlign w:val="center"/>
                </w:tcPr>
                <w:p w14:paraId="7D34123C">
                  <w:pPr>
                    <w:autoSpaceDE w:val="0"/>
                    <w:autoSpaceDN w:val="0"/>
                    <w:adjustRightInd w:val="0"/>
                    <w:jc w:val="center"/>
                    <w:rPr>
                      <w:b/>
                      <w:bCs/>
                      <w:color w:val="auto"/>
                    </w:rPr>
                  </w:pPr>
                  <w:r>
                    <w:rPr>
                      <w:b/>
                      <w:bCs/>
                      <w:color w:val="auto"/>
                    </w:rPr>
                    <w:t>NH</w:t>
                  </w:r>
                  <w:r>
                    <w:rPr>
                      <w:b/>
                      <w:bCs/>
                      <w:color w:val="auto"/>
                      <w:vertAlign w:val="subscript"/>
                    </w:rPr>
                    <w:t>3</w:t>
                  </w:r>
                  <w:r>
                    <w:rPr>
                      <w:b/>
                      <w:bCs/>
                      <w:color w:val="auto"/>
                    </w:rPr>
                    <w:t>-N</w:t>
                  </w:r>
                </w:p>
              </w:tc>
              <w:tc>
                <w:tcPr>
                  <w:tcW w:w="700" w:type="dxa"/>
                  <w:vAlign w:val="center"/>
                </w:tcPr>
                <w:p w14:paraId="276A17FD">
                  <w:pPr>
                    <w:autoSpaceDE w:val="0"/>
                    <w:autoSpaceDN w:val="0"/>
                    <w:adjustRightInd w:val="0"/>
                    <w:jc w:val="center"/>
                    <w:rPr>
                      <w:b/>
                      <w:bCs/>
                      <w:color w:val="auto"/>
                    </w:rPr>
                  </w:pPr>
                  <w:r>
                    <w:rPr>
                      <w:b/>
                      <w:bCs/>
                      <w:color w:val="auto"/>
                    </w:rPr>
                    <w:t>TP</w:t>
                  </w:r>
                </w:p>
              </w:tc>
              <w:tc>
                <w:tcPr>
                  <w:tcW w:w="669" w:type="dxa"/>
                  <w:vAlign w:val="center"/>
                </w:tcPr>
                <w:p w14:paraId="0AA2D63D">
                  <w:pPr>
                    <w:autoSpaceDE w:val="0"/>
                    <w:autoSpaceDN w:val="0"/>
                    <w:adjustRightInd w:val="0"/>
                    <w:jc w:val="center"/>
                    <w:rPr>
                      <w:b/>
                      <w:bCs/>
                      <w:color w:val="auto"/>
                    </w:rPr>
                  </w:pPr>
                  <w:r>
                    <w:rPr>
                      <w:b/>
                      <w:bCs/>
                      <w:color w:val="auto"/>
                    </w:rPr>
                    <w:t>TN</w:t>
                  </w:r>
                </w:p>
              </w:tc>
            </w:tr>
            <w:tr w14:paraId="2DB3E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blHeader/>
                <w:jc w:val="center"/>
              </w:trPr>
              <w:tc>
                <w:tcPr>
                  <w:tcW w:w="3866" w:type="dxa"/>
                  <w:vAlign w:val="center"/>
                </w:tcPr>
                <w:p w14:paraId="6D556E07">
                  <w:pPr>
                    <w:autoSpaceDE w:val="0"/>
                    <w:autoSpaceDN w:val="0"/>
                    <w:adjustRightInd w:val="0"/>
                    <w:jc w:val="center"/>
                    <w:rPr>
                      <w:b/>
                      <w:bCs/>
                      <w:color w:val="auto"/>
                      <w:lang w:val="zh-CN"/>
                    </w:rPr>
                  </w:pPr>
                  <w:r>
                    <w:rPr>
                      <w:rFonts w:hint="eastAsia"/>
                      <w:b w:val="0"/>
                      <w:bCs w:val="0"/>
                      <w:color w:val="auto"/>
                      <w:lang w:val="zh-CN"/>
                    </w:rPr>
                    <w:t>《污水综合排放标准》（GB8978- 1996）表4三级标准</w:t>
                  </w:r>
                </w:p>
              </w:tc>
              <w:tc>
                <w:tcPr>
                  <w:tcW w:w="750" w:type="dxa"/>
                  <w:vAlign w:val="center"/>
                </w:tcPr>
                <w:p w14:paraId="36E3FF3E">
                  <w:pPr>
                    <w:autoSpaceDE w:val="0"/>
                    <w:autoSpaceDN w:val="0"/>
                    <w:adjustRightInd w:val="0"/>
                    <w:jc w:val="center"/>
                    <w:rPr>
                      <w:rFonts w:hint="default" w:eastAsia="宋体"/>
                      <w:b w:val="0"/>
                      <w:bCs w:val="0"/>
                      <w:color w:val="auto"/>
                      <w:lang w:val="en-US" w:eastAsia="zh-CN"/>
                    </w:rPr>
                  </w:pPr>
                  <w:r>
                    <w:rPr>
                      <w:rFonts w:hint="eastAsia"/>
                      <w:b w:val="0"/>
                      <w:bCs w:val="0"/>
                      <w:color w:val="auto"/>
                      <w:lang w:val="en-US" w:eastAsia="zh-CN"/>
                    </w:rPr>
                    <w:t>500</w:t>
                  </w:r>
                </w:p>
              </w:tc>
              <w:tc>
                <w:tcPr>
                  <w:tcW w:w="798" w:type="dxa"/>
                  <w:vAlign w:val="center"/>
                </w:tcPr>
                <w:p w14:paraId="73A6D90D">
                  <w:pPr>
                    <w:autoSpaceDE w:val="0"/>
                    <w:autoSpaceDN w:val="0"/>
                    <w:adjustRightInd w:val="0"/>
                    <w:jc w:val="center"/>
                    <w:rPr>
                      <w:rFonts w:hint="default" w:eastAsia="宋体"/>
                      <w:b w:val="0"/>
                      <w:bCs w:val="0"/>
                      <w:color w:val="auto"/>
                      <w:lang w:val="en-US" w:eastAsia="zh-CN"/>
                    </w:rPr>
                  </w:pPr>
                  <w:r>
                    <w:rPr>
                      <w:rFonts w:hint="eastAsia"/>
                      <w:b w:val="0"/>
                      <w:bCs w:val="0"/>
                      <w:color w:val="auto"/>
                      <w:lang w:val="en-US" w:eastAsia="zh-CN"/>
                    </w:rPr>
                    <w:t>300</w:t>
                  </w:r>
                </w:p>
              </w:tc>
              <w:tc>
                <w:tcPr>
                  <w:tcW w:w="650" w:type="dxa"/>
                  <w:vAlign w:val="center"/>
                </w:tcPr>
                <w:p w14:paraId="0C6A2F08">
                  <w:pPr>
                    <w:autoSpaceDE w:val="0"/>
                    <w:autoSpaceDN w:val="0"/>
                    <w:adjustRightInd w:val="0"/>
                    <w:jc w:val="center"/>
                    <w:rPr>
                      <w:rFonts w:hint="default" w:eastAsia="宋体"/>
                      <w:b w:val="0"/>
                      <w:bCs w:val="0"/>
                      <w:color w:val="auto"/>
                      <w:lang w:val="en-US" w:eastAsia="zh-CN"/>
                    </w:rPr>
                  </w:pPr>
                  <w:r>
                    <w:rPr>
                      <w:rFonts w:hint="eastAsia"/>
                      <w:b w:val="0"/>
                      <w:bCs w:val="0"/>
                      <w:color w:val="auto"/>
                      <w:lang w:val="en-US" w:eastAsia="zh-CN"/>
                    </w:rPr>
                    <w:t>400</w:t>
                  </w:r>
                </w:p>
              </w:tc>
              <w:tc>
                <w:tcPr>
                  <w:tcW w:w="950" w:type="dxa"/>
                  <w:vAlign w:val="center"/>
                </w:tcPr>
                <w:p w14:paraId="1F79619B">
                  <w:pPr>
                    <w:autoSpaceDE w:val="0"/>
                    <w:autoSpaceDN w:val="0"/>
                    <w:adjustRightInd w:val="0"/>
                    <w:jc w:val="center"/>
                    <w:rPr>
                      <w:rFonts w:hint="eastAsia" w:eastAsia="宋体"/>
                      <w:b/>
                      <w:bCs/>
                      <w:color w:val="auto"/>
                      <w:lang w:val="en-US" w:eastAsia="zh-CN"/>
                    </w:rPr>
                  </w:pPr>
                  <w:r>
                    <w:rPr>
                      <w:rFonts w:hint="eastAsia"/>
                      <w:b/>
                      <w:bCs/>
                      <w:color w:val="auto"/>
                      <w:lang w:val="en-US" w:eastAsia="zh-CN"/>
                    </w:rPr>
                    <w:t>/</w:t>
                  </w:r>
                </w:p>
              </w:tc>
              <w:tc>
                <w:tcPr>
                  <w:tcW w:w="700" w:type="dxa"/>
                  <w:vAlign w:val="center"/>
                </w:tcPr>
                <w:p w14:paraId="69766F82">
                  <w:pPr>
                    <w:autoSpaceDE w:val="0"/>
                    <w:autoSpaceDN w:val="0"/>
                    <w:adjustRightInd w:val="0"/>
                    <w:jc w:val="center"/>
                    <w:rPr>
                      <w:b/>
                      <w:bCs/>
                      <w:color w:val="auto"/>
                    </w:rPr>
                  </w:pPr>
                  <w:r>
                    <w:rPr>
                      <w:rFonts w:hint="eastAsia"/>
                      <w:b/>
                      <w:bCs/>
                      <w:color w:val="auto"/>
                      <w:lang w:val="en-US" w:eastAsia="zh-CN"/>
                    </w:rPr>
                    <w:t>/</w:t>
                  </w:r>
                </w:p>
              </w:tc>
              <w:tc>
                <w:tcPr>
                  <w:tcW w:w="669" w:type="dxa"/>
                  <w:vAlign w:val="center"/>
                </w:tcPr>
                <w:p w14:paraId="260B3E1E">
                  <w:pPr>
                    <w:autoSpaceDE w:val="0"/>
                    <w:autoSpaceDN w:val="0"/>
                    <w:adjustRightInd w:val="0"/>
                    <w:jc w:val="center"/>
                    <w:rPr>
                      <w:b/>
                      <w:bCs/>
                      <w:color w:val="auto"/>
                    </w:rPr>
                  </w:pPr>
                  <w:r>
                    <w:rPr>
                      <w:rFonts w:hint="eastAsia"/>
                      <w:b/>
                      <w:bCs/>
                      <w:color w:val="auto"/>
                      <w:lang w:val="en-US" w:eastAsia="zh-CN"/>
                    </w:rPr>
                    <w:t>/</w:t>
                  </w:r>
                </w:p>
              </w:tc>
            </w:tr>
            <w:tr w14:paraId="0D4DE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blHeader/>
                <w:jc w:val="center"/>
              </w:trPr>
              <w:tc>
                <w:tcPr>
                  <w:tcW w:w="3866" w:type="dxa"/>
                  <w:vAlign w:val="center"/>
                </w:tcPr>
                <w:p w14:paraId="26215F06">
                  <w:pPr>
                    <w:autoSpaceDE w:val="0"/>
                    <w:autoSpaceDN w:val="0"/>
                    <w:adjustRightInd w:val="0"/>
                    <w:jc w:val="center"/>
                    <w:rPr>
                      <w:rFonts w:hint="eastAsia"/>
                      <w:b/>
                      <w:bCs/>
                      <w:color w:val="auto"/>
                      <w:u w:val="single"/>
                      <w:lang w:val="zh-CN"/>
                    </w:rPr>
                  </w:pPr>
                  <w:r>
                    <w:rPr>
                      <w:rFonts w:hint="eastAsia"/>
                      <w:b/>
                      <w:bCs/>
                      <w:color w:val="auto"/>
                      <w:u w:val="single"/>
                      <w:lang w:val="zh-CN"/>
                    </w:rPr>
                    <w:t>清丰中州水务有限公司第二污水处理厂收水质标准</w:t>
                  </w:r>
                </w:p>
              </w:tc>
              <w:tc>
                <w:tcPr>
                  <w:tcW w:w="750" w:type="dxa"/>
                  <w:vAlign w:val="center"/>
                </w:tcPr>
                <w:p w14:paraId="4790D44A">
                  <w:pPr>
                    <w:autoSpaceDE w:val="0"/>
                    <w:autoSpaceDN w:val="0"/>
                    <w:adjustRightInd w:val="0"/>
                    <w:jc w:val="center"/>
                    <w:rPr>
                      <w:rFonts w:hint="default"/>
                      <w:b/>
                      <w:bCs/>
                      <w:color w:val="auto"/>
                      <w:u w:val="single"/>
                      <w:lang w:val="en-US" w:eastAsia="zh-CN"/>
                    </w:rPr>
                  </w:pPr>
                  <w:r>
                    <w:rPr>
                      <w:rFonts w:hint="eastAsia"/>
                      <w:b/>
                      <w:bCs/>
                      <w:color w:val="auto"/>
                      <w:u w:val="single"/>
                      <w:lang w:val="en-US" w:eastAsia="zh-CN"/>
                    </w:rPr>
                    <w:t>350</w:t>
                  </w:r>
                </w:p>
              </w:tc>
              <w:tc>
                <w:tcPr>
                  <w:tcW w:w="798" w:type="dxa"/>
                  <w:vAlign w:val="center"/>
                </w:tcPr>
                <w:p w14:paraId="76AFA0AE">
                  <w:pPr>
                    <w:autoSpaceDE w:val="0"/>
                    <w:autoSpaceDN w:val="0"/>
                    <w:adjustRightInd w:val="0"/>
                    <w:jc w:val="center"/>
                    <w:rPr>
                      <w:rFonts w:hint="default"/>
                      <w:b/>
                      <w:bCs/>
                      <w:color w:val="auto"/>
                      <w:u w:val="single"/>
                      <w:lang w:val="en-US" w:eastAsia="zh-CN"/>
                    </w:rPr>
                  </w:pPr>
                  <w:r>
                    <w:rPr>
                      <w:rFonts w:hint="eastAsia"/>
                      <w:b/>
                      <w:bCs/>
                      <w:color w:val="auto"/>
                      <w:u w:val="single"/>
                      <w:lang w:val="en-US" w:eastAsia="zh-CN"/>
                    </w:rPr>
                    <w:t>160</w:t>
                  </w:r>
                </w:p>
              </w:tc>
              <w:tc>
                <w:tcPr>
                  <w:tcW w:w="650" w:type="dxa"/>
                  <w:vAlign w:val="center"/>
                </w:tcPr>
                <w:p w14:paraId="6DADDFD5">
                  <w:pPr>
                    <w:autoSpaceDE w:val="0"/>
                    <w:autoSpaceDN w:val="0"/>
                    <w:adjustRightInd w:val="0"/>
                    <w:jc w:val="center"/>
                    <w:rPr>
                      <w:rFonts w:hint="default"/>
                      <w:b/>
                      <w:bCs/>
                      <w:color w:val="auto"/>
                      <w:u w:val="single"/>
                      <w:lang w:val="en-US" w:eastAsia="zh-CN"/>
                    </w:rPr>
                  </w:pPr>
                  <w:r>
                    <w:rPr>
                      <w:rFonts w:hint="eastAsia"/>
                      <w:b/>
                      <w:bCs/>
                      <w:color w:val="auto"/>
                      <w:u w:val="single"/>
                      <w:lang w:val="en-US" w:eastAsia="zh-CN"/>
                    </w:rPr>
                    <w:t>200</w:t>
                  </w:r>
                </w:p>
              </w:tc>
              <w:tc>
                <w:tcPr>
                  <w:tcW w:w="950" w:type="dxa"/>
                  <w:vAlign w:val="center"/>
                </w:tcPr>
                <w:p w14:paraId="4E825CB7">
                  <w:pPr>
                    <w:autoSpaceDE w:val="0"/>
                    <w:autoSpaceDN w:val="0"/>
                    <w:adjustRightInd w:val="0"/>
                    <w:jc w:val="center"/>
                    <w:rPr>
                      <w:rFonts w:hint="default"/>
                      <w:b/>
                      <w:bCs/>
                      <w:color w:val="auto"/>
                      <w:u w:val="single"/>
                      <w:lang w:val="en-US" w:eastAsia="zh-CN"/>
                    </w:rPr>
                  </w:pPr>
                  <w:r>
                    <w:rPr>
                      <w:rFonts w:hint="eastAsia"/>
                      <w:b/>
                      <w:bCs/>
                      <w:color w:val="auto"/>
                      <w:u w:val="single"/>
                      <w:lang w:val="en-US" w:eastAsia="zh-CN"/>
                    </w:rPr>
                    <w:t>40</w:t>
                  </w:r>
                </w:p>
              </w:tc>
              <w:tc>
                <w:tcPr>
                  <w:tcW w:w="700" w:type="dxa"/>
                  <w:vAlign w:val="center"/>
                </w:tcPr>
                <w:p w14:paraId="5B59342F">
                  <w:pPr>
                    <w:autoSpaceDE w:val="0"/>
                    <w:autoSpaceDN w:val="0"/>
                    <w:adjustRightInd w:val="0"/>
                    <w:jc w:val="center"/>
                    <w:rPr>
                      <w:rFonts w:hint="default"/>
                      <w:b/>
                      <w:bCs/>
                      <w:color w:val="auto"/>
                      <w:u w:val="single"/>
                      <w:lang w:val="en-US" w:eastAsia="zh-CN"/>
                    </w:rPr>
                  </w:pPr>
                  <w:r>
                    <w:rPr>
                      <w:rFonts w:hint="eastAsia"/>
                      <w:b/>
                      <w:bCs/>
                      <w:color w:val="auto"/>
                      <w:u w:val="single"/>
                      <w:lang w:val="en-US" w:eastAsia="zh-CN"/>
                    </w:rPr>
                    <w:t>6</w:t>
                  </w:r>
                </w:p>
              </w:tc>
              <w:tc>
                <w:tcPr>
                  <w:tcW w:w="669" w:type="dxa"/>
                  <w:vAlign w:val="center"/>
                </w:tcPr>
                <w:p w14:paraId="0AAD29C5">
                  <w:pPr>
                    <w:autoSpaceDE w:val="0"/>
                    <w:autoSpaceDN w:val="0"/>
                    <w:adjustRightInd w:val="0"/>
                    <w:jc w:val="center"/>
                    <w:rPr>
                      <w:rFonts w:hint="default"/>
                      <w:b/>
                      <w:bCs/>
                      <w:color w:val="auto"/>
                      <w:u w:val="single"/>
                      <w:lang w:val="en-US" w:eastAsia="zh-CN"/>
                    </w:rPr>
                  </w:pPr>
                  <w:r>
                    <w:rPr>
                      <w:rFonts w:hint="eastAsia"/>
                      <w:b/>
                      <w:bCs/>
                      <w:color w:val="auto"/>
                      <w:u w:val="single"/>
                      <w:lang w:val="en-US" w:eastAsia="zh-CN"/>
                    </w:rPr>
                    <w:t>65</w:t>
                  </w:r>
                </w:p>
              </w:tc>
            </w:tr>
            <w:tr w14:paraId="5255C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blHeader/>
                <w:jc w:val="center"/>
              </w:trPr>
              <w:tc>
                <w:tcPr>
                  <w:tcW w:w="3866" w:type="dxa"/>
                  <w:vAlign w:val="center"/>
                </w:tcPr>
                <w:p w14:paraId="6E9D08F4">
                  <w:pPr>
                    <w:autoSpaceDE w:val="0"/>
                    <w:autoSpaceDN w:val="0"/>
                    <w:adjustRightInd w:val="0"/>
                    <w:jc w:val="center"/>
                    <w:rPr>
                      <w:rFonts w:hint="eastAsia"/>
                      <w:b/>
                      <w:bCs/>
                      <w:color w:val="auto"/>
                      <w:u w:val="single"/>
                      <w:lang w:val="zh-CN"/>
                    </w:rPr>
                  </w:pPr>
                  <w:r>
                    <w:rPr>
                      <w:rFonts w:hint="eastAsia"/>
                      <w:b/>
                      <w:bCs/>
                      <w:color w:val="auto"/>
                      <w:u w:val="single"/>
                      <w:lang w:val="zh-CN"/>
                    </w:rPr>
                    <w:t>清丰中州水务有限公司第二污水处理厂</w:t>
                  </w:r>
                  <w:r>
                    <w:rPr>
                      <w:rFonts w:hint="eastAsia"/>
                      <w:b/>
                      <w:bCs/>
                      <w:color w:val="auto"/>
                      <w:u w:val="single"/>
                      <w:lang w:val="en-US" w:eastAsia="zh-CN"/>
                    </w:rPr>
                    <w:t>出</w:t>
                  </w:r>
                  <w:r>
                    <w:rPr>
                      <w:rFonts w:hint="eastAsia"/>
                      <w:b/>
                      <w:bCs/>
                      <w:color w:val="auto"/>
                      <w:u w:val="single"/>
                      <w:lang w:val="zh-CN"/>
                    </w:rPr>
                    <w:t>水质标准</w:t>
                  </w:r>
                </w:p>
              </w:tc>
              <w:tc>
                <w:tcPr>
                  <w:tcW w:w="750" w:type="dxa"/>
                  <w:vAlign w:val="center"/>
                </w:tcPr>
                <w:p w14:paraId="553E4F85">
                  <w:pPr>
                    <w:autoSpaceDE w:val="0"/>
                    <w:autoSpaceDN w:val="0"/>
                    <w:adjustRightInd w:val="0"/>
                    <w:jc w:val="center"/>
                    <w:rPr>
                      <w:rFonts w:hint="default"/>
                      <w:b/>
                      <w:bCs/>
                      <w:color w:val="auto"/>
                      <w:u w:val="single"/>
                      <w:lang w:val="en-US" w:eastAsia="zh-CN"/>
                    </w:rPr>
                  </w:pPr>
                  <w:r>
                    <w:rPr>
                      <w:rFonts w:hint="eastAsia"/>
                      <w:b/>
                      <w:bCs/>
                      <w:color w:val="auto"/>
                      <w:u w:val="single"/>
                      <w:lang w:val="en-US" w:eastAsia="zh-CN"/>
                    </w:rPr>
                    <w:t>40</w:t>
                  </w:r>
                </w:p>
              </w:tc>
              <w:tc>
                <w:tcPr>
                  <w:tcW w:w="798" w:type="dxa"/>
                  <w:vAlign w:val="center"/>
                </w:tcPr>
                <w:p w14:paraId="5CF8F89B">
                  <w:pPr>
                    <w:autoSpaceDE w:val="0"/>
                    <w:autoSpaceDN w:val="0"/>
                    <w:adjustRightInd w:val="0"/>
                    <w:jc w:val="center"/>
                    <w:rPr>
                      <w:rFonts w:hint="default"/>
                      <w:b/>
                      <w:bCs/>
                      <w:color w:val="auto"/>
                      <w:u w:val="single"/>
                      <w:lang w:val="en-US" w:eastAsia="zh-CN"/>
                    </w:rPr>
                  </w:pPr>
                  <w:r>
                    <w:rPr>
                      <w:rFonts w:hint="eastAsia"/>
                      <w:b/>
                      <w:bCs/>
                      <w:color w:val="auto"/>
                      <w:u w:val="single"/>
                      <w:lang w:val="en-US" w:eastAsia="zh-CN"/>
                    </w:rPr>
                    <w:t>10</w:t>
                  </w:r>
                </w:p>
              </w:tc>
              <w:tc>
                <w:tcPr>
                  <w:tcW w:w="650" w:type="dxa"/>
                  <w:vAlign w:val="center"/>
                </w:tcPr>
                <w:p w14:paraId="29F2C49F">
                  <w:pPr>
                    <w:autoSpaceDE w:val="0"/>
                    <w:autoSpaceDN w:val="0"/>
                    <w:adjustRightInd w:val="0"/>
                    <w:jc w:val="center"/>
                    <w:rPr>
                      <w:rFonts w:hint="default"/>
                      <w:b/>
                      <w:bCs/>
                      <w:color w:val="auto"/>
                      <w:u w:val="single"/>
                      <w:lang w:val="en-US" w:eastAsia="zh-CN"/>
                    </w:rPr>
                  </w:pPr>
                  <w:r>
                    <w:rPr>
                      <w:rFonts w:hint="eastAsia"/>
                      <w:b/>
                      <w:bCs/>
                      <w:color w:val="auto"/>
                      <w:u w:val="single"/>
                      <w:lang w:val="en-US" w:eastAsia="zh-CN"/>
                    </w:rPr>
                    <w:t>30</w:t>
                  </w:r>
                </w:p>
              </w:tc>
              <w:tc>
                <w:tcPr>
                  <w:tcW w:w="950" w:type="dxa"/>
                  <w:vAlign w:val="center"/>
                </w:tcPr>
                <w:p w14:paraId="3B6056B8">
                  <w:pPr>
                    <w:autoSpaceDE w:val="0"/>
                    <w:autoSpaceDN w:val="0"/>
                    <w:adjustRightInd w:val="0"/>
                    <w:jc w:val="center"/>
                    <w:rPr>
                      <w:rFonts w:hint="default"/>
                      <w:b/>
                      <w:bCs/>
                      <w:color w:val="auto"/>
                      <w:u w:val="single"/>
                      <w:lang w:val="en-US" w:eastAsia="zh-CN"/>
                    </w:rPr>
                  </w:pPr>
                  <w:r>
                    <w:rPr>
                      <w:rFonts w:hint="eastAsia"/>
                      <w:b/>
                      <w:bCs/>
                      <w:color w:val="auto"/>
                      <w:u w:val="single"/>
                      <w:lang w:val="en-US" w:eastAsia="zh-CN"/>
                    </w:rPr>
                    <w:t>2</w:t>
                  </w:r>
                </w:p>
              </w:tc>
              <w:tc>
                <w:tcPr>
                  <w:tcW w:w="700" w:type="dxa"/>
                  <w:vAlign w:val="center"/>
                </w:tcPr>
                <w:p w14:paraId="4C30443C">
                  <w:pPr>
                    <w:autoSpaceDE w:val="0"/>
                    <w:autoSpaceDN w:val="0"/>
                    <w:adjustRightInd w:val="0"/>
                    <w:jc w:val="center"/>
                    <w:rPr>
                      <w:rFonts w:hint="default"/>
                      <w:b/>
                      <w:bCs/>
                      <w:color w:val="auto"/>
                      <w:u w:val="single"/>
                      <w:lang w:val="en-US" w:eastAsia="zh-CN"/>
                    </w:rPr>
                  </w:pPr>
                  <w:r>
                    <w:rPr>
                      <w:rFonts w:hint="eastAsia"/>
                      <w:b/>
                      <w:bCs/>
                      <w:color w:val="auto"/>
                      <w:u w:val="single"/>
                      <w:lang w:val="en-US" w:eastAsia="zh-CN"/>
                    </w:rPr>
                    <w:t>0.5</w:t>
                  </w:r>
                </w:p>
              </w:tc>
              <w:tc>
                <w:tcPr>
                  <w:tcW w:w="669" w:type="dxa"/>
                  <w:vAlign w:val="center"/>
                </w:tcPr>
                <w:p w14:paraId="291CAB2B">
                  <w:pPr>
                    <w:autoSpaceDE w:val="0"/>
                    <w:autoSpaceDN w:val="0"/>
                    <w:adjustRightInd w:val="0"/>
                    <w:jc w:val="center"/>
                    <w:rPr>
                      <w:rFonts w:hint="default"/>
                      <w:b/>
                      <w:bCs/>
                      <w:color w:val="auto"/>
                      <w:u w:val="single"/>
                      <w:lang w:val="en-US" w:eastAsia="zh-CN"/>
                    </w:rPr>
                  </w:pPr>
                  <w:r>
                    <w:rPr>
                      <w:rFonts w:hint="eastAsia"/>
                      <w:b/>
                      <w:bCs/>
                      <w:color w:val="auto"/>
                      <w:u w:val="single"/>
                      <w:lang w:val="en-US" w:eastAsia="zh-CN"/>
                    </w:rPr>
                    <w:t>15</w:t>
                  </w:r>
                </w:p>
              </w:tc>
            </w:tr>
          </w:tbl>
          <w:p w14:paraId="070F6997">
            <w:pPr>
              <w:snapToGrid w:val="0"/>
              <w:spacing w:line="360" w:lineRule="auto"/>
              <w:rPr>
                <w:b/>
                <w:bCs/>
                <w:color w:val="auto"/>
                <w:sz w:val="24"/>
              </w:rPr>
            </w:pPr>
            <w:r>
              <w:rPr>
                <w:rFonts w:hint="eastAsia"/>
                <w:b/>
                <w:bCs/>
                <w:color w:val="auto"/>
                <w:sz w:val="24"/>
              </w:rPr>
              <w:t>3、</w:t>
            </w:r>
            <w:r>
              <w:rPr>
                <w:b/>
                <w:bCs/>
                <w:color w:val="auto"/>
                <w:sz w:val="24"/>
              </w:rPr>
              <w:t>噪声</w:t>
            </w:r>
            <w:bookmarkEnd w:id="96"/>
            <w:bookmarkEnd w:id="97"/>
          </w:p>
          <w:p w14:paraId="2CFABD54">
            <w:pPr>
              <w:pStyle w:val="46"/>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eastAsia" w:ascii="Times New Roman" w:hAnsi="Arial Unicode MS" w:eastAsia="宋体" w:cs="Times New Roman"/>
                <w:b/>
                <w:color w:val="auto"/>
                <w:kern w:val="2"/>
                <w:sz w:val="24"/>
                <w:szCs w:val="24"/>
                <w:lang w:val="en-US" w:eastAsia="zh-CN" w:bidi="ar-SA"/>
              </w:rPr>
            </w:pPr>
            <w:r>
              <w:rPr>
                <w:rFonts w:hint="eastAsia" w:ascii="Times New Roman" w:hAnsi="Arial Unicode MS" w:eastAsia="宋体" w:cs="Times New Roman"/>
                <w:b/>
                <w:color w:val="auto"/>
                <w:kern w:val="2"/>
                <w:sz w:val="24"/>
                <w:szCs w:val="24"/>
                <w:lang w:val="en-US" w:eastAsia="zh-CN" w:bidi="ar-SA"/>
              </w:rPr>
              <w:t>工业企业厂界环境噪声排放标准限值   单位：</w:t>
            </w:r>
            <w:r>
              <w:rPr>
                <w:rFonts w:hint="default" w:ascii="Times New Roman" w:hAnsi="Arial Unicode MS" w:eastAsia="宋体" w:cs="Times New Roman"/>
                <w:b/>
                <w:color w:val="auto"/>
                <w:kern w:val="2"/>
                <w:sz w:val="24"/>
                <w:szCs w:val="24"/>
                <w:lang w:val="en-US" w:eastAsia="zh-CN" w:bidi="ar-SA"/>
              </w:rPr>
              <w:t>dB（A）</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9"/>
              <w:gridCol w:w="3150"/>
              <w:gridCol w:w="3151"/>
            </w:tblGrid>
            <w:tr w14:paraId="5D519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40" w:type="pct"/>
                  <w:vAlign w:val="center"/>
                </w:tcPr>
                <w:p w14:paraId="22DDA2C5">
                  <w:pPr>
                    <w:pStyle w:val="52"/>
                    <w:adjustRightInd/>
                    <w:snapToGrid/>
                    <w:spacing w:before="0" w:after="0" w:line="240" w:lineRule="auto"/>
                    <w:ind w:right="0"/>
                    <w:rPr>
                      <w:color w:val="auto"/>
                      <w:szCs w:val="21"/>
                    </w:rPr>
                  </w:pPr>
                  <w:r>
                    <w:rPr>
                      <w:color w:val="auto"/>
                      <w:szCs w:val="21"/>
                    </w:rPr>
                    <w:t>类别</w:t>
                  </w:r>
                </w:p>
              </w:tc>
              <w:tc>
                <w:tcPr>
                  <w:tcW w:w="1879" w:type="pct"/>
                  <w:vAlign w:val="center"/>
                </w:tcPr>
                <w:p w14:paraId="4A527E19">
                  <w:pPr>
                    <w:pStyle w:val="52"/>
                    <w:adjustRightInd/>
                    <w:snapToGrid/>
                    <w:spacing w:before="0" w:after="0" w:line="240" w:lineRule="auto"/>
                    <w:ind w:right="0"/>
                    <w:rPr>
                      <w:color w:val="auto"/>
                      <w:szCs w:val="21"/>
                    </w:rPr>
                  </w:pPr>
                  <w:r>
                    <w:rPr>
                      <w:color w:val="auto"/>
                      <w:szCs w:val="21"/>
                    </w:rPr>
                    <w:t>昼间</w:t>
                  </w:r>
                </w:p>
              </w:tc>
              <w:tc>
                <w:tcPr>
                  <w:tcW w:w="1879" w:type="pct"/>
                  <w:vAlign w:val="center"/>
                </w:tcPr>
                <w:p w14:paraId="1AB8C3AA">
                  <w:pPr>
                    <w:pStyle w:val="52"/>
                    <w:adjustRightInd/>
                    <w:snapToGrid/>
                    <w:spacing w:before="0" w:after="0" w:line="240" w:lineRule="auto"/>
                    <w:ind w:right="0"/>
                    <w:rPr>
                      <w:rFonts w:hint="eastAsia" w:eastAsia="宋体"/>
                      <w:b/>
                      <w:bCs/>
                      <w:color w:val="auto"/>
                      <w:szCs w:val="21"/>
                      <w:u w:val="single"/>
                      <w:lang w:val="en-US" w:eastAsia="zh-CN"/>
                    </w:rPr>
                  </w:pPr>
                  <w:r>
                    <w:rPr>
                      <w:rFonts w:hint="eastAsia"/>
                      <w:b/>
                      <w:bCs/>
                      <w:color w:val="auto"/>
                      <w:szCs w:val="21"/>
                      <w:u w:val="single"/>
                      <w:lang w:val="en-US" w:eastAsia="zh-CN"/>
                    </w:rPr>
                    <w:t>夜间</w:t>
                  </w:r>
                </w:p>
              </w:tc>
            </w:tr>
            <w:tr w14:paraId="303DC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40" w:type="pct"/>
                  <w:vAlign w:val="center"/>
                </w:tcPr>
                <w:p w14:paraId="31465F95">
                  <w:pPr>
                    <w:pStyle w:val="52"/>
                    <w:adjustRightInd/>
                    <w:snapToGrid/>
                    <w:spacing w:before="0" w:after="0" w:line="240" w:lineRule="auto"/>
                    <w:ind w:right="0"/>
                    <w:rPr>
                      <w:color w:val="auto"/>
                      <w:szCs w:val="21"/>
                    </w:rPr>
                  </w:pPr>
                  <w:r>
                    <w:rPr>
                      <w:rFonts w:hint="eastAsia"/>
                      <w:color w:val="auto"/>
                      <w:szCs w:val="21"/>
                    </w:rPr>
                    <w:t>3类</w:t>
                  </w:r>
                </w:p>
              </w:tc>
              <w:tc>
                <w:tcPr>
                  <w:tcW w:w="1879" w:type="pct"/>
                  <w:vAlign w:val="center"/>
                </w:tcPr>
                <w:p w14:paraId="0BCC3C03">
                  <w:pPr>
                    <w:pStyle w:val="52"/>
                    <w:adjustRightInd/>
                    <w:snapToGrid/>
                    <w:spacing w:before="0" w:after="0" w:line="240" w:lineRule="auto"/>
                    <w:ind w:right="0"/>
                    <w:rPr>
                      <w:color w:val="auto"/>
                      <w:szCs w:val="21"/>
                    </w:rPr>
                  </w:pPr>
                  <w:r>
                    <w:rPr>
                      <w:rFonts w:hint="eastAsia"/>
                      <w:color w:val="auto"/>
                      <w:szCs w:val="21"/>
                    </w:rPr>
                    <w:t>65</w:t>
                  </w:r>
                </w:p>
              </w:tc>
              <w:tc>
                <w:tcPr>
                  <w:tcW w:w="1879" w:type="pct"/>
                  <w:vAlign w:val="center"/>
                </w:tcPr>
                <w:p w14:paraId="02F43D28">
                  <w:pPr>
                    <w:pStyle w:val="52"/>
                    <w:adjustRightInd/>
                    <w:snapToGrid/>
                    <w:spacing w:before="0" w:after="0" w:line="240" w:lineRule="auto"/>
                    <w:ind w:right="0"/>
                    <w:rPr>
                      <w:rFonts w:hint="default" w:eastAsia="宋体"/>
                      <w:b/>
                      <w:bCs/>
                      <w:color w:val="auto"/>
                      <w:szCs w:val="21"/>
                      <w:u w:val="single"/>
                      <w:lang w:val="en-US" w:eastAsia="zh-CN"/>
                    </w:rPr>
                  </w:pPr>
                  <w:r>
                    <w:rPr>
                      <w:rFonts w:hint="eastAsia"/>
                      <w:b/>
                      <w:bCs/>
                      <w:color w:val="auto"/>
                      <w:szCs w:val="21"/>
                      <w:u w:val="single"/>
                      <w:lang w:val="en-US" w:eastAsia="zh-CN"/>
                    </w:rPr>
                    <w:t>55</w:t>
                  </w:r>
                </w:p>
              </w:tc>
            </w:tr>
          </w:tbl>
          <w:p w14:paraId="1721B133">
            <w:pPr>
              <w:snapToGrid w:val="0"/>
              <w:spacing w:line="360" w:lineRule="auto"/>
              <w:rPr>
                <w:b/>
                <w:bCs/>
                <w:color w:val="auto"/>
                <w:sz w:val="24"/>
              </w:rPr>
            </w:pPr>
            <w:bookmarkStart w:id="98" w:name="_Toc16867"/>
            <w:bookmarkStart w:id="99" w:name="_Toc24788"/>
            <w:r>
              <w:rPr>
                <w:rFonts w:hint="eastAsia"/>
                <w:b/>
                <w:bCs/>
                <w:color w:val="auto"/>
                <w:sz w:val="24"/>
              </w:rPr>
              <w:t>4</w:t>
            </w:r>
            <w:r>
              <w:rPr>
                <w:b/>
                <w:bCs/>
                <w:color w:val="auto"/>
                <w:sz w:val="24"/>
              </w:rPr>
              <w:t>、固体废物</w:t>
            </w:r>
            <w:bookmarkEnd w:id="98"/>
            <w:bookmarkEnd w:id="99"/>
          </w:p>
          <w:p w14:paraId="67670B4A">
            <w:pPr>
              <w:spacing w:line="360" w:lineRule="auto"/>
              <w:ind w:firstLine="480" w:firstLineChars="200"/>
              <w:rPr>
                <w:rFonts w:hint="eastAsia" w:ascii="宋体" w:hAnsi="宋体" w:cs="宋体"/>
                <w:color w:val="auto"/>
                <w:kern w:val="0"/>
                <w:szCs w:val="21"/>
              </w:rPr>
            </w:pPr>
            <w:r>
              <w:rPr>
                <w:color w:val="auto"/>
                <w:sz w:val="24"/>
              </w:rPr>
              <w:t>一般工业固体废物</w:t>
            </w:r>
            <w:r>
              <w:rPr>
                <w:rFonts w:hint="eastAsia"/>
                <w:color w:val="auto"/>
                <w:sz w:val="24"/>
              </w:rPr>
              <w:t>参照</w:t>
            </w:r>
            <w:r>
              <w:rPr>
                <w:color w:val="auto"/>
                <w:sz w:val="24"/>
              </w:rPr>
              <w:t>《一般工业固体废物贮存</w:t>
            </w:r>
            <w:r>
              <w:rPr>
                <w:rFonts w:hint="eastAsia"/>
                <w:color w:val="auto"/>
                <w:sz w:val="24"/>
              </w:rPr>
              <w:t>和填埋</w:t>
            </w:r>
            <w:r>
              <w:rPr>
                <w:color w:val="auto"/>
                <w:sz w:val="24"/>
              </w:rPr>
              <w:t>污染控制标准》</w:t>
            </w:r>
            <w:r>
              <w:rPr>
                <w:rFonts w:hint="eastAsia"/>
                <w:color w:val="auto"/>
                <w:sz w:val="24"/>
              </w:rPr>
              <w:t>（</w:t>
            </w:r>
            <w:r>
              <w:rPr>
                <w:color w:val="auto"/>
                <w:sz w:val="24"/>
              </w:rPr>
              <w:t>GB18599-20</w:t>
            </w:r>
            <w:r>
              <w:rPr>
                <w:rFonts w:hint="eastAsia"/>
                <w:color w:val="auto"/>
                <w:sz w:val="24"/>
              </w:rPr>
              <w:t>20）；危险废物执行《</w:t>
            </w:r>
            <w:r>
              <w:rPr>
                <w:color w:val="auto"/>
                <w:sz w:val="24"/>
              </w:rPr>
              <w:t>危险废物贮存污染控制标准》（GB18597-20</w:t>
            </w:r>
            <w:r>
              <w:rPr>
                <w:rFonts w:hint="eastAsia"/>
                <w:color w:val="auto"/>
                <w:sz w:val="24"/>
              </w:rPr>
              <w:t>23</w:t>
            </w:r>
            <w:r>
              <w:rPr>
                <w:color w:val="auto"/>
                <w:sz w:val="24"/>
              </w:rPr>
              <w:t>）</w:t>
            </w:r>
            <w:r>
              <w:rPr>
                <w:rFonts w:hint="eastAsia"/>
                <w:color w:val="auto"/>
                <w:sz w:val="24"/>
              </w:rPr>
              <w:t>。</w:t>
            </w:r>
          </w:p>
        </w:tc>
      </w:tr>
      <w:tr w14:paraId="6677BD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2" w:type="dxa"/>
            <w:vAlign w:val="center"/>
          </w:tcPr>
          <w:p w14:paraId="7B268470">
            <w:pPr>
              <w:adjustRightInd w:val="0"/>
              <w:snapToGrid w:val="0"/>
              <w:jc w:val="center"/>
              <w:rPr>
                <w:rFonts w:hint="eastAsia" w:ascii="宋体" w:hAnsi="宋体" w:cs="宋体"/>
                <w:b/>
                <w:bCs/>
                <w:color w:val="auto"/>
                <w:kern w:val="0"/>
                <w:sz w:val="24"/>
              </w:rPr>
            </w:pPr>
            <w:r>
              <w:rPr>
                <w:rFonts w:hint="eastAsia" w:ascii="宋体" w:hAnsi="宋体" w:cs="宋体"/>
                <w:b/>
                <w:bCs/>
                <w:color w:val="auto"/>
                <w:kern w:val="0"/>
                <w:sz w:val="24"/>
              </w:rPr>
              <w:t>总量</w:t>
            </w:r>
          </w:p>
          <w:p w14:paraId="010076A7">
            <w:pPr>
              <w:adjustRightInd w:val="0"/>
              <w:snapToGrid w:val="0"/>
              <w:jc w:val="center"/>
              <w:rPr>
                <w:rFonts w:hint="eastAsia" w:ascii="宋体" w:hAnsi="宋体" w:cs="宋体"/>
                <w:b/>
                <w:bCs/>
                <w:color w:val="auto"/>
                <w:kern w:val="0"/>
                <w:sz w:val="24"/>
              </w:rPr>
            </w:pPr>
            <w:r>
              <w:rPr>
                <w:rFonts w:hint="eastAsia" w:ascii="宋体" w:hAnsi="宋体" w:cs="宋体"/>
                <w:b/>
                <w:bCs/>
                <w:color w:val="auto"/>
                <w:kern w:val="0"/>
                <w:sz w:val="24"/>
              </w:rPr>
              <w:t>控制</w:t>
            </w:r>
          </w:p>
          <w:p w14:paraId="266F2638">
            <w:pPr>
              <w:adjustRightInd w:val="0"/>
              <w:snapToGrid w:val="0"/>
              <w:jc w:val="center"/>
              <w:rPr>
                <w:rFonts w:ascii="宋体" w:hAnsi="宋体" w:cs="宋体"/>
                <w:color w:val="auto"/>
                <w:kern w:val="0"/>
                <w:sz w:val="24"/>
              </w:rPr>
            </w:pPr>
            <w:r>
              <w:rPr>
                <w:rFonts w:hint="eastAsia" w:ascii="宋体" w:hAnsi="宋体" w:cs="宋体"/>
                <w:b/>
                <w:bCs/>
                <w:color w:val="auto"/>
                <w:kern w:val="0"/>
                <w:sz w:val="24"/>
              </w:rPr>
              <w:t>指标</w:t>
            </w:r>
          </w:p>
        </w:tc>
        <w:tc>
          <w:tcPr>
            <w:tcW w:w="8609" w:type="dxa"/>
            <w:vAlign w:val="center"/>
          </w:tcPr>
          <w:p w14:paraId="65EAB445">
            <w:pPr>
              <w:snapToGrid w:val="0"/>
              <w:spacing w:line="360" w:lineRule="auto"/>
              <w:ind w:firstLine="482" w:firstLineChars="200"/>
              <w:jc w:val="left"/>
              <w:rPr>
                <w:rFonts w:hint="eastAsia" w:eastAsia="宋体"/>
                <w:b/>
                <w:bCs/>
                <w:color w:val="auto"/>
                <w:highlight w:val="yellow"/>
                <w:u w:val="single"/>
                <w:lang w:val="en-US" w:eastAsia="zh-CN"/>
              </w:rPr>
            </w:pPr>
            <w:r>
              <w:rPr>
                <w:rFonts w:hint="eastAsia" w:ascii="Times New Roman" w:hAnsi="Times New Roman" w:cs="Times New Roman"/>
                <w:b/>
                <w:bCs/>
                <w:color w:val="auto"/>
                <w:sz w:val="24"/>
                <w:u w:val="single"/>
                <w:lang w:val="en-US" w:eastAsia="zh-CN"/>
              </w:rPr>
              <w:t>本项目一车间木</w:t>
            </w:r>
            <w:r>
              <w:rPr>
                <w:rFonts w:hint="eastAsia" w:cs="Times New Roman"/>
                <w:b/>
                <w:bCs/>
                <w:color w:val="auto"/>
                <w:sz w:val="24"/>
                <w:u w:val="single"/>
                <w:lang w:val="en-US" w:eastAsia="zh-CN"/>
              </w:rPr>
              <w:t>加</w:t>
            </w:r>
            <w:r>
              <w:rPr>
                <w:rFonts w:hint="eastAsia" w:ascii="Times New Roman" w:hAnsi="Times New Roman" w:cs="Times New Roman"/>
                <w:b/>
                <w:bCs/>
                <w:color w:val="auto"/>
                <w:sz w:val="24"/>
                <w:u w:val="single"/>
                <w:lang w:val="en-US" w:eastAsia="zh-CN"/>
              </w:rPr>
              <w:t>工、砂光、打磨粉尘收集后通过1套</w:t>
            </w:r>
            <w:r>
              <w:rPr>
                <w:rFonts w:hint="eastAsia" w:cs="Times New Roman"/>
                <w:b/>
                <w:bCs/>
                <w:color w:val="auto"/>
                <w:sz w:val="24"/>
                <w:u w:val="single"/>
                <w:lang w:val="en-US" w:eastAsia="zh-CN"/>
              </w:rPr>
              <w:t>中央除尘器</w:t>
            </w:r>
            <w:r>
              <w:rPr>
                <w:rFonts w:hint="eastAsia" w:ascii="Times New Roman" w:hAnsi="Times New Roman" w:cs="Times New Roman"/>
                <w:b/>
                <w:bCs/>
                <w:color w:val="auto"/>
                <w:sz w:val="24"/>
                <w:u w:val="single"/>
                <w:lang w:val="en-US" w:eastAsia="zh-CN"/>
              </w:rPr>
              <w:t>，然后通过1根15m排气筒（DA001）排放；二车间砂光粉尘收集后通过1套</w:t>
            </w:r>
            <w:r>
              <w:rPr>
                <w:rFonts w:hint="eastAsia" w:cs="Times New Roman"/>
                <w:b/>
                <w:bCs/>
                <w:color w:val="auto"/>
                <w:sz w:val="24"/>
                <w:u w:val="single"/>
                <w:lang w:val="en-US" w:eastAsia="zh-CN"/>
              </w:rPr>
              <w:t>中央除尘器</w:t>
            </w:r>
            <w:r>
              <w:rPr>
                <w:rFonts w:hint="eastAsia" w:ascii="Times New Roman" w:hAnsi="Times New Roman" w:cs="Times New Roman"/>
                <w:b/>
                <w:bCs/>
                <w:color w:val="auto"/>
                <w:sz w:val="24"/>
                <w:u w:val="single"/>
                <w:lang w:val="en-US" w:eastAsia="zh-CN"/>
              </w:rPr>
              <w:t>处理，然后通过1根15m排气筒（DA002）排放；三车间</w:t>
            </w:r>
            <w:r>
              <w:rPr>
                <w:rFonts w:hint="eastAsia" w:cs="Times New Roman"/>
                <w:b/>
                <w:bCs/>
                <w:color w:val="auto"/>
                <w:sz w:val="24"/>
                <w:u w:val="single"/>
                <w:lang w:val="en-US" w:eastAsia="zh-CN"/>
              </w:rPr>
              <w:t>木加工、</w:t>
            </w:r>
            <w:r>
              <w:rPr>
                <w:rFonts w:hint="eastAsia" w:ascii="Times New Roman" w:hAnsi="Times New Roman" w:cs="Times New Roman"/>
                <w:b/>
                <w:bCs/>
                <w:color w:val="auto"/>
                <w:sz w:val="24"/>
                <w:u w:val="single"/>
                <w:lang w:val="en-US" w:eastAsia="zh-CN"/>
              </w:rPr>
              <w:t>砂光粉尘收集后通过1套</w:t>
            </w:r>
            <w:r>
              <w:rPr>
                <w:rFonts w:hint="eastAsia" w:cs="Times New Roman"/>
                <w:b/>
                <w:bCs/>
                <w:color w:val="auto"/>
                <w:sz w:val="24"/>
                <w:u w:val="single"/>
                <w:lang w:val="en-US" w:eastAsia="zh-CN"/>
              </w:rPr>
              <w:t>中央除尘器</w:t>
            </w:r>
            <w:r>
              <w:rPr>
                <w:rFonts w:hint="eastAsia" w:ascii="Times New Roman" w:hAnsi="Times New Roman" w:cs="Times New Roman"/>
                <w:b/>
                <w:bCs/>
                <w:color w:val="auto"/>
                <w:sz w:val="24"/>
                <w:u w:val="single"/>
                <w:lang w:val="en-US" w:eastAsia="zh-CN"/>
              </w:rPr>
              <w:t>处理，然后通过1根15m排气筒（DA003）排放；一车间</w:t>
            </w:r>
            <w:r>
              <w:rPr>
                <w:rFonts w:hint="eastAsia" w:cs="Times New Roman"/>
                <w:b/>
                <w:bCs/>
                <w:color w:val="auto"/>
                <w:sz w:val="24"/>
                <w:u w:val="single"/>
                <w:lang w:val="en-US" w:eastAsia="zh-CN"/>
              </w:rPr>
              <w:t>油墨粉尘经干式打磨柜处理后，无组织排放于车间内；项目拼版冷压、贴皮热压、封边、调漆</w:t>
            </w:r>
            <w:r>
              <w:rPr>
                <w:rFonts w:hint="eastAsia" w:ascii="Times New Roman" w:hAnsi="Times New Roman" w:cs="Times New Roman"/>
                <w:b/>
                <w:bCs/>
                <w:color w:val="auto"/>
                <w:sz w:val="24"/>
                <w:u w:val="single"/>
                <w:lang w:val="en-US" w:eastAsia="zh-CN"/>
              </w:rPr>
              <w:t>、喷漆（经过滤棉预处理）、UV油漆辊涂</w:t>
            </w:r>
            <w:r>
              <w:rPr>
                <w:rFonts w:hint="eastAsia" w:cs="Times New Roman"/>
                <w:b/>
                <w:bCs/>
                <w:color w:val="auto"/>
                <w:sz w:val="24"/>
                <w:u w:val="single"/>
                <w:lang w:val="en-US" w:eastAsia="zh-CN"/>
              </w:rPr>
              <w:t>、晾干、修色</w:t>
            </w:r>
            <w:r>
              <w:rPr>
                <w:rFonts w:hint="eastAsia" w:ascii="Times New Roman" w:hAnsi="Times New Roman" w:cs="Times New Roman"/>
                <w:b/>
                <w:bCs/>
                <w:color w:val="auto"/>
                <w:sz w:val="24"/>
                <w:u w:val="single"/>
                <w:lang w:val="en-US" w:eastAsia="zh-CN"/>
              </w:rPr>
              <w:t>产生的有机废气</w:t>
            </w:r>
            <w:r>
              <w:rPr>
                <w:rFonts w:hint="eastAsia" w:cs="Times New Roman"/>
                <w:b/>
                <w:bCs/>
                <w:color w:val="auto"/>
                <w:sz w:val="24"/>
                <w:u w:val="single"/>
                <w:lang w:val="en-US" w:eastAsia="zh-CN"/>
              </w:rPr>
              <w:t>以及危废暂存废气</w:t>
            </w:r>
            <w:r>
              <w:rPr>
                <w:rFonts w:hint="eastAsia" w:ascii="Times New Roman" w:hAnsi="Times New Roman" w:cs="Times New Roman"/>
                <w:b/>
                <w:bCs/>
                <w:color w:val="auto"/>
                <w:sz w:val="24"/>
                <w:u w:val="single"/>
                <w:lang w:val="en-US" w:eastAsia="zh-CN"/>
              </w:rPr>
              <w:t>通过各车间管道收集后，统一进入1套“活性炭吸附、脱附+催化燃烧”装置处理，然后通过1根15m排气筒（DA00</w:t>
            </w:r>
            <w:r>
              <w:rPr>
                <w:rFonts w:hint="eastAsia" w:cs="Times New Roman"/>
                <w:b/>
                <w:bCs/>
                <w:color w:val="auto"/>
                <w:sz w:val="24"/>
                <w:u w:val="single"/>
                <w:lang w:val="en-US" w:eastAsia="zh-CN"/>
              </w:rPr>
              <w:t>4</w:t>
            </w:r>
            <w:r>
              <w:rPr>
                <w:rFonts w:hint="eastAsia" w:ascii="Times New Roman" w:hAnsi="Times New Roman" w:cs="Times New Roman"/>
                <w:b/>
                <w:bCs/>
                <w:color w:val="auto"/>
                <w:sz w:val="24"/>
                <w:u w:val="single"/>
                <w:lang w:val="en-US" w:eastAsia="zh-CN"/>
              </w:rPr>
              <w:t>）排放</w:t>
            </w:r>
            <w:r>
              <w:rPr>
                <w:rFonts w:hint="eastAsia" w:ascii="Times New Roman" w:hAnsi="Times New Roman" w:cs="Times New Roman"/>
                <w:b/>
                <w:bCs/>
                <w:color w:val="auto"/>
                <w:sz w:val="24"/>
                <w:highlight w:val="none"/>
                <w:u w:val="single"/>
                <w:lang w:val="en-US" w:eastAsia="zh-CN"/>
              </w:rPr>
              <w:t>。</w:t>
            </w:r>
          </w:p>
          <w:p w14:paraId="221D3CE2">
            <w:pPr>
              <w:snapToGrid w:val="0"/>
              <w:spacing w:line="360" w:lineRule="auto"/>
              <w:ind w:firstLine="480" w:firstLineChars="200"/>
              <w:jc w:val="left"/>
              <w:rPr>
                <w:color w:val="auto"/>
                <w:sz w:val="24"/>
              </w:rPr>
            </w:pPr>
            <w:r>
              <w:rPr>
                <w:color w:val="auto"/>
                <w:sz w:val="24"/>
              </w:rPr>
              <w:t>本项目</w:t>
            </w:r>
            <w:r>
              <w:rPr>
                <w:rFonts w:hint="eastAsia"/>
                <w:color w:val="auto"/>
                <w:sz w:val="24"/>
                <w:lang w:val="en-US" w:eastAsia="zh-CN"/>
              </w:rPr>
              <w:t>制备废水和</w:t>
            </w:r>
            <w:r>
              <w:rPr>
                <w:rFonts w:hint="eastAsia"/>
                <w:color w:val="auto"/>
                <w:sz w:val="24"/>
              </w:rPr>
              <w:t>生活污水</w:t>
            </w:r>
            <w:r>
              <w:rPr>
                <w:rFonts w:hint="eastAsia"/>
                <w:color w:val="auto"/>
                <w:sz w:val="24"/>
                <w:lang w:val="en-US" w:eastAsia="zh-CN"/>
              </w:rPr>
              <w:t>一起</w:t>
            </w:r>
            <w:r>
              <w:rPr>
                <w:color w:val="auto"/>
                <w:sz w:val="24"/>
              </w:rPr>
              <w:t>经厂区</w:t>
            </w:r>
            <w:r>
              <w:rPr>
                <w:rFonts w:hint="eastAsia"/>
                <w:color w:val="auto"/>
                <w:sz w:val="24"/>
                <w:lang w:val="en-US" w:eastAsia="zh-CN"/>
              </w:rPr>
              <w:t>自建</w:t>
            </w:r>
            <w:r>
              <w:rPr>
                <w:color w:val="auto"/>
                <w:sz w:val="24"/>
              </w:rPr>
              <w:t>化粪池预处理后，排入清丰中州水务有限公司第二污水处理厂</w:t>
            </w:r>
            <w:r>
              <w:rPr>
                <w:rFonts w:hint="eastAsia"/>
                <w:color w:val="auto"/>
                <w:sz w:val="24"/>
              </w:rPr>
              <w:t>进行深度处理，处理后排入潴龙河</w:t>
            </w:r>
            <w:r>
              <w:rPr>
                <w:color w:val="auto"/>
                <w:sz w:val="24"/>
              </w:rPr>
              <w:t>。</w:t>
            </w:r>
          </w:p>
          <w:p w14:paraId="23A1DF89">
            <w:pPr>
              <w:snapToGrid w:val="0"/>
              <w:spacing w:line="360" w:lineRule="auto"/>
              <w:ind w:firstLine="480" w:firstLineChars="200"/>
              <w:jc w:val="left"/>
              <w:rPr>
                <w:color w:val="auto"/>
                <w:sz w:val="24"/>
              </w:rPr>
            </w:pPr>
            <w:r>
              <w:rPr>
                <w:color w:val="auto"/>
                <w:sz w:val="24"/>
              </w:rPr>
              <w:t>废水排水量：</w:t>
            </w:r>
            <w:r>
              <w:rPr>
                <w:rFonts w:hint="eastAsia"/>
                <w:color w:val="auto"/>
                <w:sz w:val="24"/>
              </w:rPr>
              <w:t>880</w:t>
            </w:r>
            <w:r>
              <w:rPr>
                <w:color w:val="auto"/>
                <w:sz w:val="24"/>
              </w:rPr>
              <w:t>m</w:t>
            </w:r>
            <w:r>
              <w:rPr>
                <w:color w:val="auto"/>
                <w:sz w:val="24"/>
                <w:vertAlign w:val="superscript"/>
              </w:rPr>
              <w:t>3</w:t>
            </w:r>
            <w:r>
              <w:rPr>
                <w:color w:val="auto"/>
                <w:sz w:val="24"/>
              </w:rPr>
              <w:t>/a；</w:t>
            </w:r>
          </w:p>
          <w:p w14:paraId="6E216B10">
            <w:pPr>
              <w:snapToGrid w:val="0"/>
              <w:spacing w:line="360" w:lineRule="auto"/>
              <w:ind w:firstLine="480" w:firstLineChars="200"/>
              <w:jc w:val="left"/>
              <w:rPr>
                <w:color w:val="auto"/>
                <w:sz w:val="24"/>
              </w:rPr>
            </w:pPr>
            <w:r>
              <w:rPr>
                <w:color w:val="auto"/>
                <w:sz w:val="24"/>
              </w:rPr>
              <w:t>厂区预处理后：</w:t>
            </w:r>
            <w:r>
              <w:rPr>
                <w:color w:val="auto"/>
                <w:sz w:val="24"/>
                <w:lang w:val="fr-FR"/>
              </w:rPr>
              <w:t>COD：</w:t>
            </w:r>
            <w:r>
              <w:rPr>
                <w:color w:val="auto"/>
                <w:sz w:val="24"/>
              </w:rPr>
              <w:t>0.</w:t>
            </w:r>
            <w:r>
              <w:rPr>
                <w:rFonts w:hint="eastAsia"/>
                <w:color w:val="auto"/>
                <w:sz w:val="24"/>
              </w:rPr>
              <w:t>2244</w:t>
            </w:r>
            <w:r>
              <w:rPr>
                <w:color w:val="auto"/>
                <w:sz w:val="24"/>
                <w:lang w:val="fr-FR"/>
              </w:rPr>
              <w:t>t/a</w:t>
            </w:r>
            <w:r>
              <w:rPr>
                <w:color w:val="auto"/>
                <w:sz w:val="24"/>
              </w:rPr>
              <w:t>、</w:t>
            </w:r>
            <w:r>
              <w:rPr>
                <w:color w:val="auto"/>
                <w:sz w:val="24"/>
                <w:lang w:val="fr-FR"/>
              </w:rPr>
              <w:t>NH</w:t>
            </w:r>
            <w:r>
              <w:rPr>
                <w:color w:val="auto"/>
                <w:sz w:val="24"/>
                <w:vertAlign w:val="subscript"/>
                <w:lang w:val="fr-FR"/>
              </w:rPr>
              <w:t>3</w:t>
            </w:r>
            <w:r>
              <w:rPr>
                <w:color w:val="auto"/>
                <w:sz w:val="24"/>
                <w:lang w:val="fr-FR"/>
              </w:rPr>
              <w:t>-N：</w:t>
            </w:r>
            <w:r>
              <w:rPr>
                <w:color w:val="auto"/>
                <w:sz w:val="24"/>
              </w:rPr>
              <w:t>0.0</w:t>
            </w:r>
            <w:r>
              <w:rPr>
                <w:rFonts w:hint="eastAsia"/>
                <w:color w:val="auto"/>
                <w:sz w:val="24"/>
              </w:rPr>
              <w:t>256</w:t>
            </w:r>
            <w:r>
              <w:rPr>
                <w:color w:val="auto"/>
                <w:sz w:val="24"/>
                <w:lang w:val="fr-FR"/>
              </w:rPr>
              <w:t>t/a；</w:t>
            </w:r>
          </w:p>
          <w:p w14:paraId="67778793">
            <w:pPr>
              <w:snapToGrid w:val="0"/>
              <w:spacing w:line="360" w:lineRule="auto"/>
              <w:ind w:firstLine="480" w:firstLineChars="200"/>
              <w:jc w:val="left"/>
              <w:rPr>
                <w:rFonts w:hint="eastAsia"/>
                <w:color w:val="auto"/>
                <w:sz w:val="24"/>
                <w:lang w:val="fr-FR"/>
              </w:rPr>
            </w:pPr>
            <w:r>
              <w:rPr>
                <w:color w:val="auto"/>
                <w:sz w:val="24"/>
              </w:rPr>
              <w:t>污水处理厂处理后：</w:t>
            </w:r>
            <w:r>
              <w:rPr>
                <w:color w:val="auto"/>
                <w:sz w:val="24"/>
                <w:lang w:val="fr-FR"/>
              </w:rPr>
              <w:t>COD：</w:t>
            </w:r>
            <w:r>
              <w:rPr>
                <w:rFonts w:hint="eastAsia"/>
                <w:color w:val="auto"/>
                <w:sz w:val="24"/>
              </w:rPr>
              <w:t>0.0352</w:t>
            </w:r>
            <w:r>
              <w:rPr>
                <w:color w:val="auto"/>
                <w:sz w:val="24"/>
                <w:lang w:val="fr-FR"/>
              </w:rPr>
              <w:t>t/a</w:t>
            </w:r>
            <w:r>
              <w:rPr>
                <w:color w:val="auto"/>
                <w:sz w:val="24"/>
              </w:rPr>
              <w:t>、</w:t>
            </w:r>
            <w:r>
              <w:rPr>
                <w:color w:val="auto"/>
                <w:sz w:val="24"/>
                <w:lang w:val="fr-FR"/>
              </w:rPr>
              <w:t>NH</w:t>
            </w:r>
            <w:r>
              <w:rPr>
                <w:color w:val="auto"/>
                <w:sz w:val="24"/>
                <w:vertAlign w:val="subscript"/>
                <w:lang w:val="fr-FR"/>
              </w:rPr>
              <w:t>3</w:t>
            </w:r>
            <w:r>
              <w:rPr>
                <w:color w:val="auto"/>
                <w:sz w:val="24"/>
                <w:lang w:val="fr-FR"/>
              </w:rPr>
              <w:t>-N：</w:t>
            </w:r>
            <w:r>
              <w:rPr>
                <w:color w:val="auto"/>
                <w:sz w:val="24"/>
              </w:rPr>
              <w:t>0.0</w:t>
            </w:r>
            <w:r>
              <w:rPr>
                <w:rFonts w:hint="eastAsia"/>
                <w:color w:val="auto"/>
                <w:sz w:val="24"/>
              </w:rPr>
              <w:t>0</w:t>
            </w:r>
            <w:r>
              <w:rPr>
                <w:rFonts w:hint="eastAsia"/>
                <w:color w:val="auto"/>
                <w:sz w:val="24"/>
                <w:lang w:val="en-US" w:eastAsia="zh-CN"/>
              </w:rPr>
              <w:t>18</w:t>
            </w:r>
            <w:r>
              <w:rPr>
                <w:color w:val="auto"/>
                <w:sz w:val="24"/>
                <w:lang w:val="fr-FR"/>
              </w:rPr>
              <w:t>t/a</w:t>
            </w:r>
            <w:r>
              <w:rPr>
                <w:rFonts w:hint="eastAsia"/>
                <w:color w:val="auto"/>
                <w:sz w:val="24"/>
                <w:lang w:val="fr-FR"/>
              </w:rPr>
              <w:t>。</w:t>
            </w:r>
          </w:p>
          <w:p w14:paraId="6EC03C39">
            <w:pPr>
              <w:spacing w:line="360" w:lineRule="auto"/>
              <w:ind w:firstLine="480" w:firstLineChars="200"/>
              <w:rPr>
                <w:rFonts w:hint="eastAsia"/>
                <w:color w:val="auto"/>
                <w:sz w:val="24"/>
                <w:highlight w:val="none"/>
              </w:rPr>
            </w:pPr>
            <w:r>
              <w:rPr>
                <w:rFonts w:hint="eastAsia"/>
                <w:color w:val="auto"/>
                <w:sz w:val="24"/>
                <w:highlight w:val="none"/>
              </w:rPr>
              <w:t>废气排放量：颗粒物：</w:t>
            </w:r>
            <w:r>
              <w:rPr>
                <w:rFonts w:hint="eastAsia"/>
                <w:b/>
                <w:bCs/>
                <w:color w:val="auto"/>
                <w:sz w:val="24"/>
                <w:highlight w:val="none"/>
                <w:u w:val="single"/>
                <w:lang w:val="en-US" w:eastAsia="zh-CN"/>
              </w:rPr>
              <w:t>0.7555</w:t>
            </w:r>
            <w:r>
              <w:rPr>
                <w:color w:val="auto"/>
                <w:sz w:val="24"/>
                <w:highlight w:val="none"/>
                <w:lang w:val="fr-FR"/>
              </w:rPr>
              <w:t>t/a</w:t>
            </w:r>
            <w:r>
              <w:rPr>
                <w:color w:val="auto"/>
                <w:sz w:val="24"/>
                <w:highlight w:val="none"/>
              </w:rPr>
              <w:t>、VOCs</w:t>
            </w:r>
            <w:r>
              <w:rPr>
                <w:rFonts w:hint="eastAsia"/>
                <w:color w:val="auto"/>
                <w:sz w:val="24"/>
                <w:highlight w:val="none"/>
              </w:rPr>
              <w:t>：</w:t>
            </w:r>
            <w:r>
              <w:rPr>
                <w:rFonts w:hint="eastAsia"/>
                <w:b/>
                <w:bCs/>
                <w:color w:val="auto"/>
                <w:sz w:val="24"/>
                <w:highlight w:val="none"/>
                <w:u w:val="single"/>
                <w:lang w:val="en-US" w:eastAsia="zh-CN"/>
              </w:rPr>
              <w:t>1.7094</w:t>
            </w:r>
            <w:r>
              <w:rPr>
                <w:color w:val="auto"/>
                <w:sz w:val="24"/>
                <w:highlight w:val="none"/>
              </w:rPr>
              <w:t>t/a</w:t>
            </w:r>
            <w:r>
              <w:rPr>
                <w:rFonts w:hint="eastAsia"/>
                <w:color w:val="auto"/>
                <w:sz w:val="24"/>
                <w:highlight w:val="none"/>
              </w:rPr>
              <w:t>。</w:t>
            </w:r>
          </w:p>
          <w:p w14:paraId="6C8DA260">
            <w:pPr>
              <w:spacing w:line="360" w:lineRule="auto"/>
              <w:ind w:firstLine="480" w:firstLineChars="200"/>
              <w:rPr>
                <w:rFonts w:hint="eastAsia"/>
                <w:color w:val="auto"/>
                <w:sz w:val="24"/>
              </w:rPr>
            </w:pPr>
            <w:r>
              <w:rPr>
                <w:color w:val="auto"/>
                <w:sz w:val="24"/>
              </w:rPr>
              <w:t>建议总量指标为：</w:t>
            </w:r>
            <w:r>
              <w:rPr>
                <w:color w:val="auto"/>
                <w:sz w:val="24"/>
                <w:lang w:val="fr-FR"/>
              </w:rPr>
              <w:t>COD：</w:t>
            </w:r>
            <w:r>
              <w:rPr>
                <w:rFonts w:hint="eastAsia"/>
                <w:color w:val="auto"/>
                <w:sz w:val="24"/>
              </w:rPr>
              <w:t>0.0352</w:t>
            </w:r>
            <w:r>
              <w:rPr>
                <w:color w:val="auto"/>
                <w:sz w:val="24"/>
                <w:lang w:val="fr-FR"/>
              </w:rPr>
              <w:t>t/a</w:t>
            </w:r>
            <w:r>
              <w:rPr>
                <w:color w:val="auto"/>
                <w:sz w:val="24"/>
              </w:rPr>
              <w:t>、</w:t>
            </w:r>
            <w:r>
              <w:rPr>
                <w:color w:val="auto"/>
                <w:sz w:val="24"/>
                <w:lang w:val="fr-FR"/>
              </w:rPr>
              <w:t>NH</w:t>
            </w:r>
            <w:r>
              <w:rPr>
                <w:color w:val="auto"/>
                <w:sz w:val="24"/>
                <w:vertAlign w:val="subscript"/>
                <w:lang w:val="fr-FR"/>
              </w:rPr>
              <w:t>3</w:t>
            </w:r>
            <w:r>
              <w:rPr>
                <w:color w:val="auto"/>
                <w:sz w:val="24"/>
                <w:lang w:val="fr-FR"/>
              </w:rPr>
              <w:t>-N：</w:t>
            </w:r>
            <w:r>
              <w:rPr>
                <w:color w:val="auto"/>
                <w:sz w:val="24"/>
              </w:rPr>
              <w:t>0.0</w:t>
            </w:r>
            <w:r>
              <w:rPr>
                <w:rFonts w:hint="eastAsia"/>
                <w:color w:val="auto"/>
                <w:sz w:val="24"/>
              </w:rPr>
              <w:t>0</w:t>
            </w:r>
            <w:r>
              <w:rPr>
                <w:rFonts w:hint="eastAsia"/>
                <w:color w:val="auto"/>
                <w:sz w:val="24"/>
                <w:lang w:val="en-US" w:eastAsia="zh-CN"/>
              </w:rPr>
              <w:t>18</w:t>
            </w:r>
            <w:r>
              <w:rPr>
                <w:color w:val="auto"/>
                <w:sz w:val="24"/>
                <w:lang w:val="fr-FR"/>
              </w:rPr>
              <w:t>t/a</w:t>
            </w:r>
            <w:r>
              <w:rPr>
                <w:rFonts w:hint="eastAsia"/>
                <w:color w:val="auto"/>
                <w:sz w:val="24"/>
                <w:lang w:val="fr-FR"/>
              </w:rPr>
              <w:t>、</w:t>
            </w:r>
            <w:r>
              <w:rPr>
                <w:color w:val="auto"/>
                <w:sz w:val="24"/>
                <w:highlight w:val="none"/>
              </w:rPr>
              <w:t>VOCs</w:t>
            </w:r>
            <w:r>
              <w:rPr>
                <w:rFonts w:hint="eastAsia"/>
                <w:color w:val="auto"/>
                <w:sz w:val="24"/>
                <w:highlight w:val="none"/>
              </w:rPr>
              <w:t>：</w:t>
            </w:r>
            <w:r>
              <w:rPr>
                <w:rFonts w:hint="eastAsia"/>
                <w:b/>
                <w:bCs/>
                <w:color w:val="auto"/>
                <w:sz w:val="24"/>
                <w:highlight w:val="none"/>
                <w:u w:val="single"/>
                <w:lang w:val="en-US" w:eastAsia="zh-CN"/>
              </w:rPr>
              <w:t>1.7094</w:t>
            </w:r>
            <w:r>
              <w:rPr>
                <w:color w:val="auto"/>
                <w:sz w:val="24"/>
                <w:highlight w:val="none"/>
              </w:rPr>
              <w:t>t/a</w:t>
            </w:r>
            <w:r>
              <w:rPr>
                <w:rFonts w:hint="eastAsia"/>
                <w:color w:val="auto"/>
                <w:sz w:val="24"/>
                <w:highlight w:val="none"/>
              </w:rPr>
              <w:t>。</w:t>
            </w:r>
          </w:p>
          <w:p w14:paraId="6D716C80">
            <w:pPr>
              <w:spacing w:line="360" w:lineRule="auto"/>
              <w:ind w:firstLine="480" w:firstLineChars="200"/>
              <w:rPr>
                <w:rFonts w:hint="eastAsia"/>
                <w:color w:val="auto"/>
                <w:sz w:val="24"/>
                <w:highlight w:val="yellow"/>
              </w:rPr>
            </w:pPr>
          </w:p>
          <w:p w14:paraId="2D053C72">
            <w:pPr>
              <w:pStyle w:val="32"/>
              <w:rPr>
                <w:rFonts w:hint="eastAsia"/>
                <w:color w:val="auto"/>
                <w:sz w:val="24"/>
                <w:highlight w:val="yellow"/>
              </w:rPr>
            </w:pPr>
          </w:p>
          <w:p w14:paraId="7813EE22">
            <w:pPr>
              <w:rPr>
                <w:rFonts w:hint="eastAsia"/>
                <w:color w:val="auto"/>
                <w:sz w:val="24"/>
                <w:highlight w:val="yellow"/>
              </w:rPr>
            </w:pPr>
          </w:p>
          <w:p w14:paraId="168171AB">
            <w:pPr>
              <w:pStyle w:val="32"/>
              <w:rPr>
                <w:rFonts w:hint="eastAsia"/>
                <w:color w:val="auto"/>
                <w:sz w:val="24"/>
                <w:highlight w:val="yellow"/>
              </w:rPr>
            </w:pPr>
          </w:p>
          <w:p w14:paraId="57C25C99">
            <w:pPr>
              <w:rPr>
                <w:rFonts w:hint="eastAsia"/>
                <w:color w:val="auto"/>
                <w:sz w:val="24"/>
                <w:highlight w:val="yellow"/>
              </w:rPr>
            </w:pPr>
          </w:p>
          <w:p w14:paraId="3A0B03CD">
            <w:pPr>
              <w:pStyle w:val="32"/>
              <w:rPr>
                <w:rFonts w:hint="eastAsia"/>
                <w:color w:val="auto"/>
                <w:sz w:val="24"/>
                <w:highlight w:val="yellow"/>
              </w:rPr>
            </w:pPr>
          </w:p>
          <w:p w14:paraId="367B857C">
            <w:pPr>
              <w:rPr>
                <w:rFonts w:hint="eastAsia"/>
                <w:color w:val="auto"/>
                <w:sz w:val="24"/>
                <w:highlight w:val="yellow"/>
              </w:rPr>
            </w:pPr>
          </w:p>
          <w:p w14:paraId="69F7AE91">
            <w:pPr>
              <w:pStyle w:val="32"/>
              <w:rPr>
                <w:rFonts w:hint="eastAsia"/>
                <w:color w:val="auto"/>
                <w:sz w:val="24"/>
                <w:highlight w:val="yellow"/>
              </w:rPr>
            </w:pPr>
          </w:p>
          <w:p w14:paraId="43F8B3BF">
            <w:pPr>
              <w:rPr>
                <w:rFonts w:hint="eastAsia"/>
                <w:color w:val="auto"/>
                <w:sz w:val="24"/>
                <w:highlight w:val="yellow"/>
              </w:rPr>
            </w:pPr>
          </w:p>
          <w:p w14:paraId="00007ED6">
            <w:pPr>
              <w:pStyle w:val="32"/>
              <w:rPr>
                <w:rFonts w:hint="eastAsia"/>
                <w:color w:val="auto"/>
                <w:sz w:val="24"/>
                <w:highlight w:val="yellow"/>
              </w:rPr>
            </w:pPr>
          </w:p>
          <w:p w14:paraId="0D8A7BF9">
            <w:pPr>
              <w:rPr>
                <w:rFonts w:hint="eastAsia"/>
                <w:color w:val="auto"/>
                <w:sz w:val="24"/>
                <w:highlight w:val="yellow"/>
              </w:rPr>
            </w:pPr>
          </w:p>
          <w:p w14:paraId="768C914D">
            <w:pPr>
              <w:rPr>
                <w:rFonts w:hint="eastAsia"/>
                <w:color w:val="auto"/>
                <w:sz w:val="24"/>
                <w:highlight w:val="yellow"/>
              </w:rPr>
            </w:pPr>
          </w:p>
          <w:p w14:paraId="5B9A9B35">
            <w:pPr>
              <w:pStyle w:val="32"/>
              <w:rPr>
                <w:rFonts w:hint="eastAsia"/>
                <w:color w:val="auto"/>
                <w:sz w:val="24"/>
                <w:highlight w:val="yellow"/>
              </w:rPr>
            </w:pPr>
          </w:p>
          <w:p w14:paraId="0C2336FC">
            <w:pPr>
              <w:rPr>
                <w:rFonts w:hint="eastAsia"/>
                <w:color w:val="auto"/>
                <w:sz w:val="24"/>
                <w:highlight w:val="yellow"/>
              </w:rPr>
            </w:pPr>
          </w:p>
          <w:p w14:paraId="08E91FD6">
            <w:pPr>
              <w:pStyle w:val="32"/>
              <w:rPr>
                <w:rFonts w:hint="eastAsia"/>
                <w:color w:val="auto"/>
                <w:sz w:val="24"/>
                <w:highlight w:val="yellow"/>
              </w:rPr>
            </w:pPr>
          </w:p>
          <w:p w14:paraId="3BF4A926">
            <w:pPr>
              <w:rPr>
                <w:rFonts w:hint="eastAsia"/>
                <w:color w:val="auto"/>
                <w:sz w:val="24"/>
                <w:highlight w:val="yellow"/>
              </w:rPr>
            </w:pPr>
          </w:p>
          <w:p w14:paraId="529A80F4">
            <w:pPr>
              <w:pStyle w:val="2"/>
              <w:rPr>
                <w:rFonts w:hint="eastAsia"/>
                <w:color w:val="auto"/>
                <w:sz w:val="24"/>
                <w:highlight w:val="yellow"/>
              </w:rPr>
            </w:pPr>
          </w:p>
          <w:p w14:paraId="2602888C">
            <w:pPr>
              <w:rPr>
                <w:rFonts w:hint="eastAsia"/>
                <w:color w:val="auto"/>
              </w:rPr>
            </w:pPr>
          </w:p>
          <w:p w14:paraId="3ECC317D">
            <w:pPr>
              <w:rPr>
                <w:rFonts w:hint="eastAsia"/>
                <w:color w:val="auto"/>
                <w:sz w:val="24"/>
                <w:highlight w:val="yellow"/>
              </w:rPr>
            </w:pPr>
          </w:p>
          <w:p w14:paraId="6A1BE9D1">
            <w:pPr>
              <w:pStyle w:val="32"/>
              <w:rPr>
                <w:rFonts w:hint="eastAsia"/>
                <w:color w:val="auto"/>
                <w:sz w:val="24"/>
                <w:highlight w:val="yellow"/>
              </w:rPr>
            </w:pPr>
          </w:p>
          <w:p w14:paraId="6DC39E4C">
            <w:pPr>
              <w:rPr>
                <w:rFonts w:hint="eastAsia"/>
                <w:color w:val="auto"/>
              </w:rPr>
            </w:pPr>
          </w:p>
          <w:p w14:paraId="70F190A9">
            <w:pPr>
              <w:rPr>
                <w:rFonts w:hint="eastAsia"/>
                <w:color w:val="auto"/>
                <w:sz w:val="24"/>
                <w:highlight w:val="yellow"/>
              </w:rPr>
            </w:pPr>
          </w:p>
          <w:p w14:paraId="3C37FBCA">
            <w:pPr>
              <w:pStyle w:val="7"/>
              <w:rPr>
                <w:rFonts w:hint="eastAsia"/>
                <w:color w:val="auto"/>
                <w:sz w:val="24"/>
                <w:highlight w:val="yellow"/>
              </w:rPr>
            </w:pPr>
          </w:p>
          <w:p w14:paraId="3F8F53F8">
            <w:pPr>
              <w:rPr>
                <w:rFonts w:hint="eastAsia"/>
                <w:color w:val="auto"/>
                <w:sz w:val="24"/>
                <w:highlight w:val="yellow"/>
              </w:rPr>
            </w:pPr>
          </w:p>
          <w:p w14:paraId="7C7532EC">
            <w:pPr>
              <w:rPr>
                <w:rFonts w:hint="eastAsia"/>
                <w:color w:val="auto"/>
                <w:sz w:val="24"/>
                <w:highlight w:val="yellow"/>
              </w:rPr>
            </w:pPr>
          </w:p>
          <w:p w14:paraId="62B1CE11">
            <w:pPr>
              <w:spacing w:line="360" w:lineRule="auto"/>
              <w:rPr>
                <w:rFonts w:hint="eastAsia" w:ascii="宋体" w:hAnsi="宋体" w:cs="宋体"/>
                <w:color w:val="auto"/>
                <w:kern w:val="0"/>
                <w:sz w:val="24"/>
              </w:rPr>
            </w:pPr>
          </w:p>
        </w:tc>
      </w:tr>
    </w:tbl>
    <w:p w14:paraId="6F48B7F1">
      <w:pPr>
        <w:pStyle w:val="21"/>
        <w:snapToGrid w:val="0"/>
        <w:spacing w:before="0" w:beforeAutospacing="0" w:after="0" w:afterAutospacing="0"/>
        <w:jc w:val="center"/>
        <w:outlineLvl w:val="0"/>
        <w:rPr>
          <w:rFonts w:ascii="黑体" w:hAnsi="黑体" w:eastAsia="黑体"/>
          <w:snapToGrid w:val="0"/>
          <w:color w:val="auto"/>
          <w:sz w:val="30"/>
          <w:szCs w:val="30"/>
        </w:rPr>
      </w:pPr>
      <w:r>
        <w:rPr>
          <w:rFonts w:ascii="黑体" w:hAnsi="黑体" w:eastAsia="黑体"/>
          <w:snapToGrid w:val="0"/>
          <w:color w:val="auto"/>
          <w:sz w:val="36"/>
          <w:szCs w:val="36"/>
        </w:rPr>
        <w:br w:type="page"/>
      </w:r>
      <w:bookmarkStart w:id="100" w:name="_Toc14383"/>
      <w:bookmarkStart w:id="101" w:name="_Toc5958"/>
      <w:bookmarkStart w:id="102" w:name="_Toc23385"/>
      <w:r>
        <w:rPr>
          <w:rStyle w:val="34"/>
          <w:rFonts w:hint="eastAsia" w:eastAsia="宋体" w:cs="宋体"/>
          <w:color w:val="auto"/>
        </w:rPr>
        <w:t>四、主要环境影响和保护措施</w:t>
      </w:r>
      <w:bookmarkEnd w:id="100"/>
      <w:bookmarkEnd w:id="101"/>
      <w:bookmarkEnd w:id="102"/>
    </w:p>
    <w:tbl>
      <w:tblPr>
        <w:tblStyle w:val="25"/>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9"/>
        <w:gridCol w:w="8439"/>
      </w:tblGrid>
      <w:tr w14:paraId="74A1EA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9" w:type="dxa"/>
            <w:tcMar>
              <w:left w:w="28" w:type="dxa"/>
              <w:right w:w="28" w:type="dxa"/>
            </w:tcMar>
            <w:vAlign w:val="center"/>
          </w:tcPr>
          <w:p w14:paraId="787AB9FD">
            <w:pPr>
              <w:pStyle w:val="21"/>
              <w:adjustRightInd w:val="0"/>
              <w:snapToGrid w:val="0"/>
              <w:spacing w:before="0" w:beforeAutospacing="0" w:after="0" w:afterAutospacing="0"/>
              <w:jc w:val="center"/>
              <w:rPr>
                <w:rFonts w:ascii="Times New Roman" w:hAnsi="Times New Roman"/>
                <w:b/>
                <w:bCs/>
                <w:color w:val="auto"/>
                <w:kern w:val="2"/>
                <w:szCs w:val="24"/>
              </w:rPr>
            </w:pPr>
            <w:r>
              <w:rPr>
                <w:rFonts w:ascii="Times New Roman" w:hAnsi="Times New Roman"/>
                <w:b/>
                <w:bCs/>
                <w:color w:val="auto"/>
                <w:kern w:val="2"/>
                <w:szCs w:val="24"/>
              </w:rPr>
              <w:t>施工</w:t>
            </w:r>
          </w:p>
          <w:p w14:paraId="74B2974F">
            <w:pPr>
              <w:pStyle w:val="21"/>
              <w:adjustRightInd w:val="0"/>
              <w:snapToGrid w:val="0"/>
              <w:spacing w:before="0" w:beforeAutospacing="0" w:after="0" w:afterAutospacing="0"/>
              <w:jc w:val="center"/>
              <w:rPr>
                <w:rFonts w:ascii="Times New Roman" w:hAnsi="Times New Roman"/>
                <w:b/>
                <w:bCs/>
                <w:color w:val="auto"/>
                <w:kern w:val="2"/>
                <w:szCs w:val="24"/>
              </w:rPr>
            </w:pPr>
            <w:r>
              <w:rPr>
                <w:rFonts w:ascii="Times New Roman" w:hAnsi="Times New Roman"/>
                <w:b/>
                <w:bCs/>
                <w:color w:val="auto"/>
                <w:kern w:val="2"/>
                <w:szCs w:val="24"/>
              </w:rPr>
              <w:t>期环</w:t>
            </w:r>
          </w:p>
          <w:p w14:paraId="344908C6">
            <w:pPr>
              <w:pStyle w:val="21"/>
              <w:adjustRightInd w:val="0"/>
              <w:snapToGrid w:val="0"/>
              <w:spacing w:before="0" w:beforeAutospacing="0" w:after="0" w:afterAutospacing="0"/>
              <w:jc w:val="center"/>
              <w:rPr>
                <w:rFonts w:ascii="Times New Roman" w:hAnsi="Times New Roman"/>
                <w:b/>
                <w:bCs/>
                <w:color w:val="auto"/>
                <w:kern w:val="2"/>
                <w:szCs w:val="24"/>
              </w:rPr>
            </w:pPr>
            <w:r>
              <w:rPr>
                <w:rFonts w:ascii="Times New Roman" w:hAnsi="Times New Roman"/>
                <w:b/>
                <w:bCs/>
                <w:color w:val="auto"/>
                <w:kern w:val="2"/>
                <w:szCs w:val="24"/>
              </w:rPr>
              <w:t>境保</w:t>
            </w:r>
          </w:p>
          <w:p w14:paraId="7E6E7A1E">
            <w:pPr>
              <w:pStyle w:val="21"/>
              <w:adjustRightInd w:val="0"/>
              <w:snapToGrid w:val="0"/>
              <w:spacing w:before="0" w:beforeAutospacing="0" w:after="0" w:afterAutospacing="0"/>
              <w:jc w:val="center"/>
              <w:rPr>
                <w:rFonts w:ascii="Times New Roman" w:hAnsi="Times New Roman"/>
                <w:b/>
                <w:bCs/>
                <w:color w:val="auto"/>
                <w:kern w:val="2"/>
                <w:szCs w:val="24"/>
              </w:rPr>
            </w:pPr>
            <w:r>
              <w:rPr>
                <w:rFonts w:ascii="Times New Roman" w:hAnsi="Times New Roman"/>
                <w:b/>
                <w:bCs/>
                <w:color w:val="auto"/>
                <w:kern w:val="2"/>
                <w:szCs w:val="24"/>
              </w:rPr>
              <w:t>护措</w:t>
            </w:r>
          </w:p>
          <w:p w14:paraId="0D55067B">
            <w:pPr>
              <w:pStyle w:val="21"/>
              <w:adjustRightInd w:val="0"/>
              <w:snapToGrid w:val="0"/>
              <w:spacing w:before="0" w:beforeAutospacing="0" w:after="0" w:afterAutospacing="0"/>
              <w:jc w:val="center"/>
              <w:rPr>
                <w:rFonts w:ascii="Times New Roman" w:hAnsi="Times New Roman"/>
                <w:bCs/>
                <w:color w:val="auto"/>
                <w:kern w:val="2"/>
                <w:szCs w:val="24"/>
              </w:rPr>
            </w:pPr>
            <w:r>
              <w:rPr>
                <w:rFonts w:ascii="Times New Roman" w:hAnsi="Times New Roman"/>
                <w:b/>
                <w:bCs/>
                <w:color w:val="auto"/>
                <w:kern w:val="2"/>
                <w:szCs w:val="24"/>
              </w:rPr>
              <w:t>施</w:t>
            </w:r>
          </w:p>
        </w:tc>
        <w:tc>
          <w:tcPr>
            <w:tcW w:w="8439" w:type="dxa"/>
            <w:vAlign w:val="center"/>
          </w:tcPr>
          <w:p w14:paraId="176FC57C">
            <w:pPr>
              <w:snapToGrid w:val="0"/>
              <w:spacing w:line="360" w:lineRule="auto"/>
              <w:rPr>
                <w:b/>
                <w:bCs/>
                <w:color w:val="auto"/>
                <w:kern w:val="44"/>
                <w:sz w:val="24"/>
              </w:rPr>
            </w:pPr>
            <w:r>
              <w:rPr>
                <w:b/>
                <w:bCs/>
                <w:color w:val="auto"/>
                <w:kern w:val="44"/>
                <w:sz w:val="24"/>
              </w:rPr>
              <w:t>1、施工期环境影响分析</w:t>
            </w:r>
          </w:p>
          <w:p w14:paraId="1A0FDDB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bCs/>
                <w:color w:val="auto"/>
                <w:spacing w:val="-10"/>
                <w:sz w:val="24"/>
              </w:rPr>
            </w:pPr>
            <w:r>
              <w:rPr>
                <w:color w:val="auto"/>
                <w:sz w:val="24"/>
              </w:rPr>
              <w:t>本项目租赁</w:t>
            </w:r>
            <w:r>
              <w:rPr>
                <w:rFonts w:hint="eastAsia"/>
                <w:color w:val="auto"/>
                <w:sz w:val="24"/>
              </w:rPr>
              <w:t>中顺家具</w:t>
            </w:r>
            <w:r>
              <w:rPr>
                <w:color w:val="auto"/>
                <w:sz w:val="24"/>
              </w:rPr>
              <w:t>已建成空厂房，工程内容主要为生产设备安装、调试。</w:t>
            </w:r>
            <w:r>
              <w:rPr>
                <w:rFonts w:hint="eastAsia"/>
                <w:b/>
                <w:bCs/>
                <w:color w:val="auto"/>
                <w:sz w:val="24"/>
                <w:u w:val="single"/>
                <w:lang w:val="en-US" w:eastAsia="zh-CN"/>
              </w:rPr>
              <w:t>项目利用中顺家具原有设备进行生产，新增环保设备及风机，目前设备已转移至项目厂房内，尚未进行生产，</w:t>
            </w:r>
            <w:r>
              <w:rPr>
                <w:color w:val="auto"/>
                <w:sz w:val="24"/>
              </w:rPr>
              <w:t>施工期较短，且主要在厂房内施工。因此本次评价施工期不再进行分析。</w:t>
            </w:r>
          </w:p>
        </w:tc>
      </w:tr>
      <w:tr w14:paraId="7A2972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9" w:type="dxa"/>
            <w:tcMar>
              <w:left w:w="28" w:type="dxa"/>
              <w:right w:w="28" w:type="dxa"/>
            </w:tcMar>
            <w:vAlign w:val="center"/>
          </w:tcPr>
          <w:p w14:paraId="1DFB27C2">
            <w:pPr>
              <w:adjustRightInd w:val="0"/>
              <w:snapToGrid w:val="0"/>
              <w:jc w:val="center"/>
              <w:rPr>
                <w:b/>
                <w:color w:val="auto"/>
                <w:sz w:val="24"/>
              </w:rPr>
            </w:pPr>
            <w:r>
              <w:rPr>
                <w:b/>
                <w:color w:val="auto"/>
                <w:sz w:val="24"/>
              </w:rPr>
              <w:t>运营</w:t>
            </w:r>
          </w:p>
          <w:p w14:paraId="1685D664">
            <w:pPr>
              <w:adjustRightInd w:val="0"/>
              <w:snapToGrid w:val="0"/>
              <w:jc w:val="center"/>
              <w:rPr>
                <w:b/>
                <w:color w:val="auto"/>
                <w:sz w:val="24"/>
              </w:rPr>
            </w:pPr>
            <w:r>
              <w:rPr>
                <w:b/>
                <w:color w:val="auto"/>
                <w:sz w:val="24"/>
              </w:rPr>
              <w:t>期环</w:t>
            </w:r>
          </w:p>
          <w:p w14:paraId="240D3F7F">
            <w:pPr>
              <w:adjustRightInd w:val="0"/>
              <w:snapToGrid w:val="0"/>
              <w:jc w:val="center"/>
              <w:rPr>
                <w:b/>
                <w:color w:val="auto"/>
                <w:sz w:val="24"/>
              </w:rPr>
            </w:pPr>
            <w:r>
              <w:rPr>
                <w:b/>
                <w:color w:val="auto"/>
                <w:sz w:val="24"/>
              </w:rPr>
              <w:t>境影</w:t>
            </w:r>
          </w:p>
          <w:p w14:paraId="5B37099F">
            <w:pPr>
              <w:adjustRightInd w:val="0"/>
              <w:snapToGrid w:val="0"/>
              <w:jc w:val="center"/>
              <w:rPr>
                <w:b/>
                <w:color w:val="auto"/>
                <w:sz w:val="24"/>
              </w:rPr>
            </w:pPr>
            <w:r>
              <w:rPr>
                <w:b/>
                <w:color w:val="auto"/>
                <w:sz w:val="24"/>
              </w:rPr>
              <w:t>响和</w:t>
            </w:r>
          </w:p>
          <w:p w14:paraId="36AB58C4">
            <w:pPr>
              <w:adjustRightInd w:val="0"/>
              <w:snapToGrid w:val="0"/>
              <w:jc w:val="center"/>
              <w:rPr>
                <w:b/>
                <w:color w:val="auto"/>
                <w:sz w:val="24"/>
              </w:rPr>
            </w:pPr>
            <w:r>
              <w:rPr>
                <w:b/>
                <w:color w:val="auto"/>
                <w:sz w:val="24"/>
              </w:rPr>
              <w:t>保护</w:t>
            </w:r>
          </w:p>
          <w:p w14:paraId="4C1A0798">
            <w:pPr>
              <w:adjustRightInd w:val="0"/>
              <w:snapToGrid w:val="0"/>
              <w:jc w:val="center"/>
              <w:rPr>
                <w:bCs/>
                <w:color w:val="auto"/>
                <w:szCs w:val="21"/>
              </w:rPr>
            </w:pPr>
            <w:r>
              <w:rPr>
                <w:b/>
                <w:color w:val="auto"/>
                <w:sz w:val="24"/>
              </w:rPr>
              <w:t>措施</w:t>
            </w:r>
          </w:p>
        </w:tc>
        <w:tc>
          <w:tcPr>
            <w:tcW w:w="8439" w:type="dxa"/>
            <w:vAlign w:val="center"/>
          </w:tcPr>
          <w:p w14:paraId="04FD2DBA">
            <w:pPr>
              <w:snapToGrid w:val="0"/>
              <w:spacing w:line="360" w:lineRule="auto"/>
              <w:rPr>
                <w:b/>
                <w:bCs/>
                <w:color w:val="auto"/>
                <w:kern w:val="44"/>
                <w:sz w:val="24"/>
              </w:rPr>
            </w:pPr>
            <w:r>
              <w:rPr>
                <w:b/>
                <w:bCs/>
                <w:color w:val="auto"/>
                <w:kern w:val="44"/>
                <w:sz w:val="24"/>
              </w:rPr>
              <w:t>1、大气环境影响分析</w:t>
            </w:r>
          </w:p>
          <w:p w14:paraId="5556FDD4">
            <w:pPr>
              <w:snapToGrid w:val="0"/>
              <w:spacing w:line="360" w:lineRule="auto"/>
              <w:rPr>
                <w:b/>
                <w:bCs/>
                <w:color w:val="auto"/>
                <w:kern w:val="44"/>
                <w:sz w:val="24"/>
              </w:rPr>
            </w:pPr>
            <w:r>
              <w:rPr>
                <w:b/>
                <w:bCs/>
                <w:color w:val="auto"/>
                <w:kern w:val="44"/>
                <w:sz w:val="24"/>
              </w:rPr>
              <w:t>1.1废气源强</w:t>
            </w:r>
          </w:p>
          <w:p w14:paraId="72DEAADB">
            <w:pPr>
              <w:spacing w:line="360" w:lineRule="auto"/>
              <w:ind w:firstLine="480" w:firstLineChars="200"/>
              <w:rPr>
                <w:rFonts w:hint="eastAsia"/>
                <w:color w:val="auto"/>
                <w:sz w:val="24"/>
              </w:rPr>
            </w:pPr>
            <w:r>
              <w:rPr>
                <w:rFonts w:hint="eastAsia"/>
                <w:color w:val="auto"/>
                <w:sz w:val="24"/>
              </w:rPr>
              <w:t>本项目生产废气主要为木加工、砂光、打磨</w:t>
            </w:r>
            <w:r>
              <w:rPr>
                <w:rFonts w:hint="eastAsia"/>
                <w:color w:val="auto"/>
                <w:sz w:val="24"/>
                <w:lang w:eastAsia="zh-CN"/>
              </w:rPr>
              <w:t>、油磨</w:t>
            </w:r>
            <w:r>
              <w:rPr>
                <w:rFonts w:hint="eastAsia"/>
                <w:color w:val="auto"/>
                <w:sz w:val="24"/>
              </w:rPr>
              <w:t>等过程产生的粉尘，拼板冷压、</w:t>
            </w:r>
            <w:r>
              <w:rPr>
                <w:rFonts w:hint="eastAsia"/>
                <w:color w:val="auto"/>
                <w:sz w:val="24"/>
                <w:lang w:val="en-US" w:eastAsia="zh-CN"/>
              </w:rPr>
              <w:t>热压、</w:t>
            </w:r>
            <w:r>
              <w:rPr>
                <w:rFonts w:hint="eastAsia"/>
                <w:color w:val="auto"/>
                <w:sz w:val="24"/>
              </w:rPr>
              <w:t>涂胶过程产生的非甲烷总烃，调漆、喷漆、晾干</w:t>
            </w:r>
            <w:r>
              <w:rPr>
                <w:rFonts w:hint="eastAsia"/>
                <w:color w:val="auto"/>
                <w:sz w:val="24"/>
                <w:lang w:eastAsia="zh-CN"/>
              </w:rPr>
              <w:t>、修色、危废暂存</w:t>
            </w:r>
            <w:r>
              <w:rPr>
                <w:rFonts w:hint="eastAsia"/>
                <w:color w:val="auto"/>
                <w:sz w:val="24"/>
              </w:rPr>
              <w:t>过程产生的颗粒物</w:t>
            </w:r>
            <w:r>
              <w:rPr>
                <w:rFonts w:hint="eastAsia"/>
                <w:color w:val="auto"/>
                <w:sz w:val="24"/>
                <w:lang w:eastAsia="zh-CN"/>
              </w:rPr>
              <w:t>、</w:t>
            </w:r>
            <w:r>
              <w:rPr>
                <w:rFonts w:hint="eastAsia"/>
                <w:color w:val="auto"/>
                <w:sz w:val="24"/>
              </w:rPr>
              <w:t>非甲烷总烃、甲苯、二甲苯。本项目废气产排情况见下表。</w:t>
            </w:r>
          </w:p>
          <w:p w14:paraId="50DF146B">
            <w:pPr>
              <w:spacing w:line="360" w:lineRule="auto"/>
              <w:ind w:firstLine="420" w:firstLineChars="200"/>
              <w:rPr>
                <w:rFonts w:hint="eastAsia"/>
                <w:color w:val="auto"/>
                <w:szCs w:val="21"/>
              </w:rPr>
            </w:pPr>
          </w:p>
          <w:p w14:paraId="597CFD84">
            <w:pPr>
              <w:spacing w:line="360" w:lineRule="auto"/>
              <w:ind w:firstLine="420" w:firstLineChars="200"/>
              <w:rPr>
                <w:rFonts w:hint="eastAsia"/>
                <w:color w:val="auto"/>
                <w:szCs w:val="21"/>
              </w:rPr>
            </w:pPr>
          </w:p>
          <w:p w14:paraId="4588E31D">
            <w:pPr>
              <w:spacing w:line="360" w:lineRule="auto"/>
              <w:ind w:firstLine="420" w:firstLineChars="200"/>
              <w:rPr>
                <w:rFonts w:hint="eastAsia"/>
                <w:color w:val="auto"/>
                <w:szCs w:val="21"/>
              </w:rPr>
            </w:pPr>
          </w:p>
          <w:p w14:paraId="2B07AED5">
            <w:pPr>
              <w:spacing w:line="360" w:lineRule="auto"/>
              <w:ind w:firstLine="420" w:firstLineChars="200"/>
              <w:rPr>
                <w:rFonts w:hint="eastAsia"/>
                <w:color w:val="auto"/>
                <w:szCs w:val="21"/>
              </w:rPr>
            </w:pPr>
          </w:p>
          <w:p w14:paraId="7846DD43">
            <w:pPr>
              <w:spacing w:line="360" w:lineRule="auto"/>
              <w:ind w:firstLine="420" w:firstLineChars="200"/>
              <w:rPr>
                <w:rFonts w:hint="eastAsia"/>
                <w:color w:val="auto"/>
                <w:szCs w:val="21"/>
              </w:rPr>
            </w:pPr>
          </w:p>
          <w:p w14:paraId="2016008F">
            <w:pPr>
              <w:spacing w:line="360" w:lineRule="auto"/>
              <w:ind w:firstLine="420" w:firstLineChars="200"/>
              <w:rPr>
                <w:rFonts w:hint="eastAsia"/>
                <w:color w:val="auto"/>
                <w:szCs w:val="21"/>
              </w:rPr>
            </w:pPr>
          </w:p>
          <w:p w14:paraId="569E8F42">
            <w:pPr>
              <w:spacing w:line="360" w:lineRule="auto"/>
              <w:ind w:firstLine="420" w:firstLineChars="200"/>
              <w:rPr>
                <w:rFonts w:hint="eastAsia"/>
                <w:color w:val="auto"/>
                <w:szCs w:val="21"/>
              </w:rPr>
            </w:pPr>
          </w:p>
          <w:p w14:paraId="1C3B476D">
            <w:pPr>
              <w:spacing w:line="360" w:lineRule="auto"/>
              <w:ind w:firstLine="420" w:firstLineChars="200"/>
              <w:rPr>
                <w:rFonts w:hint="eastAsia"/>
                <w:color w:val="auto"/>
                <w:szCs w:val="21"/>
              </w:rPr>
            </w:pPr>
          </w:p>
          <w:p w14:paraId="2A46A4DE">
            <w:pPr>
              <w:spacing w:line="360" w:lineRule="auto"/>
              <w:ind w:firstLine="420" w:firstLineChars="200"/>
              <w:rPr>
                <w:rFonts w:hint="eastAsia"/>
                <w:color w:val="auto"/>
                <w:szCs w:val="21"/>
              </w:rPr>
            </w:pPr>
          </w:p>
          <w:p w14:paraId="1B8ADA3E">
            <w:pPr>
              <w:spacing w:line="360" w:lineRule="auto"/>
              <w:ind w:firstLine="420" w:firstLineChars="200"/>
              <w:rPr>
                <w:rFonts w:hint="eastAsia"/>
                <w:color w:val="auto"/>
                <w:szCs w:val="21"/>
              </w:rPr>
            </w:pPr>
          </w:p>
          <w:p w14:paraId="6070640E">
            <w:pPr>
              <w:spacing w:line="360" w:lineRule="auto"/>
              <w:ind w:firstLine="420" w:firstLineChars="200"/>
              <w:rPr>
                <w:rFonts w:hint="eastAsia"/>
                <w:color w:val="auto"/>
                <w:szCs w:val="21"/>
              </w:rPr>
            </w:pPr>
          </w:p>
          <w:p w14:paraId="5EF7207A">
            <w:pPr>
              <w:spacing w:line="360" w:lineRule="auto"/>
              <w:ind w:firstLine="420" w:firstLineChars="200"/>
              <w:rPr>
                <w:rFonts w:hint="eastAsia"/>
                <w:color w:val="auto"/>
                <w:szCs w:val="21"/>
              </w:rPr>
            </w:pPr>
          </w:p>
          <w:p w14:paraId="226420EA">
            <w:pPr>
              <w:spacing w:line="360" w:lineRule="auto"/>
              <w:ind w:firstLine="420" w:firstLineChars="200"/>
              <w:rPr>
                <w:rFonts w:hint="eastAsia"/>
                <w:color w:val="auto"/>
                <w:szCs w:val="21"/>
              </w:rPr>
            </w:pPr>
          </w:p>
          <w:p w14:paraId="1D01C844">
            <w:pPr>
              <w:spacing w:line="360" w:lineRule="auto"/>
              <w:ind w:firstLine="420" w:firstLineChars="200"/>
              <w:rPr>
                <w:rFonts w:hint="eastAsia"/>
                <w:color w:val="auto"/>
                <w:szCs w:val="21"/>
              </w:rPr>
            </w:pPr>
          </w:p>
          <w:p w14:paraId="6499367A">
            <w:pPr>
              <w:spacing w:line="360" w:lineRule="auto"/>
              <w:ind w:firstLine="420" w:firstLineChars="200"/>
              <w:rPr>
                <w:rFonts w:hint="eastAsia"/>
                <w:color w:val="auto"/>
                <w:szCs w:val="21"/>
              </w:rPr>
            </w:pPr>
          </w:p>
          <w:p w14:paraId="7E6BCBA1">
            <w:pPr>
              <w:spacing w:line="360" w:lineRule="auto"/>
              <w:ind w:firstLine="420" w:firstLineChars="200"/>
              <w:rPr>
                <w:rFonts w:hint="eastAsia"/>
                <w:color w:val="auto"/>
                <w:szCs w:val="21"/>
              </w:rPr>
            </w:pPr>
          </w:p>
          <w:p w14:paraId="18753371">
            <w:pPr>
              <w:spacing w:line="360" w:lineRule="auto"/>
              <w:ind w:firstLine="420" w:firstLineChars="200"/>
              <w:rPr>
                <w:rFonts w:hint="eastAsia"/>
                <w:color w:val="auto"/>
                <w:szCs w:val="21"/>
              </w:rPr>
            </w:pPr>
          </w:p>
          <w:p w14:paraId="6757BEBC">
            <w:pPr>
              <w:spacing w:line="360" w:lineRule="auto"/>
              <w:ind w:firstLine="420" w:firstLineChars="200"/>
              <w:rPr>
                <w:rFonts w:hint="eastAsia"/>
                <w:color w:val="auto"/>
                <w:szCs w:val="21"/>
              </w:rPr>
            </w:pPr>
          </w:p>
          <w:p w14:paraId="6EA55A47">
            <w:pPr>
              <w:spacing w:line="360" w:lineRule="auto"/>
              <w:ind w:firstLine="420" w:firstLineChars="200"/>
              <w:rPr>
                <w:rFonts w:hint="eastAsia"/>
                <w:color w:val="auto"/>
                <w:szCs w:val="21"/>
              </w:rPr>
            </w:pPr>
          </w:p>
          <w:p w14:paraId="3F33B7DF">
            <w:pPr>
              <w:spacing w:line="360" w:lineRule="auto"/>
              <w:ind w:firstLine="420" w:firstLineChars="200"/>
              <w:rPr>
                <w:rFonts w:hint="eastAsia"/>
                <w:color w:val="auto"/>
                <w:szCs w:val="21"/>
              </w:rPr>
            </w:pPr>
          </w:p>
          <w:p w14:paraId="7572A668">
            <w:pPr>
              <w:pStyle w:val="32"/>
              <w:rPr>
                <w:rFonts w:hint="default"/>
                <w:color w:val="auto"/>
              </w:rPr>
            </w:pPr>
          </w:p>
        </w:tc>
      </w:tr>
    </w:tbl>
    <w:p w14:paraId="700BF49A">
      <w:pPr>
        <w:adjustRightInd w:val="0"/>
        <w:snapToGrid w:val="0"/>
        <w:jc w:val="center"/>
        <w:rPr>
          <w:b/>
          <w:color w:val="auto"/>
          <w:sz w:val="24"/>
        </w:rPr>
        <w:sectPr>
          <w:pgSz w:w="11905" w:h="16838"/>
          <w:pgMar w:top="1417" w:right="1417" w:bottom="1417" w:left="1417" w:header="851" w:footer="1077" w:gutter="0"/>
          <w:pgNumType w:fmt="decimal"/>
          <w:cols w:space="720" w:num="1"/>
          <w:docGrid w:linePitch="312" w:charSpace="0"/>
        </w:sectPr>
      </w:pPr>
    </w:p>
    <w:tbl>
      <w:tblPr>
        <w:tblStyle w:val="25"/>
        <w:tblW w:w="1421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6"/>
        <w:gridCol w:w="13750"/>
      </w:tblGrid>
      <w:tr w14:paraId="171B16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74" w:hRule="atLeast"/>
          <w:jc w:val="center"/>
        </w:trPr>
        <w:tc>
          <w:tcPr>
            <w:tcW w:w="466" w:type="dxa"/>
            <w:tcMar>
              <w:left w:w="28" w:type="dxa"/>
              <w:right w:w="28" w:type="dxa"/>
            </w:tcMar>
            <w:vAlign w:val="center"/>
          </w:tcPr>
          <w:p w14:paraId="123A98F2">
            <w:pPr>
              <w:keepNext w:val="0"/>
              <w:keepLines w:val="0"/>
              <w:pageBreakBefore w:val="0"/>
              <w:widowControl w:val="0"/>
              <w:kinsoku/>
              <w:wordWrap/>
              <w:overflowPunct/>
              <w:topLinePunct w:val="0"/>
              <w:bidi w:val="0"/>
              <w:snapToGrid w:val="0"/>
              <w:spacing w:line="240" w:lineRule="auto"/>
              <w:jc w:val="center"/>
              <w:textAlignment w:val="auto"/>
              <w:rPr>
                <w:b/>
                <w:bCs/>
                <w:color w:val="auto"/>
                <w:sz w:val="24"/>
              </w:rPr>
            </w:pPr>
            <w:r>
              <w:rPr>
                <w:b/>
                <w:bCs/>
                <w:color w:val="auto"/>
                <w:sz w:val="24"/>
              </w:rPr>
              <w:t>运营</w:t>
            </w:r>
          </w:p>
          <w:p w14:paraId="604167E6">
            <w:pPr>
              <w:keepNext w:val="0"/>
              <w:keepLines w:val="0"/>
              <w:pageBreakBefore w:val="0"/>
              <w:widowControl w:val="0"/>
              <w:kinsoku/>
              <w:wordWrap/>
              <w:overflowPunct/>
              <w:topLinePunct w:val="0"/>
              <w:bidi w:val="0"/>
              <w:snapToGrid w:val="0"/>
              <w:spacing w:line="240" w:lineRule="auto"/>
              <w:jc w:val="center"/>
              <w:textAlignment w:val="auto"/>
              <w:rPr>
                <w:b/>
                <w:bCs/>
                <w:color w:val="auto"/>
                <w:sz w:val="24"/>
              </w:rPr>
            </w:pPr>
            <w:r>
              <w:rPr>
                <w:b/>
                <w:bCs/>
                <w:color w:val="auto"/>
                <w:sz w:val="24"/>
              </w:rPr>
              <w:t>期环</w:t>
            </w:r>
          </w:p>
          <w:p w14:paraId="1D8F52E9">
            <w:pPr>
              <w:keepNext w:val="0"/>
              <w:keepLines w:val="0"/>
              <w:pageBreakBefore w:val="0"/>
              <w:widowControl w:val="0"/>
              <w:kinsoku/>
              <w:wordWrap/>
              <w:overflowPunct/>
              <w:topLinePunct w:val="0"/>
              <w:bidi w:val="0"/>
              <w:snapToGrid w:val="0"/>
              <w:spacing w:line="240" w:lineRule="auto"/>
              <w:jc w:val="center"/>
              <w:textAlignment w:val="auto"/>
              <w:rPr>
                <w:b/>
                <w:bCs/>
                <w:color w:val="auto"/>
                <w:sz w:val="24"/>
              </w:rPr>
            </w:pPr>
            <w:r>
              <w:rPr>
                <w:b/>
                <w:bCs/>
                <w:color w:val="auto"/>
                <w:sz w:val="24"/>
              </w:rPr>
              <w:t>境影</w:t>
            </w:r>
          </w:p>
          <w:p w14:paraId="3B2ACE7C">
            <w:pPr>
              <w:keepNext w:val="0"/>
              <w:keepLines w:val="0"/>
              <w:pageBreakBefore w:val="0"/>
              <w:widowControl w:val="0"/>
              <w:kinsoku/>
              <w:wordWrap/>
              <w:overflowPunct/>
              <w:topLinePunct w:val="0"/>
              <w:bidi w:val="0"/>
              <w:snapToGrid w:val="0"/>
              <w:spacing w:line="240" w:lineRule="auto"/>
              <w:jc w:val="center"/>
              <w:textAlignment w:val="auto"/>
              <w:rPr>
                <w:b/>
                <w:bCs/>
                <w:color w:val="auto"/>
                <w:sz w:val="24"/>
              </w:rPr>
            </w:pPr>
            <w:r>
              <w:rPr>
                <w:b/>
                <w:bCs/>
                <w:color w:val="auto"/>
                <w:sz w:val="24"/>
              </w:rPr>
              <w:t>响和</w:t>
            </w:r>
          </w:p>
          <w:p w14:paraId="32CCA71D">
            <w:pPr>
              <w:keepNext w:val="0"/>
              <w:keepLines w:val="0"/>
              <w:pageBreakBefore w:val="0"/>
              <w:widowControl w:val="0"/>
              <w:kinsoku/>
              <w:wordWrap/>
              <w:overflowPunct/>
              <w:topLinePunct w:val="0"/>
              <w:bidi w:val="0"/>
              <w:snapToGrid w:val="0"/>
              <w:spacing w:line="240" w:lineRule="auto"/>
              <w:jc w:val="center"/>
              <w:textAlignment w:val="auto"/>
              <w:rPr>
                <w:b/>
                <w:bCs/>
                <w:color w:val="auto"/>
                <w:sz w:val="24"/>
              </w:rPr>
            </w:pPr>
            <w:r>
              <w:rPr>
                <w:b/>
                <w:bCs/>
                <w:color w:val="auto"/>
                <w:sz w:val="24"/>
              </w:rPr>
              <w:t>保护</w:t>
            </w:r>
          </w:p>
          <w:p w14:paraId="71AA57D3">
            <w:pPr>
              <w:pStyle w:val="32"/>
              <w:keepNext w:val="0"/>
              <w:keepLines w:val="0"/>
              <w:pageBreakBefore w:val="0"/>
              <w:widowControl w:val="0"/>
              <w:kinsoku/>
              <w:wordWrap/>
              <w:overflowPunct/>
              <w:topLinePunct w:val="0"/>
              <w:bidi w:val="0"/>
              <w:spacing w:beforeLines="0" w:afterLines="0" w:line="240" w:lineRule="auto"/>
              <w:jc w:val="center"/>
              <w:textAlignment w:val="auto"/>
              <w:rPr>
                <w:rFonts w:ascii="宋体" w:hAnsi="宋体" w:eastAsia="宋体" w:cs="宋体"/>
                <w:color w:val="auto"/>
              </w:rPr>
            </w:pPr>
            <w:r>
              <w:rPr>
                <w:rFonts w:hint="default" w:ascii="Times New Roman" w:hAnsi="Times New Roman" w:eastAsia="宋体" w:cs="Times New Roman"/>
                <w:bCs/>
                <w:color w:val="auto"/>
              </w:rPr>
              <w:t>措施</w:t>
            </w:r>
          </w:p>
        </w:tc>
        <w:tc>
          <w:tcPr>
            <w:tcW w:w="13750" w:type="dxa"/>
            <w:vAlign w:val="center"/>
          </w:tcPr>
          <w:p w14:paraId="0BF2B63A">
            <w:pPr>
              <w:pStyle w:val="46"/>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eastAsia" w:ascii="Times New Roman" w:hAnsi="Arial Unicode MS" w:eastAsia="宋体" w:cs="Times New Roman"/>
                <w:b/>
                <w:color w:val="auto"/>
                <w:kern w:val="2"/>
                <w:sz w:val="24"/>
                <w:szCs w:val="24"/>
                <w:lang w:val="en-US" w:eastAsia="zh-CN" w:bidi="ar-SA"/>
              </w:rPr>
            </w:pPr>
            <w:r>
              <w:rPr>
                <w:rFonts w:hint="eastAsia" w:ascii="Times New Roman" w:hAnsi="Arial Unicode MS" w:eastAsia="宋体" w:cs="Times New Roman"/>
                <w:b/>
                <w:color w:val="auto"/>
                <w:kern w:val="2"/>
                <w:sz w:val="24"/>
                <w:szCs w:val="24"/>
                <w:lang w:val="en-US" w:eastAsia="zh-CN" w:bidi="ar-SA"/>
              </w:rPr>
              <w:t>本项目废气产排情况一览表</w:t>
            </w:r>
          </w:p>
          <w:tbl>
            <w:tblPr>
              <w:tblStyle w:val="25"/>
              <w:tblW w:w="135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468"/>
              <w:gridCol w:w="468"/>
              <w:gridCol w:w="926"/>
              <w:gridCol w:w="1074"/>
              <w:gridCol w:w="877"/>
              <w:gridCol w:w="909"/>
              <w:gridCol w:w="1719"/>
              <w:gridCol w:w="807"/>
              <w:gridCol w:w="938"/>
              <w:gridCol w:w="1242"/>
              <w:gridCol w:w="839"/>
              <w:gridCol w:w="1456"/>
              <w:gridCol w:w="1097"/>
            </w:tblGrid>
            <w:tr w14:paraId="3B5EE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6" w:type="dxa"/>
                  <w:vMerge w:val="restart"/>
                  <w:vAlign w:val="center"/>
                </w:tcPr>
                <w:p w14:paraId="141E9CE5">
                  <w:pPr>
                    <w:adjustRightInd w:val="0"/>
                    <w:snapToGrid w:val="0"/>
                    <w:jc w:val="center"/>
                    <w:rPr>
                      <w:b/>
                      <w:bCs/>
                      <w:color w:val="auto"/>
                      <w:szCs w:val="21"/>
                    </w:rPr>
                  </w:pPr>
                  <w:r>
                    <w:rPr>
                      <w:b/>
                      <w:bCs/>
                      <w:color w:val="auto"/>
                      <w:szCs w:val="21"/>
                    </w:rPr>
                    <w:t>产污环节</w:t>
                  </w:r>
                </w:p>
              </w:tc>
              <w:tc>
                <w:tcPr>
                  <w:tcW w:w="936" w:type="dxa"/>
                  <w:gridSpan w:val="2"/>
                  <w:vMerge w:val="restart"/>
                  <w:vAlign w:val="center"/>
                </w:tcPr>
                <w:p w14:paraId="39071786">
                  <w:pPr>
                    <w:adjustRightInd w:val="0"/>
                    <w:snapToGrid w:val="0"/>
                    <w:jc w:val="center"/>
                    <w:rPr>
                      <w:b/>
                      <w:bCs/>
                      <w:color w:val="auto"/>
                      <w:szCs w:val="21"/>
                    </w:rPr>
                  </w:pPr>
                  <w:r>
                    <w:rPr>
                      <w:b/>
                      <w:bCs/>
                      <w:color w:val="auto"/>
                      <w:szCs w:val="21"/>
                    </w:rPr>
                    <w:t>污染物种类</w:t>
                  </w:r>
                </w:p>
              </w:tc>
              <w:tc>
                <w:tcPr>
                  <w:tcW w:w="2877" w:type="dxa"/>
                  <w:gridSpan w:val="3"/>
                  <w:vAlign w:val="center"/>
                </w:tcPr>
                <w:p w14:paraId="6D67C894">
                  <w:pPr>
                    <w:adjustRightInd w:val="0"/>
                    <w:snapToGrid w:val="0"/>
                    <w:jc w:val="center"/>
                    <w:rPr>
                      <w:b/>
                      <w:bCs/>
                      <w:color w:val="auto"/>
                      <w:szCs w:val="21"/>
                    </w:rPr>
                  </w:pPr>
                  <w:r>
                    <w:rPr>
                      <w:b/>
                      <w:bCs/>
                      <w:color w:val="auto"/>
                      <w:szCs w:val="21"/>
                    </w:rPr>
                    <w:t>污染物产生源强</w:t>
                  </w:r>
                </w:p>
              </w:tc>
              <w:tc>
                <w:tcPr>
                  <w:tcW w:w="909" w:type="dxa"/>
                  <w:vMerge w:val="restart"/>
                  <w:vAlign w:val="center"/>
                </w:tcPr>
                <w:p w14:paraId="4174891D">
                  <w:pPr>
                    <w:adjustRightInd w:val="0"/>
                    <w:snapToGrid w:val="0"/>
                    <w:jc w:val="center"/>
                    <w:rPr>
                      <w:b/>
                      <w:bCs/>
                      <w:color w:val="auto"/>
                      <w:szCs w:val="21"/>
                    </w:rPr>
                  </w:pPr>
                  <w:r>
                    <w:rPr>
                      <w:b/>
                      <w:bCs/>
                      <w:color w:val="auto"/>
                      <w:szCs w:val="21"/>
                    </w:rPr>
                    <w:t>排放形式</w:t>
                  </w:r>
                </w:p>
              </w:tc>
              <w:tc>
                <w:tcPr>
                  <w:tcW w:w="1719" w:type="dxa"/>
                  <w:vMerge w:val="restart"/>
                  <w:vAlign w:val="center"/>
                </w:tcPr>
                <w:p w14:paraId="75578560">
                  <w:pPr>
                    <w:adjustRightInd w:val="0"/>
                    <w:snapToGrid w:val="0"/>
                    <w:jc w:val="center"/>
                    <w:rPr>
                      <w:b/>
                      <w:bCs/>
                      <w:color w:val="auto"/>
                      <w:szCs w:val="21"/>
                    </w:rPr>
                  </w:pPr>
                  <w:r>
                    <w:rPr>
                      <w:b/>
                      <w:bCs/>
                      <w:color w:val="auto"/>
                      <w:szCs w:val="21"/>
                    </w:rPr>
                    <w:t>治理设施</w:t>
                  </w:r>
                </w:p>
              </w:tc>
              <w:tc>
                <w:tcPr>
                  <w:tcW w:w="807" w:type="dxa"/>
                  <w:vMerge w:val="restart"/>
                  <w:vAlign w:val="center"/>
                </w:tcPr>
                <w:p w14:paraId="35FB2B08">
                  <w:pPr>
                    <w:adjustRightInd w:val="0"/>
                    <w:snapToGrid w:val="0"/>
                    <w:jc w:val="center"/>
                    <w:rPr>
                      <w:b/>
                      <w:bCs/>
                      <w:color w:val="auto"/>
                      <w:szCs w:val="21"/>
                    </w:rPr>
                  </w:pPr>
                  <w:r>
                    <w:rPr>
                      <w:b/>
                      <w:bCs/>
                      <w:color w:val="auto"/>
                      <w:szCs w:val="21"/>
                    </w:rPr>
                    <w:t>收集效率%</w:t>
                  </w:r>
                </w:p>
              </w:tc>
              <w:tc>
                <w:tcPr>
                  <w:tcW w:w="938" w:type="dxa"/>
                  <w:vMerge w:val="restart"/>
                  <w:vAlign w:val="center"/>
                </w:tcPr>
                <w:p w14:paraId="71A5A147">
                  <w:pPr>
                    <w:adjustRightInd w:val="0"/>
                    <w:snapToGrid w:val="0"/>
                    <w:jc w:val="center"/>
                    <w:rPr>
                      <w:b/>
                      <w:bCs/>
                      <w:color w:val="auto"/>
                      <w:szCs w:val="21"/>
                    </w:rPr>
                  </w:pPr>
                  <w:r>
                    <w:rPr>
                      <w:b/>
                      <w:bCs/>
                      <w:color w:val="auto"/>
                      <w:szCs w:val="21"/>
                    </w:rPr>
                    <w:t>治理工艺去除率%</w:t>
                  </w:r>
                </w:p>
              </w:tc>
              <w:tc>
                <w:tcPr>
                  <w:tcW w:w="1242" w:type="dxa"/>
                  <w:vMerge w:val="restart"/>
                  <w:vAlign w:val="center"/>
                </w:tcPr>
                <w:p w14:paraId="180CC46D">
                  <w:pPr>
                    <w:adjustRightInd w:val="0"/>
                    <w:snapToGrid w:val="0"/>
                    <w:jc w:val="center"/>
                    <w:rPr>
                      <w:b/>
                      <w:bCs/>
                      <w:color w:val="auto"/>
                      <w:szCs w:val="21"/>
                    </w:rPr>
                  </w:pPr>
                  <w:r>
                    <w:rPr>
                      <w:rFonts w:hint="eastAsia"/>
                      <w:b/>
                      <w:bCs/>
                      <w:color w:val="auto"/>
                      <w:szCs w:val="21"/>
                    </w:rPr>
                    <w:t>废气量</w:t>
                  </w:r>
                  <w:r>
                    <w:rPr>
                      <w:b/>
                      <w:bCs/>
                      <w:color w:val="auto"/>
                      <w:szCs w:val="21"/>
                    </w:rPr>
                    <w:t>m</w:t>
                  </w:r>
                  <w:r>
                    <w:rPr>
                      <w:b/>
                      <w:bCs/>
                      <w:color w:val="auto"/>
                      <w:szCs w:val="21"/>
                      <w:vertAlign w:val="superscript"/>
                    </w:rPr>
                    <w:t>3</w:t>
                  </w:r>
                  <w:r>
                    <w:rPr>
                      <w:b/>
                      <w:bCs/>
                      <w:color w:val="auto"/>
                      <w:szCs w:val="21"/>
                    </w:rPr>
                    <w:t>/h</w:t>
                  </w:r>
                </w:p>
              </w:tc>
              <w:tc>
                <w:tcPr>
                  <w:tcW w:w="3392" w:type="dxa"/>
                  <w:gridSpan w:val="3"/>
                  <w:vAlign w:val="center"/>
                </w:tcPr>
                <w:p w14:paraId="085826F7">
                  <w:pPr>
                    <w:adjustRightInd w:val="0"/>
                    <w:snapToGrid w:val="0"/>
                    <w:jc w:val="center"/>
                    <w:rPr>
                      <w:b/>
                      <w:bCs/>
                      <w:color w:val="auto"/>
                      <w:szCs w:val="21"/>
                    </w:rPr>
                  </w:pPr>
                  <w:r>
                    <w:rPr>
                      <w:b/>
                      <w:bCs/>
                      <w:color w:val="auto"/>
                      <w:szCs w:val="21"/>
                    </w:rPr>
                    <w:t>污染物排放源强</w:t>
                  </w:r>
                </w:p>
              </w:tc>
            </w:tr>
            <w:tr w14:paraId="222F2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6" w:type="dxa"/>
                  <w:vMerge w:val="continue"/>
                  <w:vAlign w:val="center"/>
                </w:tcPr>
                <w:p w14:paraId="025B8777">
                  <w:pPr>
                    <w:adjustRightInd w:val="0"/>
                    <w:snapToGrid w:val="0"/>
                    <w:jc w:val="center"/>
                    <w:rPr>
                      <w:b/>
                      <w:bCs/>
                      <w:color w:val="auto"/>
                    </w:rPr>
                  </w:pPr>
                </w:p>
              </w:tc>
              <w:tc>
                <w:tcPr>
                  <w:tcW w:w="936" w:type="dxa"/>
                  <w:gridSpan w:val="2"/>
                  <w:vMerge w:val="continue"/>
                  <w:vAlign w:val="center"/>
                </w:tcPr>
                <w:p w14:paraId="268860FF">
                  <w:pPr>
                    <w:adjustRightInd w:val="0"/>
                    <w:snapToGrid w:val="0"/>
                    <w:jc w:val="center"/>
                    <w:rPr>
                      <w:b/>
                      <w:bCs/>
                      <w:color w:val="auto"/>
                    </w:rPr>
                  </w:pPr>
                </w:p>
              </w:tc>
              <w:tc>
                <w:tcPr>
                  <w:tcW w:w="926" w:type="dxa"/>
                  <w:vAlign w:val="center"/>
                </w:tcPr>
                <w:p w14:paraId="5E9D796B">
                  <w:pPr>
                    <w:adjustRightInd w:val="0"/>
                    <w:snapToGrid w:val="0"/>
                    <w:jc w:val="center"/>
                    <w:rPr>
                      <w:b/>
                      <w:bCs/>
                      <w:color w:val="auto"/>
                      <w:szCs w:val="21"/>
                    </w:rPr>
                  </w:pPr>
                  <w:r>
                    <w:rPr>
                      <w:b/>
                      <w:bCs/>
                      <w:color w:val="auto"/>
                      <w:szCs w:val="21"/>
                    </w:rPr>
                    <w:t>产生量t/a</w:t>
                  </w:r>
                </w:p>
              </w:tc>
              <w:tc>
                <w:tcPr>
                  <w:tcW w:w="1074" w:type="dxa"/>
                  <w:tcBorders>
                    <w:right w:val="single" w:color="000000" w:sz="4" w:space="0"/>
                  </w:tcBorders>
                  <w:vAlign w:val="center"/>
                </w:tcPr>
                <w:p w14:paraId="628CF4F0">
                  <w:pPr>
                    <w:adjustRightInd w:val="0"/>
                    <w:snapToGrid w:val="0"/>
                    <w:jc w:val="center"/>
                    <w:rPr>
                      <w:b/>
                      <w:bCs/>
                      <w:color w:val="auto"/>
                      <w:szCs w:val="21"/>
                    </w:rPr>
                  </w:pPr>
                  <w:r>
                    <w:rPr>
                      <w:rFonts w:hint="eastAsia"/>
                      <w:b/>
                      <w:bCs/>
                      <w:color w:val="auto"/>
                      <w:szCs w:val="21"/>
                    </w:rPr>
                    <w:t>产生速率kg/h</w:t>
                  </w:r>
                </w:p>
              </w:tc>
              <w:tc>
                <w:tcPr>
                  <w:tcW w:w="877" w:type="dxa"/>
                  <w:tcBorders>
                    <w:left w:val="single" w:color="000000" w:sz="4" w:space="0"/>
                  </w:tcBorders>
                  <w:vAlign w:val="center"/>
                </w:tcPr>
                <w:p w14:paraId="601C9CAF">
                  <w:pPr>
                    <w:adjustRightInd w:val="0"/>
                    <w:snapToGrid w:val="0"/>
                    <w:jc w:val="center"/>
                    <w:rPr>
                      <w:b/>
                      <w:bCs/>
                      <w:color w:val="auto"/>
                      <w:szCs w:val="21"/>
                    </w:rPr>
                  </w:pPr>
                  <w:r>
                    <w:rPr>
                      <w:b/>
                      <w:bCs/>
                      <w:color w:val="auto"/>
                      <w:szCs w:val="21"/>
                    </w:rPr>
                    <w:t>浓度mg/m</w:t>
                  </w:r>
                  <w:r>
                    <w:rPr>
                      <w:b/>
                      <w:bCs/>
                      <w:color w:val="auto"/>
                      <w:szCs w:val="21"/>
                      <w:vertAlign w:val="superscript"/>
                    </w:rPr>
                    <w:t>3</w:t>
                  </w:r>
                </w:p>
              </w:tc>
              <w:tc>
                <w:tcPr>
                  <w:tcW w:w="909" w:type="dxa"/>
                  <w:vMerge w:val="continue"/>
                  <w:vAlign w:val="center"/>
                </w:tcPr>
                <w:p w14:paraId="785D6837">
                  <w:pPr>
                    <w:adjustRightInd w:val="0"/>
                    <w:snapToGrid w:val="0"/>
                    <w:jc w:val="center"/>
                    <w:rPr>
                      <w:b/>
                      <w:bCs/>
                      <w:color w:val="auto"/>
                      <w:szCs w:val="21"/>
                    </w:rPr>
                  </w:pPr>
                </w:p>
              </w:tc>
              <w:tc>
                <w:tcPr>
                  <w:tcW w:w="1719" w:type="dxa"/>
                  <w:vMerge w:val="continue"/>
                  <w:vAlign w:val="center"/>
                </w:tcPr>
                <w:p w14:paraId="620111C8">
                  <w:pPr>
                    <w:adjustRightInd w:val="0"/>
                    <w:snapToGrid w:val="0"/>
                    <w:jc w:val="center"/>
                    <w:rPr>
                      <w:b/>
                      <w:bCs/>
                      <w:color w:val="auto"/>
                      <w:szCs w:val="21"/>
                    </w:rPr>
                  </w:pPr>
                </w:p>
              </w:tc>
              <w:tc>
                <w:tcPr>
                  <w:tcW w:w="807" w:type="dxa"/>
                  <w:vMerge w:val="continue"/>
                  <w:vAlign w:val="center"/>
                </w:tcPr>
                <w:p w14:paraId="6394D6C4">
                  <w:pPr>
                    <w:adjustRightInd w:val="0"/>
                    <w:snapToGrid w:val="0"/>
                    <w:jc w:val="center"/>
                    <w:rPr>
                      <w:b/>
                      <w:bCs/>
                      <w:color w:val="auto"/>
                      <w:szCs w:val="21"/>
                    </w:rPr>
                  </w:pPr>
                </w:p>
              </w:tc>
              <w:tc>
                <w:tcPr>
                  <w:tcW w:w="938" w:type="dxa"/>
                  <w:vMerge w:val="continue"/>
                  <w:vAlign w:val="center"/>
                </w:tcPr>
                <w:p w14:paraId="1F0B096E">
                  <w:pPr>
                    <w:adjustRightInd w:val="0"/>
                    <w:snapToGrid w:val="0"/>
                    <w:jc w:val="center"/>
                    <w:rPr>
                      <w:b/>
                      <w:bCs/>
                      <w:color w:val="auto"/>
                      <w:szCs w:val="21"/>
                    </w:rPr>
                  </w:pPr>
                </w:p>
              </w:tc>
              <w:tc>
                <w:tcPr>
                  <w:tcW w:w="1242" w:type="dxa"/>
                  <w:vMerge w:val="continue"/>
                  <w:vAlign w:val="center"/>
                </w:tcPr>
                <w:p w14:paraId="25D403BC">
                  <w:pPr>
                    <w:adjustRightInd w:val="0"/>
                    <w:snapToGrid w:val="0"/>
                    <w:jc w:val="center"/>
                    <w:rPr>
                      <w:b/>
                      <w:bCs/>
                      <w:color w:val="auto"/>
                      <w:szCs w:val="21"/>
                    </w:rPr>
                  </w:pPr>
                </w:p>
              </w:tc>
              <w:tc>
                <w:tcPr>
                  <w:tcW w:w="839" w:type="dxa"/>
                  <w:vAlign w:val="center"/>
                </w:tcPr>
                <w:p w14:paraId="04144C27">
                  <w:pPr>
                    <w:adjustRightInd w:val="0"/>
                    <w:snapToGrid w:val="0"/>
                    <w:jc w:val="center"/>
                    <w:rPr>
                      <w:b/>
                      <w:bCs/>
                      <w:color w:val="auto"/>
                      <w:szCs w:val="21"/>
                    </w:rPr>
                  </w:pPr>
                  <w:r>
                    <w:rPr>
                      <w:b/>
                      <w:bCs/>
                      <w:color w:val="auto"/>
                      <w:szCs w:val="21"/>
                    </w:rPr>
                    <w:t>排放量t/a</w:t>
                  </w:r>
                </w:p>
              </w:tc>
              <w:tc>
                <w:tcPr>
                  <w:tcW w:w="1456" w:type="dxa"/>
                  <w:vAlign w:val="center"/>
                </w:tcPr>
                <w:p w14:paraId="0FD7BCD6">
                  <w:pPr>
                    <w:adjustRightInd w:val="0"/>
                    <w:snapToGrid w:val="0"/>
                    <w:jc w:val="center"/>
                    <w:rPr>
                      <w:b/>
                      <w:bCs/>
                      <w:color w:val="auto"/>
                      <w:szCs w:val="21"/>
                    </w:rPr>
                  </w:pPr>
                  <w:r>
                    <w:rPr>
                      <w:b/>
                      <w:bCs/>
                      <w:color w:val="auto"/>
                      <w:szCs w:val="21"/>
                    </w:rPr>
                    <w:t>排放速率kg/h</w:t>
                  </w:r>
                </w:p>
              </w:tc>
              <w:tc>
                <w:tcPr>
                  <w:tcW w:w="1097" w:type="dxa"/>
                  <w:vAlign w:val="center"/>
                </w:tcPr>
                <w:p w14:paraId="27DB8DC1">
                  <w:pPr>
                    <w:adjustRightInd w:val="0"/>
                    <w:snapToGrid w:val="0"/>
                    <w:jc w:val="center"/>
                    <w:rPr>
                      <w:b/>
                      <w:bCs/>
                      <w:color w:val="auto"/>
                      <w:szCs w:val="21"/>
                    </w:rPr>
                  </w:pPr>
                  <w:r>
                    <w:rPr>
                      <w:b/>
                      <w:bCs/>
                      <w:color w:val="auto"/>
                      <w:szCs w:val="21"/>
                    </w:rPr>
                    <w:t>排放浓度mg/m</w:t>
                  </w:r>
                  <w:r>
                    <w:rPr>
                      <w:b/>
                      <w:bCs/>
                      <w:color w:val="auto"/>
                      <w:szCs w:val="21"/>
                      <w:vertAlign w:val="superscript"/>
                    </w:rPr>
                    <w:t>3</w:t>
                  </w:r>
                </w:p>
              </w:tc>
            </w:tr>
            <w:tr w14:paraId="2626B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6" w:type="dxa"/>
                  <w:vMerge w:val="restart"/>
                  <w:vAlign w:val="center"/>
                </w:tcPr>
                <w:p w14:paraId="2FC81558">
                  <w:pPr>
                    <w:adjustRightInd w:val="0"/>
                    <w:snapToGrid w:val="0"/>
                    <w:jc w:val="center"/>
                    <w:rPr>
                      <w:color w:val="auto"/>
                      <w:szCs w:val="21"/>
                    </w:rPr>
                  </w:pPr>
                  <w:r>
                    <w:rPr>
                      <w:rFonts w:hint="eastAsia"/>
                      <w:color w:val="auto"/>
                      <w:szCs w:val="21"/>
                    </w:rPr>
                    <w:t>木料加工、</w:t>
                  </w:r>
                  <w:r>
                    <w:rPr>
                      <w:rFonts w:hint="eastAsia"/>
                      <w:color w:val="auto"/>
                      <w:szCs w:val="21"/>
                      <w:lang w:val="en-US" w:eastAsia="zh-CN"/>
                    </w:rPr>
                    <w:t>砂光、</w:t>
                  </w:r>
                  <w:r>
                    <w:rPr>
                      <w:rFonts w:hint="eastAsia"/>
                      <w:color w:val="auto"/>
                      <w:szCs w:val="21"/>
                    </w:rPr>
                    <w:t>打磨</w:t>
                  </w:r>
                </w:p>
              </w:tc>
              <w:tc>
                <w:tcPr>
                  <w:tcW w:w="468" w:type="dxa"/>
                  <w:vMerge w:val="restart"/>
                  <w:vAlign w:val="center"/>
                </w:tcPr>
                <w:p w14:paraId="0F3C50F8">
                  <w:pPr>
                    <w:adjustRightInd w:val="0"/>
                    <w:snapToGrid w:val="0"/>
                    <w:jc w:val="center"/>
                    <w:rPr>
                      <w:color w:val="auto"/>
                      <w:szCs w:val="21"/>
                    </w:rPr>
                  </w:pPr>
                  <w:r>
                    <w:rPr>
                      <w:rFonts w:hint="eastAsia"/>
                      <w:color w:val="auto"/>
                      <w:szCs w:val="21"/>
                    </w:rPr>
                    <w:t>一车间</w:t>
                  </w:r>
                </w:p>
              </w:tc>
              <w:tc>
                <w:tcPr>
                  <w:tcW w:w="468" w:type="dxa"/>
                  <w:vMerge w:val="restart"/>
                  <w:vAlign w:val="center"/>
                </w:tcPr>
                <w:p w14:paraId="07690206">
                  <w:pPr>
                    <w:adjustRightInd w:val="0"/>
                    <w:snapToGrid w:val="0"/>
                    <w:jc w:val="center"/>
                    <w:rPr>
                      <w:color w:val="auto"/>
                      <w:szCs w:val="21"/>
                    </w:rPr>
                  </w:pPr>
                  <w:r>
                    <w:rPr>
                      <w:color w:val="auto"/>
                      <w:szCs w:val="21"/>
                    </w:rPr>
                    <w:t>颗粒物</w:t>
                  </w:r>
                </w:p>
              </w:tc>
              <w:tc>
                <w:tcPr>
                  <w:tcW w:w="926" w:type="dxa"/>
                  <w:vAlign w:val="center"/>
                </w:tcPr>
                <w:p w14:paraId="3EEEA720">
                  <w:pPr>
                    <w:adjustRightInd w:val="0"/>
                    <w:snapToGrid w:val="0"/>
                    <w:jc w:val="center"/>
                    <w:rPr>
                      <w:rFonts w:hint="default" w:eastAsia="宋体"/>
                      <w:color w:val="auto"/>
                      <w:szCs w:val="21"/>
                      <w:lang w:val="en-US" w:eastAsia="zh-CN"/>
                    </w:rPr>
                  </w:pPr>
                  <w:r>
                    <w:rPr>
                      <w:rFonts w:hint="eastAsia"/>
                      <w:b/>
                      <w:bCs/>
                      <w:color w:val="auto"/>
                      <w:szCs w:val="21"/>
                      <w:u w:val="single"/>
                      <w:lang w:val="en-US" w:eastAsia="zh-CN"/>
                    </w:rPr>
                    <w:t>2.36</w:t>
                  </w:r>
                </w:p>
              </w:tc>
              <w:tc>
                <w:tcPr>
                  <w:tcW w:w="1074" w:type="dxa"/>
                  <w:tcBorders>
                    <w:right w:val="single" w:color="000000" w:sz="4" w:space="0"/>
                  </w:tcBorders>
                  <w:vAlign w:val="center"/>
                </w:tcPr>
                <w:p w14:paraId="7C5DBC18">
                  <w:pPr>
                    <w:adjustRightInd w:val="0"/>
                    <w:snapToGrid w:val="0"/>
                    <w:jc w:val="center"/>
                    <w:rPr>
                      <w:rFonts w:hint="default" w:eastAsia="宋体"/>
                      <w:color w:val="auto"/>
                      <w:szCs w:val="21"/>
                      <w:lang w:val="en-US" w:eastAsia="zh-CN"/>
                    </w:rPr>
                  </w:pPr>
                  <w:r>
                    <w:rPr>
                      <w:rFonts w:hint="eastAsia"/>
                      <w:b/>
                      <w:bCs/>
                      <w:color w:val="auto"/>
                      <w:szCs w:val="21"/>
                      <w:u w:val="single"/>
                      <w:lang w:val="en-US" w:eastAsia="zh-CN"/>
                    </w:rPr>
                    <w:t>0.9833</w:t>
                  </w:r>
                </w:p>
              </w:tc>
              <w:tc>
                <w:tcPr>
                  <w:tcW w:w="877" w:type="dxa"/>
                  <w:tcBorders>
                    <w:left w:val="single" w:color="000000" w:sz="4" w:space="0"/>
                  </w:tcBorders>
                  <w:vAlign w:val="center"/>
                </w:tcPr>
                <w:p w14:paraId="4B1B291B">
                  <w:pPr>
                    <w:adjustRightInd w:val="0"/>
                    <w:snapToGrid w:val="0"/>
                    <w:jc w:val="center"/>
                    <w:rPr>
                      <w:rFonts w:hint="default" w:eastAsia="宋体"/>
                      <w:color w:val="auto"/>
                      <w:szCs w:val="21"/>
                      <w:lang w:val="en-US" w:eastAsia="zh-CN"/>
                    </w:rPr>
                  </w:pPr>
                  <w:r>
                    <w:rPr>
                      <w:rFonts w:hint="eastAsia"/>
                      <w:b/>
                      <w:bCs/>
                      <w:color w:val="auto"/>
                      <w:szCs w:val="21"/>
                      <w:u w:val="single"/>
                      <w:lang w:val="en-US" w:eastAsia="zh-CN"/>
                    </w:rPr>
                    <w:t>151.3</w:t>
                  </w:r>
                </w:p>
              </w:tc>
              <w:tc>
                <w:tcPr>
                  <w:tcW w:w="909" w:type="dxa"/>
                  <w:vAlign w:val="center"/>
                </w:tcPr>
                <w:p w14:paraId="72DBC83D">
                  <w:pPr>
                    <w:adjustRightInd w:val="0"/>
                    <w:snapToGrid w:val="0"/>
                    <w:jc w:val="center"/>
                    <w:rPr>
                      <w:color w:val="auto"/>
                      <w:szCs w:val="21"/>
                    </w:rPr>
                  </w:pPr>
                  <w:r>
                    <w:rPr>
                      <w:color w:val="auto"/>
                      <w:szCs w:val="21"/>
                    </w:rPr>
                    <w:t>有组织</w:t>
                  </w:r>
                </w:p>
              </w:tc>
              <w:tc>
                <w:tcPr>
                  <w:tcW w:w="1719" w:type="dxa"/>
                  <w:vAlign w:val="center"/>
                </w:tcPr>
                <w:p w14:paraId="46DAD863">
                  <w:pPr>
                    <w:adjustRightInd w:val="0"/>
                    <w:snapToGrid w:val="0"/>
                    <w:jc w:val="center"/>
                    <w:rPr>
                      <w:rFonts w:hint="eastAsia" w:eastAsia="宋体"/>
                      <w:color w:val="auto"/>
                      <w:szCs w:val="21"/>
                      <w:lang w:eastAsia="zh-CN"/>
                    </w:rPr>
                  </w:pPr>
                  <w:r>
                    <w:rPr>
                      <w:rFonts w:hint="eastAsia"/>
                      <w:color w:val="auto"/>
                      <w:szCs w:val="21"/>
                      <w:lang w:val="en-US" w:eastAsia="zh-CN"/>
                    </w:rPr>
                    <w:t>中央除尘器</w:t>
                  </w:r>
                </w:p>
              </w:tc>
              <w:tc>
                <w:tcPr>
                  <w:tcW w:w="807" w:type="dxa"/>
                  <w:vAlign w:val="center"/>
                </w:tcPr>
                <w:p w14:paraId="4024FEB8">
                  <w:pPr>
                    <w:adjustRightInd w:val="0"/>
                    <w:snapToGrid w:val="0"/>
                    <w:jc w:val="center"/>
                    <w:rPr>
                      <w:rFonts w:hint="default" w:eastAsia="宋体"/>
                      <w:b/>
                      <w:bCs/>
                      <w:color w:val="auto"/>
                      <w:szCs w:val="21"/>
                      <w:u w:val="single"/>
                      <w:lang w:val="en-US" w:eastAsia="zh-CN"/>
                    </w:rPr>
                  </w:pPr>
                  <w:r>
                    <w:rPr>
                      <w:rFonts w:hint="eastAsia"/>
                      <w:b/>
                      <w:bCs/>
                      <w:color w:val="auto"/>
                      <w:szCs w:val="21"/>
                      <w:u w:val="single"/>
                      <w:lang w:val="en-US" w:eastAsia="zh-CN"/>
                    </w:rPr>
                    <w:t>90</w:t>
                  </w:r>
                </w:p>
              </w:tc>
              <w:tc>
                <w:tcPr>
                  <w:tcW w:w="938" w:type="dxa"/>
                  <w:vAlign w:val="center"/>
                </w:tcPr>
                <w:p w14:paraId="1BA9428E">
                  <w:pPr>
                    <w:adjustRightInd w:val="0"/>
                    <w:snapToGrid w:val="0"/>
                    <w:jc w:val="center"/>
                    <w:rPr>
                      <w:rFonts w:hint="eastAsia" w:eastAsia="宋体"/>
                      <w:b/>
                      <w:bCs/>
                      <w:color w:val="auto"/>
                      <w:szCs w:val="21"/>
                      <w:u w:val="single"/>
                      <w:lang w:eastAsia="zh-CN"/>
                    </w:rPr>
                  </w:pPr>
                  <w:r>
                    <w:rPr>
                      <w:rFonts w:hint="eastAsia"/>
                      <w:b/>
                      <w:bCs/>
                      <w:color w:val="auto"/>
                      <w:sz w:val="21"/>
                      <w:szCs w:val="21"/>
                      <w:highlight w:val="none"/>
                      <w:u w:val="single"/>
                      <w:lang w:val="en-US" w:eastAsia="zh-CN"/>
                    </w:rPr>
                    <w:t>99</w:t>
                  </w:r>
                </w:p>
              </w:tc>
              <w:tc>
                <w:tcPr>
                  <w:tcW w:w="1242" w:type="dxa"/>
                  <w:vAlign w:val="center"/>
                </w:tcPr>
                <w:p w14:paraId="07FBB9A4">
                  <w:pPr>
                    <w:adjustRightInd w:val="0"/>
                    <w:snapToGrid w:val="0"/>
                    <w:jc w:val="center"/>
                    <w:rPr>
                      <w:rFonts w:hint="default" w:eastAsia="宋体"/>
                      <w:b/>
                      <w:bCs/>
                      <w:color w:val="auto"/>
                      <w:szCs w:val="21"/>
                      <w:u w:val="single"/>
                      <w:lang w:val="en-US" w:eastAsia="zh-CN"/>
                    </w:rPr>
                  </w:pPr>
                  <w:r>
                    <w:rPr>
                      <w:rFonts w:hint="eastAsia"/>
                      <w:b/>
                      <w:bCs/>
                      <w:color w:val="auto"/>
                      <w:szCs w:val="21"/>
                      <w:u w:val="single"/>
                      <w:lang w:val="en-US" w:eastAsia="zh-CN"/>
                    </w:rPr>
                    <w:t>6500</w:t>
                  </w:r>
                </w:p>
              </w:tc>
              <w:tc>
                <w:tcPr>
                  <w:tcW w:w="839" w:type="dxa"/>
                  <w:vAlign w:val="center"/>
                </w:tcPr>
                <w:p w14:paraId="2F96128E">
                  <w:pPr>
                    <w:adjustRightInd w:val="0"/>
                    <w:snapToGrid w:val="0"/>
                    <w:jc w:val="center"/>
                    <w:rPr>
                      <w:rFonts w:hint="default" w:eastAsia="宋体"/>
                      <w:b/>
                      <w:bCs/>
                      <w:color w:val="auto"/>
                      <w:szCs w:val="21"/>
                      <w:u w:val="single"/>
                      <w:lang w:val="en-US" w:eastAsia="zh-CN"/>
                    </w:rPr>
                  </w:pPr>
                  <w:r>
                    <w:rPr>
                      <w:rFonts w:hint="eastAsia"/>
                      <w:b/>
                      <w:bCs/>
                      <w:color w:val="auto"/>
                      <w:szCs w:val="21"/>
                      <w:u w:val="single"/>
                      <w:lang w:val="en-US" w:eastAsia="zh-CN"/>
                    </w:rPr>
                    <w:t>0.0212</w:t>
                  </w:r>
                </w:p>
              </w:tc>
              <w:tc>
                <w:tcPr>
                  <w:tcW w:w="1456" w:type="dxa"/>
                  <w:vAlign w:val="center"/>
                </w:tcPr>
                <w:p w14:paraId="744483F9">
                  <w:pPr>
                    <w:adjustRightInd w:val="0"/>
                    <w:snapToGrid w:val="0"/>
                    <w:jc w:val="center"/>
                    <w:rPr>
                      <w:rFonts w:hint="default" w:eastAsia="宋体"/>
                      <w:color w:val="auto"/>
                      <w:szCs w:val="21"/>
                      <w:lang w:val="en-US" w:eastAsia="zh-CN"/>
                    </w:rPr>
                  </w:pPr>
                  <w:r>
                    <w:rPr>
                      <w:rFonts w:hint="eastAsia"/>
                      <w:b/>
                      <w:bCs/>
                      <w:color w:val="auto"/>
                      <w:szCs w:val="21"/>
                      <w:u w:val="single"/>
                    </w:rPr>
                    <w:t>0.0</w:t>
                  </w:r>
                  <w:r>
                    <w:rPr>
                      <w:rFonts w:hint="eastAsia"/>
                      <w:b/>
                      <w:bCs/>
                      <w:color w:val="auto"/>
                      <w:szCs w:val="21"/>
                      <w:u w:val="single"/>
                      <w:lang w:val="en-US" w:eastAsia="zh-CN"/>
                    </w:rPr>
                    <w:t>088</w:t>
                  </w:r>
                </w:p>
              </w:tc>
              <w:tc>
                <w:tcPr>
                  <w:tcW w:w="1097" w:type="dxa"/>
                  <w:vAlign w:val="center"/>
                </w:tcPr>
                <w:p w14:paraId="308E2885">
                  <w:pPr>
                    <w:adjustRightInd w:val="0"/>
                    <w:snapToGrid w:val="0"/>
                    <w:jc w:val="center"/>
                    <w:rPr>
                      <w:rFonts w:hint="default" w:eastAsia="宋体"/>
                      <w:color w:val="auto"/>
                      <w:szCs w:val="21"/>
                      <w:lang w:val="en-US" w:eastAsia="zh-CN"/>
                    </w:rPr>
                  </w:pPr>
                  <w:r>
                    <w:rPr>
                      <w:rFonts w:hint="eastAsia"/>
                      <w:b/>
                      <w:bCs/>
                      <w:color w:val="auto"/>
                      <w:szCs w:val="21"/>
                      <w:u w:val="single"/>
                      <w:lang w:val="en-US" w:eastAsia="zh-CN"/>
                    </w:rPr>
                    <w:t>1.4</w:t>
                  </w:r>
                </w:p>
              </w:tc>
            </w:tr>
            <w:tr w14:paraId="213AE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6" w:type="dxa"/>
                  <w:vMerge w:val="continue"/>
                  <w:vAlign w:val="center"/>
                </w:tcPr>
                <w:p w14:paraId="0B195AB7">
                  <w:pPr>
                    <w:adjustRightInd w:val="0"/>
                    <w:snapToGrid w:val="0"/>
                    <w:jc w:val="center"/>
                    <w:rPr>
                      <w:color w:val="auto"/>
                      <w:szCs w:val="21"/>
                    </w:rPr>
                  </w:pPr>
                </w:p>
              </w:tc>
              <w:tc>
                <w:tcPr>
                  <w:tcW w:w="468" w:type="dxa"/>
                  <w:vMerge w:val="continue"/>
                  <w:tcBorders>
                    <w:bottom w:val="single" w:color="000000" w:sz="4" w:space="0"/>
                  </w:tcBorders>
                  <w:vAlign w:val="center"/>
                </w:tcPr>
                <w:p w14:paraId="2F215BDD">
                  <w:pPr>
                    <w:adjustRightInd w:val="0"/>
                    <w:snapToGrid w:val="0"/>
                    <w:jc w:val="center"/>
                    <w:rPr>
                      <w:color w:val="auto"/>
                      <w:szCs w:val="21"/>
                    </w:rPr>
                  </w:pPr>
                </w:p>
              </w:tc>
              <w:tc>
                <w:tcPr>
                  <w:tcW w:w="468" w:type="dxa"/>
                  <w:vMerge w:val="continue"/>
                  <w:tcBorders>
                    <w:bottom w:val="single" w:color="000000" w:sz="4" w:space="0"/>
                  </w:tcBorders>
                  <w:vAlign w:val="center"/>
                </w:tcPr>
                <w:p w14:paraId="3C5B4FFE">
                  <w:pPr>
                    <w:adjustRightInd w:val="0"/>
                    <w:snapToGrid w:val="0"/>
                    <w:jc w:val="center"/>
                    <w:rPr>
                      <w:color w:val="auto"/>
                      <w:szCs w:val="21"/>
                    </w:rPr>
                  </w:pPr>
                </w:p>
              </w:tc>
              <w:tc>
                <w:tcPr>
                  <w:tcW w:w="926" w:type="dxa"/>
                  <w:tcBorders>
                    <w:bottom w:val="single" w:color="000000" w:sz="4" w:space="0"/>
                  </w:tcBorders>
                  <w:vAlign w:val="center"/>
                </w:tcPr>
                <w:p w14:paraId="4A67A14F">
                  <w:pPr>
                    <w:adjustRightInd w:val="0"/>
                    <w:snapToGrid w:val="0"/>
                    <w:jc w:val="center"/>
                    <w:rPr>
                      <w:rFonts w:hint="default" w:eastAsia="宋体"/>
                      <w:b/>
                      <w:bCs/>
                      <w:color w:val="auto"/>
                      <w:szCs w:val="21"/>
                      <w:u w:val="single"/>
                      <w:lang w:val="en-US" w:eastAsia="zh-CN"/>
                    </w:rPr>
                  </w:pPr>
                  <w:r>
                    <w:rPr>
                      <w:rFonts w:hint="eastAsia"/>
                      <w:b/>
                      <w:bCs/>
                      <w:color w:val="auto"/>
                      <w:szCs w:val="21"/>
                      <w:u w:val="single"/>
                      <w:lang w:val="en-US" w:eastAsia="zh-CN"/>
                    </w:rPr>
                    <w:t>0.236</w:t>
                  </w:r>
                </w:p>
              </w:tc>
              <w:tc>
                <w:tcPr>
                  <w:tcW w:w="1074" w:type="dxa"/>
                  <w:tcBorders>
                    <w:bottom w:val="single" w:color="000000" w:sz="4" w:space="0"/>
                    <w:right w:val="single" w:color="000000" w:sz="4" w:space="0"/>
                  </w:tcBorders>
                  <w:vAlign w:val="center"/>
                </w:tcPr>
                <w:p w14:paraId="12C44A21">
                  <w:pPr>
                    <w:adjustRightInd w:val="0"/>
                    <w:snapToGrid w:val="0"/>
                    <w:jc w:val="center"/>
                    <w:rPr>
                      <w:b/>
                      <w:bCs/>
                      <w:color w:val="auto"/>
                      <w:szCs w:val="21"/>
                      <w:u w:val="single"/>
                    </w:rPr>
                  </w:pPr>
                  <w:r>
                    <w:rPr>
                      <w:rFonts w:hint="eastAsia"/>
                      <w:b/>
                      <w:bCs/>
                      <w:color w:val="auto"/>
                      <w:szCs w:val="21"/>
                      <w:u w:val="single"/>
                    </w:rPr>
                    <w:t>0.0</w:t>
                  </w:r>
                  <w:r>
                    <w:rPr>
                      <w:rFonts w:hint="eastAsia"/>
                      <w:b/>
                      <w:bCs/>
                      <w:color w:val="auto"/>
                      <w:szCs w:val="21"/>
                      <w:u w:val="single"/>
                      <w:lang w:val="en-US" w:eastAsia="zh-CN"/>
                    </w:rPr>
                    <w:t>9</w:t>
                  </w:r>
                  <w:r>
                    <w:rPr>
                      <w:rFonts w:hint="eastAsia"/>
                      <w:b/>
                      <w:bCs/>
                      <w:color w:val="auto"/>
                      <w:szCs w:val="21"/>
                      <w:u w:val="single"/>
                    </w:rPr>
                    <w:t>83</w:t>
                  </w:r>
                </w:p>
              </w:tc>
              <w:tc>
                <w:tcPr>
                  <w:tcW w:w="877" w:type="dxa"/>
                  <w:tcBorders>
                    <w:left w:val="single" w:color="000000" w:sz="4" w:space="0"/>
                    <w:bottom w:val="single" w:color="000000" w:sz="4" w:space="0"/>
                  </w:tcBorders>
                  <w:vAlign w:val="center"/>
                </w:tcPr>
                <w:p w14:paraId="376F569B">
                  <w:pPr>
                    <w:adjustRightInd w:val="0"/>
                    <w:snapToGrid w:val="0"/>
                    <w:jc w:val="center"/>
                    <w:rPr>
                      <w:color w:val="auto"/>
                      <w:szCs w:val="21"/>
                    </w:rPr>
                  </w:pPr>
                  <w:r>
                    <w:rPr>
                      <w:rFonts w:hint="eastAsia"/>
                      <w:color w:val="auto"/>
                      <w:szCs w:val="21"/>
                    </w:rPr>
                    <w:t>/</w:t>
                  </w:r>
                </w:p>
              </w:tc>
              <w:tc>
                <w:tcPr>
                  <w:tcW w:w="909" w:type="dxa"/>
                  <w:tcBorders>
                    <w:bottom w:val="single" w:color="000000" w:sz="4" w:space="0"/>
                  </w:tcBorders>
                  <w:vAlign w:val="center"/>
                </w:tcPr>
                <w:p w14:paraId="1C04A5D5">
                  <w:pPr>
                    <w:adjustRightInd w:val="0"/>
                    <w:snapToGrid w:val="0"/>
                    <w:jc w:val="center"/>
                    <w:rPr>
                      <w:color w:val="auto"/>
                      <w:szCs w:val="21"/>
                    </w:rPr>
                  </w:pPr>
                  <w:r>
                    <w:rPr>
                      <w:color w:val="auto"/>
                      <w:szCs w:val="21"/>
                    </w:rPr>
                    <w:t>无组织</w:t>
                  </w:r>
                </w:p>
              </w:tc>
              <w:tc>
                <w:tcPr>
                  <w:tcW w:w="1719" w:type="dxa"/>
                  <w:tcBorders>
                    <w:bottom w:val="single" w:color="000000" w:sz="4" w:space="0"/>
                  </w:tcBorders>
                  <w:vAlign w:val="center"/>
                </w:tcPr>
                <w:p w14:paraId="524F14FA">
                  <w:pPr>
                    <w:adjustRightInd w:val="0"/>
                    <w:snapToGrid w:val="0"/>
                    <w:jc w:val="center"/>
                    <w:rPr>
                      <w:color w:val="auto"/>
                      <w:szCs w:val="21"/>
                    </w:rPr>
                  </w:pPr>
                  <w:r>
                    <w:rPr>
                      <w:color w:val="auto"/>
                      <w:szCs w:val="21"/>
                    </w:rPr>
                    <w:t>/</w:t>
                  </w:r>
                </w:p>
              </w:tc>
              <w:tc>
                <w:tcPr>
                  <w:tcW w:w="807" w:type="dxa"/>
                  <w:tcBorders>
                    <w:bottom w:val="single" w:color="000000" w:sz="4" w:space="0"/>
                  </w:tcBorders>
                  <w:vAlign w:val="center"/>
                </w:tcPr>
                <w:p w14:paraId="74FEC7EC">
                  <w:pPr>
                    <w:adjustRightInd w:val="0"/>
                    <w:snapToGrid w:val="0"/>
                    <w:jc w:val="center"/>
                    <w:rPr>
                      <w:color w:val="auto"/>
                      <w:szCs w:val="21"/>
                    </w:rPr>
                  </w:pPr>
                  <w:r>
                    <w:rPr>
                      <w:color w:val="auto"/>
                      <w:szCs w:val="21"/>
                    </w:rPr>
                    <w:t>/</w:t>
                  </w:r>
                </w:p>
              </w:tc>
              <w:tc>
                <w:tcPr>
                  <w:tcW w:w="938" w:type="dxa"/>
                  <w:tcBorders>
                    <w:bottom w:val="single" w:color="000000" w:sz="4" w:space="0"/>
                  </w:tcBorders>
                  <w:vAlign w:val="center"/>
                </w:tcPr>
                <w:p w14:paraId="2708E73A">
                  <w:pPr>
                    <w:adjustRightInd w:val="0"/>
                    <w:snapToGrid w:val="0"/>
                    <w:jc w:val="center"/>
                    <w:rPr>
                      <w:color w:val="auto"/>
                      <w:szCs w:val="21"/>
                    </w:rPr>
                  </w:pPr>
                  <w:r>
                    <w:rPr>
                      <w:color w:val="auto"/>
                      <w:szCs w:val="21"/>
                    </w:rPr>
                    <w:t>/</w:t>
                  </w:r>
                </w:p>
              </w:tc>
              <w:tc>
                <w:tcPr>
                  <w:tcW w:w="1242" w:type="dxa"/>
                  <w:tcBorders>
                    <w:bottom w:val="single" w:color="000000" w:sz="4" w:space="0"/>
                  </w:tcBorders>
                  <w:vAlign w:val="center"/>
                </w:tcPr>
                <w:p w14:paraId="06EC92DC">
                  <w:pPr>
                    <w:adjustRightInd w:val="0"/>
                    <w:snapToGrid w:val="0"/>
                    <w:jc w:val="center"/>
                    <w:rPr>
                      <w:color w:val="auto"/>
                      <w:szCs w:val="21"/>
                    </w:rPr>
                  </w:pPr>
                  <w:r>
                    <w:rPr>
                      <w:color w:val="auto"/>
                      <w:szCs w:val="21"/>
                    </w:rPr>
                    <w:t>/</w:t>
                  </w:r>
                </w:p>
              </w:tc>
              <w:tc>
                <w:tcPr>
                  <w:tcW w:w="839" w:type="dxa"/>
                  <w:tcBorders>
                    <w:bottom w:val="single" w:color="000000" w:sz="4" w:space="0"/>
                  </w:tcBorders>
                  <w:vAlign w:val="center"/>
                </w:tcPr>
                <w:p w14:paraId="111C6C27">
                  <w:pPr>
                    <w:adjustRightInd w:val="0"/>
                    <w:snapToGrid w:val="0"/>
                    <w:jc w:val="center"/>
                    <w:rPr>
                      <w:color w:val="auto"/>
                      <w:szCs w:val="21"/>
                    </w:rPr>
                  </w:pPr>
                  <w:r>
                    <w:rPr>
                      <w:rFonts w:hint="eastAsia"/>
                      <w:b/>
                      <w:bCs/>
                      <w:color w:val="auto"/>
                      <w:szCs w:val="21"/>
                      <w:u w:val="single"/>
                      <w:lang w:val="en-US" w:eastAsia="zh-CN"/>
                    </w:rPr>
                    <w:t>0.236</w:t>
                  </w:r>
                </w:p>
              </w:tc>
              <w:tc>
                <w:tcPr>
                  <w:tcW w:w="1456" w:type="dxa"/>
                  <w:tcBorders>
                    <w:bottom w:val="single" w:color="000000" w:sz="4" w:space="0"/>
                  </w:tcBorders>
                  <w:vAlign w:val="center"/>
                </w:tcPr>
                <w:p w14:paraId="1A1DA3D0">
                  <w:pPr>
                    <w:adjustRightInd w:val="0"/>
                    <w:snapToGrid w:val="0"/>
                    <w:jc w:val="center"/>
                    <w:rPr>
                      <w:color w:val="auto"/>
                      <w:szCs w:val="21"/>
                    </w:rPr>
                  </w:pPr>
                  <w:r>
                    <w:rPr>
                      <w:rFonts w:hint="eastAsia"/>
                      <w:b/>
                      <w:bCs/>
                      <w:color w:val="auto"/>
                      <w:szCs w:val="21"/>
                      <w:u w:val="single"/>
                    </w:rPr>
                    <w:t>0.0</w:t>
                  </w:r>
                  <w:r>
                    <w:rPr>
                      <w:rFonts w:hint="eastAsia"/>
                      <w:b/>
                      <w:bCs/>
                      <w:color w:val="auto"/>
                      <w:szCs w:val="21"/>
                      <w:u w:val="single"/>
                      <w:lang w:val="en-US" w:eastAsia="zh-CN"/>
                    </w:rPr>
                    <w:t>9</w:t>
                  </w:r>
                  <w:r>
                    <w:rPr>
                      <w:rFonts w:hint="eastAsia"/>
                      <w:b/>
                      <w:bCs/>
                      <w:color w:val="auto"/>
                      <w:szCs w:val="21"/>
                      <w:u w:val="single"/>
                    </w:rPr>
                    <w:t>83</w:t>
                  </w:r>
                </w:p>
              </w:tc>
              <w:tc>
                <w:tcPr>
                  <w:tcW w:w="1097" w:type="dxa"/>
                  <w:tcBorders>
                    <w:bottom w:val="single" w:color="000000" w:sz="4" w:space="0"/>
                  </w:tcBorders>
                  <w:vAlign w:val="center"/>
                </w:tcPr>
                <w:p w14:paraId="6F1F10D7">
                  <w:pPr>
                    <w:adjustRightInd w:val="0"/>
                    <w:snapToGrid w:val="0"/>
                    <w:jc w:val="center"/>
                    <w:rPr>
                      <w:color w:val="auto"/>
                      <w:szCs w:val="21"/>
                    </w:rPr>
                  </w:pPr>
                  <w:r>
                    <w:rPr>
                      <w:rFonts w:hint="eastAsia"/>
                      <w:color w:val="auto"/>
                      <w:szCs w:val="21"/>
                    </w:rPr>
                    <w:t>/</w:t>
                  </w:r>
                </w:p>
              </w:tc>
            </w:tr>
            <w:tr w14:paraId="5C905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6" w:type="dxa"/>
                  <w:vMerge w:val="continue"/>
                  <w:vAlign w:val="center"/>
                </w:tcPr>
                <w:p w14:paraId="31C3640D">
                  <w:pPr>
                    <w:adjustRightInd w:val="0"/>
                    <w:snapToGrid w:val="0"/>
                    <w:jc w:val="center"/>
                    <w:rPr>
                      <w:color w:val="auto"/>
                      <w:szCs w:val="21"/>
                    </w:rPr>
                  </w:pPr>
                </w:p>
              </w:tc>
              <w:tc>
                <w:tcPr>
                  <w:tcW w:w="468" w:type="dxa"/>
                  <w:vMerge w:val="restart"/>
                  <w:vAlign w:val="center"/>
                </w:tcPr>
                <w:p w14:paraId="50A9F2BC">
                  <w:pPr>
                    <w:adjustRightInd w:val="0"/>
                    <w:snapToGrid w:val="0"/>
                    <w:jc w:val="center"/>
                    <w:rPr>
                      <w:color w:val="auto"/>
                      <w:szCs w:val="21"/>
                    </w:rPr>
                  </w:pPr>
                  <w:r>
                    <w:rPr>
                      <w:rFonts w:hint="eastAsia"/>
                      <w:color w:val="auto"/>
                      <w:szCs w:val="21"/>
                    </w:rPr>
                    <w:t>二车间</w:t>
                  </w:r>
                </w:p>
              </w:tc>
              <w:tc>
                <w:tcPr>
                  <w:tcW w:w="468" w:type="dxa"/>
                  <w:vMerge w:val="restart"/>
                  <w:vAlign w:val="center"/>
                </w:tcPr>
                <w:p w14:paraId="62A4875F">
                  <w:pPr>
                    <w:adjustRightInd w:val="0"/>
                    <w:snapToGrid w:val="0"/>
                    <w:jc w:val="center"/>
                    <w:rPr>
                      <w:color w:val="auto"/>
                      <w:szCs w:val="21"/>
                    </w:rPr>
                  </w:pPr>
                  <w:r>
                    <w:rPr>
                      <w:color w:val="auto"/>
                      <w:szCs w:val="21"/>
                    </w:rPr>
                    <w:t>颗粒物</w:t>
                  </w:r>
                </w:p>
              </w:tc>
              <w:tc>
                <w:tcPr>
                  <w:tcW w:w="926" w:type="dxa"/>
                  <w:tcBorders>
                    <w:bottom w:val="single" w:color="000000" w:sz="4" w:space="0"/>
                  </w:tcBorders>
                  <w:vAlign w:val="center"/>
                </w:tcPr>
                <w:p w14:paraId="771A3D2C">
                  <w:pPr>
                    <w:adjustRightInd w:val="0"/>
                    <w:snapToGrid w:val="0"/>
                    <w:jc w:val="center"/>
                    <w:rPr>
                      <w:rFonts w:hint="default" w:eastAsia="宋体"/>
                      <w:b/>
                      <w:bCs/>
                      <w:color w:val="auto"/>
                      <w:szCs w:val="21"/>
                      <w:u w:val="single"/>
                      <w:lang w:val="en-US" w:eastAsia="zh-CN"/>
                    </w:rPr>
                  </w:pPr>
                  <w:r>
                    <w:rPr>
                      <w:rFonts w:hint="eastAsia"/>
                      <w:b/>
                      <w:bCs/>
                      <w:color w:val="auto"/>
                      <w:szCs w:val="21"/>
                      <w:u w:val="single"/>
                      <w:lang w:val="en-US" w:eastAsia="zh-CN"/>
                    </w:rPr>
                    <w:t>0.2644</w:t>
                  </w:r>
                </w:p>
              </w:tc>
              <w:tc>
                <w:tcPr>
                  <w:tcW w:w="1074" w:type="dxa"/>
                  <w:tcBorders>
                    <w:bottom w:val="single" w:color="000000" w:sz="4" w:space="0"/>
                    <w:right w:val="single" w:color="000000" w:sz="4" w:space="0"/>
                  </w:tcBorders>
                  <w:vAlign w:val="center"/>
                </w:tcPr>
                <w:p w14:paraId="05D2EB10">
                  <w:pPr>
                    <w:adjustRightInd w:val="0"/>
                    <w:snapToGrid w:val="0"/>
                    <w:jc w:val="center"/>
                    <w:rPr>
                      <w:rFonts w:hint="default" w:eastAsia="宋体"/>
                      <w:b/>
                      <w:bCs/>
                      <w:color w:val="auto"/>
                      <w:szCs w:val="21"/>
                      <w:u w:val="single"/>
                      <w:lang w:val="en-US" w:eastAsia="zh-CN"/>
                    </w:rPr>
                  </w:pPr>
                  <w:r>
                    <w:rPr>
                      <w:rFonts w:hint="eastAsia"/>
                      <w:b/>
                      <w:bCs/>
                      <w:color w:val="auto"/>
                      <w:szCs w:val="21"/>
                      <w:u w:val="single"/>
                      <w:lang w:val="en-US" w:eastAsia="zh-CN"/>
                    </w:rPr>
                    <w:t>0.1102</w:t>
                  </w:r>
                </w:p>
              </w:tc>
              <w:tc>
                <w:tcPr>
                  <w:tcW w:w="877" w:type="dxa"/>
                  <w:tcBorders>
                    <w:left w:val="single" w:color="000000" w:sz="4" w:space="0"/>
                    <w:bottom w:val="single" w:color="000000" w:sz="4" w:space="0"/>
                  </w:tcBorders>
                  <w:vAlign w:val="center"/>
                </w:tcPr>
                <w:p w14:paraId="4198030B">
                  <w:pPr>
                    <w:adjustRightInd w:val="0"/>
                    <w:snapToGrid w:val="0"/>
                    <w:jc w:val="center"/>
                    <w:rPr>
                      <w:rFonts w:hint="default" w:eastAsia="宋体"/>
                      <w:color w:val="auto"/>
                      <w:szCs w:val="21"/>
                      <w:lang w:val="en-US" w:eastAsia="zh-CN"/>
                    </w:rPr>
                  </w:pPr>
                  <w:r>
                    <w:rPr>
                      <w:rFonts w:hint="eastAsia"/>
                      <w:b/>
                      <w:bCs/>
                      <w:color w:val="auto"/>
                      <w:szCs w:val="21"/>
                      <w:u w:val="single"/>
                      <w:lang w:val="en-US" w:eastAsia="zh-CN"/>
                    </w:rPr>
                    <w:t>110.2</w:t>
                  </w:r>
                </w:p>
              </w:tc>
              <w:tc>
                <w:tcPr>
                  <w:tcW w:w="909" w:type="dxa"/>
                  <w:tcBorders>
                    <w:bottom w:val="single" w:color="000000" w:sz="4" w:space="0"/>
                  </w:tcBorders>
                  <w:vAlign w:val="center"/>
                </w:tcPr>
                <w:p w14:paraId="68FBC119">
                  <w:pPr>
                    <w:adjustRightInd w:val="0"/>
                    <w:snapToGrid w:val="0"/>
                    <w:jc w:val="center"/>
                    <w:rPr>
                      <w:color w:val="auto"/>
                      <w:szCs w:val="21"/>
                    </w:rPr>
                  </w:pPr>
                  <w:r>
                    <w:rPr>
                      <w:color w:val="auto"/>
                      <w:szCs w:val="21"/>
                    </w:rPr>
                    <w:t>有组织</w:t>
                  </w:r>
                </w:p>
              </w:tc>
              <w:tc>
                <w:tcPr>
                  <w:tcW w:w="1719" w:type="dxa"/>
                  <w:tcBorders>
                    <w:bottom w:val="single" w:color="000000" w:sz="4" w:space="0"/>
                  </w:tcBorders>
                  <w:vAlign w:val="center"/>
                </w:tcPr>
                <w:p w14:paraId="25A91817">
                  <w:pPr>
                    <w:adjustRightInd w:val="0"/>
                    <w:snapToGrid w:val="0"/>
                    <w:jc w:val="center"/>
                    <w:rPr>
                      <w:color w:val="auto"/>
                      <w:szCs w:val="21"/>
                    </w:rPr>
                  </w:pPr>
                  <w:r>
                    <w:rPr>
                      <w:rFonts w:hint="eastAsia"/>
                      <w:color w:val="auto"/>
                      <w:szCs w:val="21"/>
                      <w:lang w:val="en-US" w:eastAsia="zh-CN"/>
                    </w:rPr>
                    <w:t>中央除尘器</w:t>
                  </w:r>
                </w:p>
              </w:tc>
              <w:tc>
                <w:tcPr>
                  <w:tcW w:w="807" w:type="dxa"/>
                  <w:tcBorders>
                    <w:bottom w:val="single" w:color="000000" w:sz="4" w:space="0"/>
                  </w:tcBorders>
                  <w:vAlign w:val="center"/>
                </w:tcPr>
                <w:p w14:paraId="048E54EE">
                  <w:pPr>
                    <w:adjustRightInd w:val="0"/>
                    <w:snapToGrid w:val="0"/>
                    <w:jc w:val="center"/>
                    <w:rPr>
                      <w:rFonts w:hint="default" w:eastAsia="宋体"/>
                      <w:b/>
                      <w:bCs/>
                      <w:color w:val="auto"/>
                      <w:szCs w:val="21"/>
                      <w:u w:val="single"/>
                      <w:lang w:val="en-US" w:eastAsia="zh-CN"/>
                    </w:rPr>
                  </w:pPr>
                  <w:r>
                    <w:rPr>
                      <w:rFonts w:hint="eastAsia"/>
                      <w:b/>
                      <w:bCs/>
                      <w:color w:val="auto"/>
                      <w:szCs w:val="21"/>
                      <w:u w:val="single"/>
                      <w:lang w:val="en-US" w:eastAsia="zh-CN"/>
                    </w:rPr>
                    <w:t>90</w:t>
                  </w:r>
                </w:p>
              </w:tc>
              <w:tc>
                <w:tcPr>
                  <w:tcW w:w="938" w:type="dxa"/>
                  <w:tcBorders>
                    <w:bottom w:val="single" w:color="000000" w:sz="4" w:space="0"/>
                  </w:tcBorders>
                  <w:vAlign w:val="center"/>
                </w:tcPr>
                <w:p w14:paraId="36E9040F">
                  <w:pPr>
                    <w:adjustRightInd w:val="0"/>
                    <w:snapToGrid w:val="0"/>
                    <w:jc w:val="center"/>
                    <w:rPr>
                      <w:rFonts w:hint="default" w:eastAsia="宋体"/>
                      <w:b/>
                      <w:bCs/>
                      <w:color w:val="auto"/>
                      <w:szCs w:val="21"/>
                      <w:u w:val="single"/>
                      <w:lang w:val="en-US" w:eastAsia="zh-CN"/>
                    </w:rPr>
                  </w:pPr>
                  <w:r>
                    <w:rPr>
                      <w:rFonts w:hint="eastAsia"/>
                      <w:b/>
                      <w:bCs/>
                      <w:color w:val="auto"/>
                      <w:sz w:val="21"/>
                      <w:szCs w:val="21"/>
                      <w:highlight w:val="none"/>
                      <w:u w:val="single"/>
                      <w:lang w:val="en-US" w:eastAsia="zh-CN"/>
                    </w:rPr>
                    <w:t>99</w:t>
                  </w:r>
                </w:p>
              </w:tc>
              <w:tc>
                <w:tcPr>
                  <w:tcW w:w="1242" w:type="dxa"/>
                  <w:tcBorders>
                    <w:bottom w:val="single" w:color="000000" w:sz="4" w:space="0"/>
                  </w:tcBorders>
                  <w:vAlign w:val="center"/>
                </w:tcPr>
                <w:p w14:paraId="55728A2B">
                  <w:pPr>
                    <w:adjustRightInd w:val="0"/>
                    <w:snapToGrid w:val="0"/>
                    <w:jc w:val="center"/>
                    <w:rPr>
                      <w:rFonts w:hint="default" w:eastAsia="宋体"/>
                      <w:b/>
                      <w:bCs/>
                      <w:color w:val="auto"/>
                      <w:szCs w:val="21"/>
                      <w:u w:val="single"/>
                      <w:lang w:val="en-US" w:eastAsia="zh-CN"/>
                    </w:rPr>
                  </w:pPr>
                  <w:r>
                    <w:rPr>
                      <w:rFonts w:hint="eastAsia"/>
                      <w:b/>
                      <w:bCs/>
                      <w:color w:val="auto"/>
                      <w:szCs w:val="21"/>
                      <w:u w:val="single"/>
                      <w:lang w:val="en-US" w:eastAsia="zh-CN"/>
                    </w:rPr>
                    <w:t>1000</w:t>
                  </w:r>
                </w:p>
              </w:tc>
              <w:tc>
                <w:tcPr>
                  <w:tcW w:w="839" w:type="dxa"/>
                  <w:tcBorders>
                    <w:bottom w:val="single" w:color="000000" w:sz="4" w:space="0"/>
                  </w:tcBorders>
                  <w:vAlign w:val="center"/>
                </w:tcPr>
                <w:p w14:paraId="4E8A0D8C">
                  <w:pPr>
                    <w:adjustRightInd w:val="0"/>
                    <w:snapToGrid w:val="0"/>
                    <w:jc w:val="center"/>
                    <w:rPr>
                      <w:rFonts w:hint="default" w:eastAsia="宋体"/>
                      <w:b/>
                      <w:bCs/>
                      <w:color w:val="auto"/>
                      <w:szCs w:val="21"/>
                      <w:u w:val="single"/>
                      <w:lang w:val="en-US" w:eastAsia="zh-CN"/>
                    </w:rPr>
                  </w:pPr>
                  <w:r>
                    <w:rPr>
                      <w:rFonts w:hint="eastAsia"/>
                      <w:b/>
                      <w:bCs/>
                      <w:color w:val="auto"/>
                      <w:szCs w:val="21"/>
                      <w:u w:val="single"/>
                      <w:lang w:val="en-US" w:eastAsia="zh-CN"/>
                    </w:rPr>
                    <w:t>0.0026</w:t>
                  </w:r>
                </w:p>
              </w:tc>
              <w:tc>
                <w:tcPr>
                  <w:tcW w:w="1456" w:type="dxa"/>
                  <w:tcBorders>
                    <w:bottom w:val="single" w:color="000000" w:sz="4" w:space="0"/>
                  </w:tcBorders>
                  <w:vAlign w:val="center"/>
                </w:tcPr>
                <w:p w14:paraId="5B100B67">
                  <w:pPr>
                    <w:adjustRightInd w:val="0"/>
                    <w:snapToGrid w:val="0"/>
                    <w:jc w:val="center"/>
                    <w:rPr>
                      <w:rFonts w:hint="default" w:eastAsia="宋体"/>
                      <w:b/>
                      <w:bCs/>
                      <w:color w:val="auto"/>
                      <w:szCs w:val="21"/>
                      <w:u w:val="single"/>
                      <w:lang w:val="en-US" w:eastAsia="zh-CN"/>
                    </w:rPr>
                  </w:pPr>
                  <w:r>
                    <w:rPr>
                      <w:rFonts w:hint="eastAsia"/>
                      <w:b/>
                      <w:bCs/>
                      <w:color w:val="auto"/>
                      <w:szCs w:val="21"/>
                      <w:u w:val="single"/>
                      <w:lang w:val="en-US" w:eastAsia="zh-CN"/>
                    </w:rPr>
                    <w:t>0.0011</w:t>
                  </w:r>
                </w:p>
              </w:tc>
              <w:tc>
                <w:tcPr>
                  <w:tcW w:w="1097" w:type="dxa"/>
                  <w:tcBorders>
                    <w:bottom w:val="single" w:color="000000" w:sz="4" w:space="0"/>
                  </w:tcBorders>
                  <w:vAlign w:val="center"/>
                </w:tcPr>
                <w:p w14:paraId="250F01F0">
                  <w:pPr>
                    <w:adjustRightInd w:val="0"/>
                    <w:snapToGrid w:val="0"/>
                    <w:jc w:val="center"/>
                    <w:rPr>
                      <w:rFonts w:hint="default" w:eastAsia="宋体"/>
                      <w:color w:val="auto"/>
                      <w:szCs w:val="21"/>
                      <w:lang w:val="en-US" w:eastAsia="zh-CN"/>
                    </w:rPr>
                  </w:pPr>
                  <w:r>
                    <w:rPr>
                      <w:rFonts w:hint="eastAsia"/>
                      <w:b/>
                      <w:bCs/>
                      <w:color w:val="auto"/>
                      <w:szCs w:val="21"/>
                      <w:u w:val="single"/>
                      <w:lang w:val="en-US" w:eastAsia="zh-CN"/>
                    </w:rPr>
                    <w:t>1.1</w:t>
                  </w:r>
                </w:p>
              </w:tc>
            </w:tr>
            <w:tr w14:paraId="32770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6" w:type="dxa"/>
                  <w:vMerge w:val="continue"/>
                  <w:vAlign w:val="center"/>
                </w:tcPr>
                <w:p w14:paraId="7B31E966">
                  <w:pPr>
                    <w:adjustRightInd w:val="0"/>
                    <w:snapToGrid w:val="0"/>
                    <w:jc w:val="center"/>
                    <w:rPr>
                      <w:color w:val="auto"/>
                      <w:szCs w:val="21"/>
                    </w:rPr>
                  </w:pPr>
                </w:p>
              </w:tc>
              <w:tc>
                <w:tcPr>
                  <w:tcW w:w="468" w:type="dxa"/>
                  <w:vMerge w:val="continue"/>
                  <w:tcBorders>
                    <w:bottom w:val="single" w:color="000000" w:sz="4" w:space="0"/>
                  </w:tcBorders>
                  <w:vAlign w:val="center"/>
                </w:tcPr>
                <w:p w14:paraId="1BBBE0C8">
                  <w:pPr>
                    <w:adjustRightInd w:val="0"/>
                    <w:snapToGrid w:val="0"/>
                    <w:jc w:val="center"/>
                    <w:rPr>
                      <w:color w:val="auto"/>
                      <w:szCs w:val="21"/>
                    </w:rPr>
                  </w:pPr>
                </w:p>
              </w:tc>
              <w:tc>
                <w:tcPr>
                  <w:tcW w:w="468" w:type="dxa"/>
                  <w:vMerge w:val="continue"/>
                  <w:tcBorders>
                    <w:bottom w:val="single" w:color="000000" w:sz="4" w:space="0"/>
                  </w:tcBorders>
                  <w:vAlign w:val="center"/>
                </w:tcPr>
                <w:p w14:paraId="14DBB343">
                  <w:pPr>
                    <w:adjustRightInd w:val="0"/>
                    <w:snapToGrid w:val="0"/>
                    <w:jc w:val="center"/>
                    <w:rPr>
                      <w:color w:val="auto"/>
                      <w:szCs w:val="21"/>
                    </w:rPr>
                  </w:pPr>
                </w:p>
              </w:tc>
              <w:tc>
                <w:tcPr>
                  <w:tcW w:w="926" w:type="dxa"/>
                  <w:tcBorders>
                    <w:bottom w:val="single" w:color="000000" w:sz="4" w:space="0"/>
                  </w:tcBorders>
                  <w:vAlign w:val="center"/>
                </w:tcPr>
                <w:p w14:paraId="22BE373B">
                  <w:pPr>
                    <w:adjustRightInd w:val="0"/>
                    <w:snapToGrid w:val="0"/>
                    <w:jc w:val="center"/>
                    <w:rPr>
                      <w:rFonts w:hint="default" w:eastAsia="宋体"/>
                      <w:b/>
                      <w:bCs/>
                      <w:color w:val="auto"/>
                      <w:szCs w:val="21"/>
                      <w:u w:val="single"/>
                      <w:lang w:val="en-US" w:eastAsia="zh-CN"/>
                    </w:rPr>
                  </w:pPr>
                  <w:r>
                    <w:rPr>
                      <w:rFonts w:hint="eastAsia"/>
                      <w:b/>
                      <w:bCs/>
                      <w:color w:val="auto"/>
                      <w:szCs w:val="21"/>
                      <w:u w:val="single"/>
                      <w:lang w:val="en-US" w:eastAsia="zh-CN"/>
                    </w:rPr>
                    <w:t>0.0294</w:t>
                  </w:r>
                </w:p>
              </w:tc>
              <w:tc>
                <w:tcPr>
                  <w:tcW w:w="1074" w:type="dxa"/>
                  <w:tcBorders>
                    <w:bottom w:val="single" w:color="000000" w:sz="4" w:space="0"/>
                    <w:right w:val="single" w:color="000000" w:sz="4" w:space="0"/>
                  </w:tcBorders>
                  <w:vAlign w:val="center"/>
                </w:tcPr>
                <w:p w14:paraId="59E0A737">
                  <w:pPr>
                    <w:adjustRightInd w:val="0"/>
                    <w:snapToGrid w:val="0"/>
                    <w:jc w:val="center"/>
                    <w:rPr>
                      <w:rFonts w:hint="default" w:eastAsia="宋体"/>
                      <w:b/>
                      <w:bCs/>
                      <w:color w:val="auto"/>
                      <w:szCs w:val="21"/>
                      <w:u w:val="single"/>
                      <w:lang w:val="en-US" w:eastAsia="zh-CN"/>
                    </w:rPr>
                  </w:pPr>
                  <w:r>
                    <w:rPr>
                      <w:rFonts w:hint="eastAsia"/>
                      <w:b/>
                      <w:bCs/>
                      <w:color w:val="auto"/>
                      <w:szCs w:val="21"/>
                      <w:u w:val="single"/>
                      <w:lang w:val="en-US" w:eastAsia="zh-CN"/>
                    </w:rPr>
                    <w:t>0.0123</w:t>
                  </w:r>
                </w:p>
              </w:tc>
              <w:tc>
                <w:tcPr>
                  <w:tcW w:w="877" w:type="dxa"/>
                  <w:tcBorders>
                    <w:left w:val="single" w:color="000000" w:sz="4" w:space="0"/>
                    <w:bottom w:val="single" w:color="000000" w:sz="4" w:space="0"/>
                  </w:tcBorders>
                  <w:vAlign w:val="center"/>
                </w:tcPr>
                <w:p w14:paraId="74EAF169">
                  <w:pPr>
                    <w:adjustRightInd w:val="0"/>
                    <w:snapToGrid w:val="0"/>
                    <w:jc w:val="center"/>
                    <w:rPr>
                      <w:rFonts w:hint="eastAsia"/>
                      <w:color w:val="auto"/>
                      <w:szCs w:val="21"/>
                    </w:rPr>
                  </w:pPr>
                  <w:r>
                    <w:rPr>
                      <w:rFonts w:hint="eastAsia"/>
                      <w:color w:val="auto"/>
                      <w:szCs w:val="21"/>
                    </w:rPr>
                    <w:t>/</w:t>
                  </w:r>
                </w:p>
              </w:tc>
              <w:tc>
                <w:tcPr>
                  <w:tcW w:w="909" w:type="dxa"/>
                  <w:tcBorders>
                    <w:bottom w:val="single" w:color="000000" w:sz="4" w:space="0"/>
                  </w:tcBorders>
                  <w:vAlign w:val="center"/>
                </w:tcPr>
                <w:p w14:paraId="3247E1CA">
                  <w:pPr>
                    <w:adjustRightInd w:val="0"/>
                    <w:snapToGrid w:val="0"/>
                    <w:jc w:val="center"/>
                    <w:rPr>
                      <w:color w:val="auto"/>
                      <w:szCs w:val="21"/>
                    </w:rPr>
                  </w:pPr>
                  <w:r>
                    <w:rPr>
                      <w:color w:val="auto"/>
                      <w:szCs w:val="21"/>
                    </w:rPr>
                    <w:t>无组织</w:t>
                  </w:r>
                </w:p>
              </w:tc>
              <w:tc>
                <w:tcPr>
                  <w:tcW w:w="1719" w:type="dxa"/>
                  <w:tcBorders>
                    <w:bottom w:val="single" w:color="000000" w:sz="4" w:space="0"/>
                  </w:tcBorders>
                  <w:vAlign w:val="center"/>
                </w:tcPr>
                <w:p w14:paraId="5155118F">
                  <w:pPr>
                    <w:adjustRightInd w:val="0"/>
                    <w:snapToGrid w:val="0"/>
                    <w:jc w:val="center"/>
                    <w:rPr>
                      <w:color w:val="auto"/>
                      <w:szCs w:val="21"/>
                    </w:rPr>
                  </w:pPr>
                  <w:r>
                    <w:rPr>
                      <w:color w:val="auto"/>
                      <w:szCs w:val="21"/>
                    </w:rPr>
                    <w:t>/</w:t>
                  </w:r>
                </w:p>
              </w:tc>
              <w:tc>
                <w:tcPr>
                  <w:tcW w:w="807" w:type="dxa"/>
                  <w:tcBorders>
                    <w:bottom w:val="single" w:color="000000" w:sz="4" w:space="0"/>
                  </w:tcBorders>
                  <w:vAlign w:val="center"/>
                </w:tcPr>
                <w:p w14:paraId="109C37F1">
                  <w:pPr>
                    <w:adjustRightInd w:val="0"/>
                    <w:snapToGrid w:val="0"/>
                    <w:jc w:val="center"/>
                    <w:rPr>
                      <w:color w:val="auto"/>
                      <w:szCs w:val="21"/>
                    </w:rPr>
                  </w:pPr>
                  <w:r>
                    <w:rPr>
                      <w:color w:val="auto"/>
                      <w:szCs w:val="21"/>
                    </w:rPr>
                    <w:t>/</w:t>
                  </w:r>
                </w:p>
              </w:tc>
              <w:tc>
                <w:tcPr>
                  <w:tcW w:w="938" w:type="dxa"/>
                  <w:tcBorders>
                    <w:bottom w:val="single" w:color="000000" w:sz="4" w:space="0"/>
                  </w:tcBorders>
                  <w:vAlign w:val="center"/>
                </w:tcPr>
                <w:p w14:paraId="523E3004">
                  <w:pPr>
                    <w:adjustRightInd w:val="0"/>
                    <w:snapToGrid w:val="0"/>
                    <w:jc w:val="center"/>
                    <w:rPr>
                      <w:color w:val="auto"/>
                      <w:szCs w:val="21"/>
                    </w:rPr>
                  </w:pPr>
                  <w:r>
                    <w:rPr>
                      <w:color w:val="auto"/>
                      <w:szCs w:val="21"/>
                    </w:rPr>
                    <w:t>/</w:t>
                  </w:r>
                </w:p>
              </w:tc>
              <w:tc>
                <w:tcPr>
                  <w:tcW w:w="1242" w:type="dxa"/>
                  <w:tcBorders>
                    <w:bottom w:val="single" w:color="000000" w:sz="4" w:space="0"/>
                  </w:tcBorders>
                  <w:vAlign w:val="center"/>
                </w:tcPr>
                <w:p w14:paraId="252B5E03">
                  <w:pPr>
                    <w:adjustRightInd w:val="0"/>
                    <w:snapToGrid w:val="0"/>
                    <w:jc w:val="center"/>
                    <w:rPr>
                      <w:color w:val="auto"/>
                      <w:szCs w:val="21"/>
                    </w:rPr>
                  </w:pPr>
                  <w:r>
                    <w:rPr>
                      <w:color w:val="auto"/>
                      <w:szCs w:val="21"/>
                    </w:rPr>
                    <w:t>/</w:t>
                  </w:r>
                </w:p>
              </w:tc>
              <w:tc>
                <w:tcPr>
                  <w:tcW w:w="839" w:type="dxa"/>
                  <w:tcBorders>
                    <w:bottom w:val="single" w:color="000000" w:sz="4" w:space="0"/>
                  </w:tcBorders>
                  <w:vAlign w:val="center"/>
                </w:tcPr>
                <w:p w14:paraId="244F8B36">
                  <w:pPr>
                    <w:adjustRightInd w:val="0"/>
                    <w:snapToGrid w:val="0"/>
                    <w:jc w:val="center"/>
                    <w:rPr>
                      <w:rFonts w:hint="default" w:eastAsia="宋体"/>
                      <w:b/>
                      <w:bCs/>
                      <w:color w:val="auto"/>
                      <w:szCs w:val="21"/>
                      <w:u w:val="single"/>
                      <w:lang w:val="en-US" w:eastAsia="zh-CN"/>
                    </w:rPr>
                  </w:pPr>
                  <w:r>
                    <w:rPr>
                      <w:rFonts w:hint="eastAsia"/>
                      <w:b/>
                      <w:bCs/>
                      <w:color w:val="auto"/>
                      <w:szCs w:val="21"/>
                      <w:u w:val="single"/>
                      <w:lang w:val="en-US" w:eastAsia="zh-CN"/>
                    </w:rPr>
                    <w:t>0.0294</w:t>
                  </w:r>
                </w:p>
              </w:tc>
              <w:tc>
                <w:tcPr>
                  <w:tcW w:w="1456" w:type="dxa"/>
                  <w:tcBorders>
                    <w:bottom w:val="single" w:color="000000" w:sz="4" w:space="0"/>
                  </w:tcBorders>
                  <w:vAlign w:val="center"/>
                </w:tcPr>
                <w:p w14:paraId="09694242">
                  <w:pPr>
                    <w:adjustRightInd w:val="0"/>
                    <w:snapToGrid w:val="0"/>
                    <w:jc w:val="center"/>
                    <w:rPr>
                      <w:rFonts w:hint="default" w:eastAsia="宋体"/>
                      <w:b/>
                      <w:bCs/>
                      <w:color w:val="auto"/>
                      <w:szCs w:val="21"/>
                      <w:u w:val="single"/>
                      <w:lang w:val="en-US" w:eastAsia="zh-CN"/>
                    </w:rPr>
                  </w:pPr>
                  <w:r>
                    <w:rPr>
                      <w:rFonts w:hint="eastAsia"/>
                      <w:b/>
                      <w:bCs/>
                      <w:color w:val="auto"/>
                      <w:szCs w:val="21"/>
                      <w:u w:val="single"/>
                      <w:lang w:val="en-US" w:eastAsia="zh-CN"/>
                    </w:rPr>
                    <w:t>0.0123</w:t>
                  </w:r>
                </w:p>
              </w:tc>
              <w:tc>
                <w:tcPr>
                  <w:tcW w:w="1097" w:type="dxa"/>
                  <w:tcBorders>
                    <w:bottom w:val="single" w:color="000000" w:sz="4" w:space="0"/>
                  </w:tcBorders>
                  <w:vAlign w:val="center"/>
                </w:tcPr>
                <w:p w14:paraId="366ED409">
                  <w:pPr>
                    <w:adjustRightInd w:val="0"/>
                    <w:snapToGrid w:val="0"/>
                    <w:jc w:val="center"/>
                    <w:rPr>
                      <w:rFonts w:hint="eastAsia"/>
                      <w:color w:val="auto"/>
                      <w:szCs w:val="21"/>
                    </w:rPr>
                  </w:pPr>
                  <w:r>
                    <w:rPr>
                      <w:rFonts w:hint="eastAsia"/>
                      <w:color w:val="auto"/>
                      <w:szCs w:val="21"/>
                    </w:rPr>
                    <w:t>/</w:t>
                  </w:r>
                </w:p>
              </w:tc>
            </w:tr>
            <w:tr w14:paraId="40403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6" w:type="dxa"/>
                  <w:vMerge w:val="continue"/>
                  <w:vAlign w:val="center"/>
                </w:tcPr>
                <w:p w14:paraId="4B6C0374">
                  <w:pPr>
                    <w:adjustRightInd w:val="0"/>
                    <w:snapToGrid w:val="0"/>
                    <w:jc w:val="center"/>
                    <w:rPr>
                      <w:color w:val="auto"/>
                      <w:szCs w:val="21"/>
                    </w:rPr>
                  </w:pPr>
                </w:p>
              </w:tc>
              <w:tc>
                <w:tcPr>
                  <w:tcW w:w="468" w:type="dxa"/>
                  <w:vMerge w:val="restart"/>
                  <w:vAlign w:val="center"/>
                </w:tcPr>
                <w:p w14:paraId="2889BB7F">
                  <w:pPr>
                    <w:adjustRightInd w:val="0"/>
                    <w:snapToGrid w:val="0"/>
                    <w:jc w:val="center"/>
                    <w:rPr>
                      <w:color w:val="auto"/>
                      <w:szCs w:val="21"/>
                    </w:rPr>
                  </w:pPr>
                  <w:r>
                    <w:rPr>
                      <w:rFonts w:hint="eastAsia"/>
                      <w:color w:val="auto"/>
                      <w:szCs w:val="21"/>
                    </w:rPr>
                    <w:t>三车间</w:t>
                  </w:r>
                </w:p>
              </w:tc>
              <w:tc>
                <w:tcPr>
                  <w:tcW w:w="468" w:type="dxa"/>
                  <w:vMerge w:val="restart"/>
                  <w:vAlign w:val="center"/>
                </w:tcPr>
                <w:p w14:paraId="403EC10B">
                  <w:pPr>
                    <w:adjustRightInd w:val="0"/>
                    <w:snapToGrid w:val="0"/>
                    <w:jc w:val="center"/>
                    <w:rPr>
                      <w:color w:val="auto"/>
                      <w:szCs w:val="21"/>
                    </w:rPr>
                  </w:pPr>
                  <w:r>
                    <w:rPr>
                      <w:color w:val="auto"/>
                      <w:szCs w:val="21"/>
                    </w:rPr>
                    <w:t>颗粒物</w:t>
                  </w:r>
                </w:p>
              </w:tc>
              <w:tc>
                <w:tcPr>
                  <w:tcW w:w="926" w:type="dxa"/>
                  <w:tcBorders>
                    <w:bottom w:val="single" w:color="000000" w:sz="4" w:space="0"/>
                  </w:tcBorders>
                  <w:vAlign w:val="center"/>
                </w:tcPr>
                <w:p w14:paraId="2960A945">
                  <w:pPr>
                    <w:adjustRightInd w:val="0"/>
                    <w:snapToGrid w:val="0"/>
                    <w:jc w:val="center"/>
                    <w:rPr>
                      <w:rFonts w:hint="default" w:eastAsia="宋体"/>
                      <w:color w:val="auto"/>
                      <w:szCs w:val="21"/>
                      <w:lang w:val="en-US" w:eastAsia="zh-CN"/>
                    </w:rPr>
                  </w:pPr>
                  <w:r>
                    <w:rPr>
                      <w:rFonts w:hint="eastAsia"/>
                      <w:b/>
                      <w:bCs/>
                      <w:color w:val="auto"/>
                      <w:szCs w:val="21"/>
                      <w:u w:val="single"/>
                      <w:lang w:val="en-US" w:eastAsia="zh-CN"/>
                    </w:rPr>
                    <w:t>0.3049</w:t>
                  </w:r>
                </w:p>
              </w:tc>
              <w:tc>
                <w:tcPr>
                  <w:tcW w:w="1074" w:type="dxa"/>
                  <w:tcBorders>
                    <w:bottom w:val="single" w:color="000000" w:sz="4" w:space="0"/>
                    <w:right w:val="single" w:color="000000" w:sz="4" w:space="0"/>
                  </w:tcBorders>
                  <w:vAlign w:val="center"/>
                </w:tcPr>
                <w:p w14:paraId="65F2A7BB">
                  <w:pPr>
                    <w:adjustRightInd w:val="0"/>
                    <w:snapToGrid w:val="0"/>
                    <w:jc w:val="center"/>
                    <w:rPr>
                      <w:rFonts w:hint="default" w:eastAsia="宋体"/>
                      <w:color w:val="auto"/>
                      <w:szCs w:val="21"/>
                      <w:lang w:val="en-US" w:eastAsia="zh-CN"/>
                    </w:rPr>
                  </w:pPr>
                  <w:r>
                    <w:rPr>
                      <w:rFonts w:hint="eastAsia"/>
                      <w:b/>
                      <w:bCs/>
                      <w:color w:val="auto"/>
                      <w:szCs w:val="21"/>
                      <w:u w:val="single"/>
                      <w:lang w:val="en-US" w:eastAsia="zh-CN"/>
                    </w:rPr>
                    <w:t>0.1271</w:t>
                  </w:r>
                </w:p>
              </w:tc>
              <w:tc>
                <w:tcPr>
                  <w:tcW w:w="877" w:type="dxa"/>
                  <w:tcBorders>
                    <w:left w:val="single" w:color="000000" w:sz="4" w:space="0"/>
                    <w:bottom w:val="single" w:color="000000" w:sz="4" w:space="0"/>
                  </w:tcBorders>
                  <w:vAlign w:val="center"/>
                </w:tcPr>
                <w:p w14:paraId="566C5DA0">
                  <w:pPr>
                    <w:adjustRightInd w:val="0"/>
                    <w:snapToGrid w:val="0"/>
                    <w:jc w:val="center"/>
                    <w:rPr>
                      <w:rFonts w:hint="default" w:eastAsia="宋体"/>
                      <w:color w:val="auto"/>
                      <w:szCs w:val="21"/>
                      <w:lang w:val="en-US" w:eastAsia="zh-CN"/>
                    </w:rPr>
                  </w:pPr>
                  <w:r>
                    <w:rPr>
                      <w:rFonts w:hint="eastAsia"/>
                      <w:b/>
                      <w:bCs/>
                      <w:color w:val="auto"/>
                      <w:szCs w:val="21"/>
                      <w:u w:val="single"/>
                      <w:lang w:val="en-US" w:eastAsia="zh-CN"/>
                    </w:rPr>
                    <w:t>31.8</w:t>
                  </w:r>
                </w:p>
              </w:tc>
              <w:tc>
                <w:tcPr>
                  <w:tcW w:w="909" w:type="dxa"/>
                  <w:tcBorders>
                    <w:bottom w:val="single" w:color="000000" w:sz="4" w:space="0"/>
                  </w:tcBorders>
                  <w:vAlign w:val="center"/>
                </w:tcPr>
                <w:p w14:paraId="5D0D52FD">
                  <w:pPr>
                    <w:adjustRightInd w:val="0"/>
                    <w:snapToGrid w:val="0"/>
                    <w:jc w:val="center"/>
                    <w:rPr>
                      <w:color w:val="auto"/>
                      <w:szCs w:val="21"/>
                    </w:rPr>
                  </w:pPr>
                  <w:r>
                    <w:rPr>
                      <w:color w:val="auto"/>
                      <w:szCs w:val="21"/>
                    </w:rPr>
                    <w:t>有组织</w:t>
                  </w:r>
                </w:p>
              </w:tc>
              <w:tc>
                <w:tcPr>
                  <w:tcW w:w="1719" w:type="dxa"/>
                  <w:tcBorders>
                    <w:bottom w:val="single" w:color="000000" w:sz="4" w:space="0"/>
                  </w:tcBorders>
                  <w:vAlign w:val="center"/>
                </w:tcPr>
                <w:p w14:paraId="6D7A3F52">
                  <w:pPr>
                    <w:adjustRightInd w:val="0"/>
                    <w:snapToGrid w:val="0"/>
                    <w:jc w:val="center"/>
                    <w:rPr>
                      <w:color w:val="auto"/>
                      <w:szCs w:val="21"/>
                    </w:rPr>
                  </w:pPr>
                  <w:r>
                    <w:rPr>
                      <w:rFonts w:hint="eastAsia"/>
                      <w:color w:val="auto"/>
                      <w:szCs w:val="21"/>
                      <w:lang w:val="en-US" w:eastAsia="zh-CN"/>
                    </w:rPr>
                    <w:t>中央除尘器</w:t>
                  </w:r>
                </w:p>
              </w:tc>
              <w:tc>
                <w:tcPr>
                  <w:tcW w:w="807" w:type="dxa"/>
                  <w:tcBorders>
                    <w:bottom w:val="single" w:color="000000" w:sz="4" w:space="0"/>
                  </w:tcBorders>
                  <w:vAlign w:val="center"/>
                </w:tcPr>
                <w:p w14:paraId="7E245C77">
                  <w:pPr>
                    <w:adjustRightInd w:val="0"/>
                    <w:snapToGrid w:val="0"/>
                    <w:jc w:val="center"/>
                    <w:rPr>
                      <w:rFonts w:hint="default" w:eastAsia="宋体"/>
                      <w:b/>
                      <w:bCs/>
                      <w:color w:val="auto"/>
                      <w:szCs w:val="21"/>
                      <w:u w:val="single"/>
                      <w:lang w:val="en-US" w:eastAsia="zh-CN"/>
                    </w:rPr>
                  </w:pPr>
                  <w:r>
                    <w:rPr>
                      <w:rFonts w:hint="eastAsia"/>
                      <w:b/>
                      <w:bCs/>
                      <w:color w:val="auto"/>
                      <w:szCs w:val="21"/>
                      <w:u w:val="single"/>
                      <w:lang w:val="en-US" w:eastAsia="zh-CN"/>
                    </w:rPr>
                    <w:t>90</w:t>
                  </w:r>
                </w:p>
              </w:tc>
              <w:tc>
                <w:tcPr>
                  <w:tcW w:w="938" w:type="dxa"/>
                  <w:tcBorders>
                    <w:bottom w:val="single" w:color="000000" w:sz="4" w:space="0"/>
                  </w:tcBorders>
                  <w:vAlign w:val="center"/>
                </w:tcPr>
                <w:p w14:paraId="2E8B6938">
                  <w:pPr>
                    <w:adjustRightInd w:val="0"/>
                    <w:snapToGrid w:val="0"/>
                    <w:jc w:val="center"/>
                    <w:rPr>
                      <w:rFonts w:hint="default" w:eastAsia="宋体"/>
                      <w:b/>
                      <w:bCs/>
                      <w:color w:val="auto"/>
                      <w:szCs w:val="21"/>
                      <w:u w:val="single"/>
                      <w:lang w:val="en-US" w:eastAsia="zh-CN"/>
                    </w:rPr>
                  </w:pPr>
                  <w:r>
                    <w:rPr>
                      <w:rFonts w:hint="eastAsia"/>
                      <w:b/>
                      <w:bCs/>
                      <w:color w:val="auto"/>
                      <w:sz w:val="21"/>
                      <w:szCs w:val="21"/>
                      <w:highlight w:val="none"/>
                      <w:u w:val="single"/>
                      <w:lang w:val="en-US" w:eastAsia="zh-CN"/>
                    </w:rPr>
                    <w:t>99</w:t>
                  </w:r>
                </w:p>
              </w:tc>
              <w:tc>
                <w:tcPr>
                  <w:tcW w:w="1242" w:type="dxa"/>
                  <w:tcBorders>
                    <w:bottom w:val="single" w:color="000000" w:sz="4" w:space="0"/>
                  </w:tcBorders>
                  <w:vAlign w:val="center"/>
                </w:tcPr>
                <w:p w14:paraId="7FCC6671">
                  <w:pPr>
                    <w:adjustRightInd w:val="0"/>
                    <w:snapToGrid w:val="0"/>
                    <w:jc w:val="center"/>
                    <w:rPr>
                      <w:rFonts w:hint="default" w:eastAsia="宋体"/>
                      <w:color w:val="auto"/>
                      <w:szCs w:val="21"/>
                      <w:lang w:val="en-US" w:eastAsia="zh-CN"/>
                    </w:rPr>
                  </w:pPr>
                  <w:r>
                    <w:rPr>
                      <w:rFonts w:hint="eastAsia"/>
                      <w:b/>
                      <w:bCs/>
                      <w:color w:val="auto"/>
                      <w:szCs w:val="21"/>
                      <w:u w:val="single"/>
                      <w:lang w:val="en-US" w:eastAsia="zh-CN"/>
                    </w:rPr>
                    <w:t>4000</w:t>
                  </w:r>
                </w:p>
              </w:tc>
              <w:tc>
                <w:tcPr>
                  <w:tcW w:w="839" w:type="dxa"/>
                  <w:tcBorders>
                    <w:bottom w:val="single" w:color="000000" w:sz="4" w:space="0"/>
                  </w:tcBorders>
                  <w:vAlign w:val="center"/>
                </w:tcPr>
                <w:p w14:paraId="2C39ED22">
                  <w:pPr>
                    <w:adjustRightInd w:val="0"/>
                    <w:snapToGrid w:val="0"/>
                    <w:jc w:val="center"/>
                    <w:rPr>
                      <w:rFonts w:hint="default" w:eastAsia="宋体"/>
                      <w:b/>
                      <w:bCs/>
                      <w:color w:val="auto"/>
                      <w:szCs w:val="21"/>
                      <w:u w:val="single"/>
                      <w:lang w:val="en-US" w:eastAsia="zh-CN"/>
                    </w:rPr>
                  </w:pPr>
                  <w:r>
                    <w:rPr>
                      <w:rFonts w:hint="eastAsia"/>
                      <w:b/>
                      <w:bCs/>
                      <w:color w:val="auto"/>
                      <w:szCs w:val="21"/>
                      <w:u w:val="single"/>
                      <w:lang w:val="en-US" w:eastAsia="zh-CN"/>
                    </w:rPr>
                    <w:t>0.0030</w:t>
                  </w:r>
                </w:p>
              </w:tc>
              <w:tc>
                <w:tcPr>
                  <w:tcW w:w="1456" w:type="dxa"/>
                  <w:tcBorders>
                    <w:bottom w:val="single" w:color="000000" w:sz="4" w:space="0"/>
                  </w:tcBorders>
                  <w:vAlign w:val="center"/>
                </w:tcPr>
                <w:p w14:paraId="7F0C22D1">
                  <w:pPr>
                    <w:adjustRightInd w:val="0"/>
                    <w:snapToGrid w:val="0"/>
                    <w:jc w:val="center"/>
                    <w:rPr>
                      <w:rFonts w:hint="default" w:eastAsia="宋体"/>
                      <w:b/>
                      <w:bCs/>
                      <w:color w:val="auto"/>
                      <w:szCs w:val="21"/>
                      <w:u w:val="single"/>
                      <w:lang w:val="en-US" w:eastAsia="zh-CN"/>
                    </w:rPr>
                  </w:pPr>
                  <w:r>
                    <w:rPr>
                      <w:rFonts w:hint="eastAsia"/>
                      <w:b/>
                      <w:bCs/>
                      <w:color w:val="auto"/>
                      <w:szCs w:val="21"/>
                      <w:u w:val="single"/>
                      <w:lang w:val="en-US" w:eastAsia="zh-CN"/>
                    </w:rPr>
                    <w:t>0.0013</w:t>
                  </w:r>
                </w:p>
              </w:tc>
              <w:tc>
                <w:tcPr>
                  <w:tcW w:w="1097" w:type="dxa"/>
                  <w:tcBorders>
                    <w:bottom w:val="single" w:color="000000" w:sz="4" w:space="0"/>
                  </w:tcBorders>
                  <w:vAlign w:val="center"/>
                </w:tcPr>
                <w:p w14:paraId="1AE54491">
                  <w:pPr>
                    <w:adjustRightInd w:val="0"/>
                    <w:snapToGrid w:val="0"/>
                    <w:jc w:val="center"/>
                    <w:rPr>
                      <w:rFonts w:hint="default" w:eastAsia="宋体"/>
                      <w:color w:val="auto"/>
                      <w:szCs w:val="21"/>
                      <w:lang w:val="en-US" w:eastAsia="zh-CN"/>
                    </w:rPr>
                  </w:pPr>
                  <w:r>
                    <w:rPr>
                      <w:rFonts w:hint="eastAsia"/>
                      <w:b/>
                      <w:bCs/>
                      <w:color w:val="auto"/>
                      <w:szCs w:val="21"/>
                      <w:u w:val="single"/>
                      <w:lang w:val="en-US" w:eastAsia="zh-CN"/>
                    </w:rPr>
                    <w:t>0.3</w:t>
                  </w:r>
                </w:p>
              </w:tc>
            </w:tr>
            <w:tr w14:paraId="3FBD6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6" w:type="dxa"/>
                  <w:vMerge w:val="continue"/>
                  <w:vAlign w:val="center"/>
                </w:tcPr>
                <w:p w14:paraId="74FCA805">
                  <w:pPr>
                    <w:adjustRightInd w:val="0"/>
                    <w:snapToGrid w:val="0"/>
                    <w:jc w:val="center"/>
                    <w:rPr>
                      <w:color w:val="auto"/>
                      <w:szCs w:val="21"/>
                    </w:rPr>
                  </w:pPr>
                </w:p>
              </w:tc>
              <w:tc>
                <w:tcPr>
                  <w:tcW w:w="468" w:type="dxa"/>
                  <w:vMerge w:val="continue"/>
                  <w:tcBorders>
                    <w:bottom w:val="single" w:color="000000" w:sz="4" w:space="0"/>
                  </w:tcBorders>
                  <w:vAlign w:val="center"/>
                </w:tcPr>
                <w:p w14:paraId="7A6605FB">
                  <w:pPr>
                    <w:adjustRightInd w:val="0"/>
                    <w:snapToGrid w:val="0"/>
                    <w:jc w:val="center"/>
                    <w:rPr>
                      <w:color w:val="auto"/>
                      <w:szCs w:val="21"/>
                    </w:rPr>
                  </w:pPr>
                </w:p>
              </w:tc>
              <w:tc>
                <w:tcPr>
                  <w:tcW w:w="468" w:type="dxa"/>
                  <w:vMerge w:val="continue"/>
                  <w:tcBorders>
                    <w:bottom w:val="single" w:color="000000" w:sz="4" w:space="0"/>
                  </w:tcBorders>
                  <w:vAlign w:val="center"/>
                </w:tcPr>
                <w:p w14:paraId="319CA058">
                  <w:pPr>
                    <w:adjustRightInd w:val="0"/>
                    <w:snapToGrid w:val="0"/>
                    <w:jc w:val="center"/>
                    <w:rPr>
                      <w:color w:val="auto"/>
                      <w:szCs w:val="21"/>
                    </w:rPr>
                  </w:pPr>
                </w:p>
              </w:tc>
              <w:tc>
                <w:tcPr>
                  <w:tcW w:w="926" w:type="dxa"/>
                  <w:tcBorders>
                    <w:bottom w:val="single" w:color="000000" w:sz="4" w:space="0"/>
                  </w:tcBorders>
                  <w:vAlign w:val="center"/>
                </w:tcPr>
                <w:p w14:paraId="2F722885">
                  <w:pPr>
                    <w:adjustRightInd w:val="0"/>
                    <w:snapToGrid w:val="0"/>
                    <w:jc w:val="center"/>
                    <w:rPr>
                      <w:rFonts w:hint="default" w:eastAsia="宋体"/>
                      <w:b/>
                      <w:bCs/>
                      <w:color w:val="auto"/>
                      <w:szCs w:val="21"/>
                      <w:u w:val="single"/>
                      <w:lang w:val="en-US" w:eastAsia="zh-CN"/>
                    </w:rPr>
                  </w:pPr>
                  <w:r>
                    <w:rPr>
                      <w:rFonts w:hint="eastAsia"/>
                      <w:b/>
                      <w:bCs/>
                      <w:color w:val="auto"/>
                      <w:szCs w:val="21"/>
                      <w:u w:val="single"/>
                      <w:lang w:val="en-US" w:eastAsia="zh-CN"/>
                    </w:rPr>
                    <w:t>0.0339</w:t>
                  </w:r>
                </w:p>
              </w:tc>
              <w:tc>
                <w:tcPr>
                  <w:tcW w:w="1074" w:type="dxa"/>
                  <w:tcBorders>
                    <w:bottom w:val="single" w:color="000000" w:sz="4" w:space="0"/>
                    <w:right w:val="single" w:color="000000" w:sz="4" w:space="0"/>
                  </w:tcBorders>
                  <w:vAlign w:val="center"/>
                </w:tcPr>
                <w:p w14:paraId="72C30E8E">
                  <w:pPr>
                    <w:adjustRightInd w:val="0"/>
                    <w:snapToGrid w:val="0"/>
                    <w:jc w:val="center"/>
                    <w:rPr>
                      <w:rFonts w:hint="default" w:eastAsia="宋体"/>
                      <w:b/>
                      <w:bCs/>
                      <w:color w:val="auto"/>
                      <w:szCs w:val="21"/>
                      <w:u w:val="single"/>
                      <w:lang w:val="en-US" w:eastAsia="zh-CN"/>
                    </w:rPr>
                  </w:pPr>
                  <w:r>
                    <w:rPr>
                      <w:rFonts w:hint="eastAsia"/>
                      <w:b/>
                      <w:bCs/>
                      <w:color w:val="auto"/>
                      <w:szCs w:val="21"/>
                      <w:u w:val="single"/>
                    </w:rPr>
                    <w:t>0.0</w:t>
                  </w:r>
                  <w:r>
                    <w:rPr>
                      <w:rFonts w:hint="eastAsia"/>
                      <w:b/>
                      <w:bCs/>
                      <w:color w:val="auto"/>
                      <w:szCs w:val="21"/>
                      <w:u w:val="single"/>
                      <w:lang w:val="en-US" w:eastAsia="zh-CN"/>
                    </w:rPr>
                    <w:t>142</w:t>
                  </w:r>
                </w:p>
              </w:tc>
              <w:tc>
                <w:tcPr>
                  <w:tcW w:w="877" w:type="dxa"/>
                  <w:tcBorders>
                    <w:left w:val="single" w:color="000000" w:sz="4" w:space="0"/>
                    <w:bottom w:val="single" w:color="000000" w:sz="4" w:space="0"/>
                  </w:tcBorders>
                  <w:vAlign w:val="center"/>
                </w:tcPr>
                <w:p w14:paraId="2FE2E75C">
                  <w:pPr>
                    <w:adjustRightInd w:val="0"/>
                    <w:snapToGrid w:val="0"/>
                    <w:jc w:val="center"/>
                    <w:rPr>
                      <w:rFonts w:hint="eastAsia"/>
                      <w:color w:val="auto"/>
                      <w:szCs w:val="21"/>
                    </w:rPr>
                  </w:pPr>
                  <w:r>
                    <w:rPr>
                      <w:rFonts w:hint="eastAsia"/>
                      <w:color w:val="auto"/>
                      <w:szCs w:val="21"/>
                    </w:rPr>
                    <w:t>/</w:t>
                  </w:r>
                </w:p>
              </w:tc>
              <w:tc>
                <w:tcPr>
                  <w:tcW w:w="909" w:type="dxa"/>
                  <w:tcBorders>
                    <w:bottom w:val="single" w:color="000000" w:sz="4" w:space="0"/>
                  </w:tcBorders>
                  <w:vAlign w:val="center"/>
                </w:tcPr>
                <w:p w14:paraId="7C630103">
                  <w:pPr>
                    <w:adjustRightInd w:val="0"/>
                    <w:snapToGrid w:val="0"/>
                    <w:jc w:val="center"/>
                    <w:rPr>
                      <w:color w:val="auto"/>
                      <w:szCs w:val="21"/>
                    </w:rPr>
                  </w:pPr>
                  <w:r>
                    <w:rPr>
                      <w:color w:val="auto"/>
                      <w:szCs w:val="21"/>
                    </w:rPr>
                    <w:t>无组织</w:t>
                  </w:r>
                </w:p>
              </w:tc>
              <w:tc>
                <w:tcPr>
                  <w:tcW w:w="1719" w:type="dxa"/>
                  <w:tcBorders>
                    <w:bottom w:val="single" w:color="000000" w:sz="4" w:space="0"/>
                  </w:tcBorders>
                  <w:vAlign w:val="center"/>
                </w:tcPr>
                <w:p w14:paraId="3E4809E2">
                  <w:pPr>
                    <w:adjustRightInd w:val="0"/>
                    <w:snapToGrid w:val="0"/>
                    <w:jc w:val="center"/>
                    <w:rPr>
                      <w:color w:val="auto"/>
                      <w:szCs w:val="21"/>
                    </w:rPr>
                  </w:pPr>
                  <w:r>
                    <w:rPr>
                      <w:color w:val="auto"/>
                      <w:szCs w:val="21"/>
                    </w:rPr>
                    <w:t>/</w:t>
                  </w:r>
                </w:p>
              </w:tc>
              <w:tc>
                <w:tcPr>
                  <w:tcW w:w="807" w:type="dxa"/>
                  <w:tcBorders>
                    <w:bottom w:val="single" w:color="000000" w:sz="4" w:space="0"/>
                  </w:tcBorders>
                  <w:vAlign w:val="center"/>
                </w:tcPr>
                <w:p w14:paraId="14D75D44">
                  <w:pPr>
                    <w:adjustRightInd w:val="0"/>
                    <w:snapToGrid w:val="0"/>
                    <w:jc w:val="center"/>
                    <w:rPr>
                      <w:color w:val="auto"/>
                      <w:szCs w:val="21"/>
                    </w:rPr>
                  </w:pPr>
                  <w:r>
                    <w:rPr>
                      <w:color w:val="auto"/>
                      <w:szCs w:val="21"/>
                    </w:rPr>
                    <w:t>/</w:t>
                  </w:r>
                </w:p>
              </w:tc>
              <w:tc>
                <w:tcPr>
                  <w:tcW w:w="938" w:type="dxa"/>
                  <w:tcBorders>
                    <w:bottom w:val="single" w:color="000000" w:sz="4" w:space="0"/>
                  </w:tcBorders>
                  <w:vAlign w:val="center"/>
                </w:tcPr>
                <w:p w14:paraId="0BB4F969">
                  <w:pPr>
                    <w:adjustRightInd w:val="0"/>
                    <w:snapToGrid w:val="0"/>
                    <w:jc w:val="center"/>
                    <w:rPr>
                      <w:color w:val="auto"/>
                      <w:szCs w:val="21"/>
                    </w:rPr>
                  </w:pPr>
                  <w:r>
                    <w:rPr>
                      <w:color w:val="auto"/>
                      <w:szCs w:val="21"/>
                    </w:rPr>
                    <w:t>/</w:t>
                  </w:r>
                </w:p>
              </w:tc>
              <w:tc>
                <w:tcPr>
                  <w:tcW w:w="1242" w:type="dxa"/>
                  <w:tcBorders>
                    <w:bottom w:val="single" w:color="000000" w:sz="4" w:space="0"/>
                  </w:tcBorders>
                  <w:vAlign w:val="center"/>
                </w:tcPr>
                <w:p w14:paraId="330B0F46">
                  <w:pPr>
                    <w:adjustRightInd w:val="0"/>
                    <w:snapToGrid w:val="0"/>
                    <w:jc w:val="center"/>
                    <w:rPr>
                      <w:color w:val="auto"/>
                      <w:szCs w:val="21"/>
                    </w:rPr>
                  </w:pPr>
                  <w:r>
                    <w:rPr>
                      <w:color w:val="auto"/>
                      <w:szCs w:val="21"/>
                    </w:rPr>
                    <w:t>/</w:t>
                  </w:r>
                </w:p>
              </w:tc>
              <w:tc>
                <w:tcPr>
                  <w:tcW w:w="839" w:type="dxa"/>
                  <w:tcBorders>
                    <w:bottom w:val="single" w:color="000000" w:sz="4" w:space="0"/>
                  </w:tcBorders>
                  <w:vAlign w:val="center"/>
                </w:tcPr>
                <w:p w14:paraId="0ED7CB73">
                  <w:pPr>
                    <w:adjustRightInd w:val="0"/>
                    <w:snapToGrid w:val="0"/>
                    <w:jc w:val="center"/>
                    <w:rPr>
                      <w:rFonts w:hint="eastAsia"/>
                      <w:color w:val="auto"/>
                      <w:szCs w:val="21"/>
                    </w:rPr>
                  </w:pPr>
                  <w:r>
                    <w:rPr>
                      <w:rFonts w:hint="eastAsia"/>
                      <w:b/>
                      <w:bCs/>
                      <w:color w:val="auto"/>
                      <w:szCs w:val="21"/>
                      <w:u w:val="single"/>
                      <w:lang w:val="en-US" w:eastAsia="zh-CN"/>
                    </w:rPr>
                    <w:t>0.0339</w:t>
                  </w:r>
                </w:p>
              </w:tc>
              <w:tc>
                <w:tcPr>
                  <w:tcW w:w="1456" w:type="dxa"/>
                  <w:tcBorders>
                    <w:bottom w:val="single" w:color="000000" w:sz="4" w:space="0"/>
                  </w:tcBorders>
                  <w:vAlign w:val="center"/>
                </w:tcPr>
                <w:p w14:paraId="62392DE6">
                  <w:pPr>
                    <w:adjustRightInd w:val="0"/>
                    <w:snapToGrid w:val="0"/>
                    <w:jc w:val="center"/>
                    <w:rPr>
                      <w:rFonts w:hint="eastAsia"/>
                      <w:color w:val="auto"/>
                      <w:szCs w:val="21"/>
                    </w:rPr>
                  </w:pPr>
                  <w:r>
                    <w:rPr>
                      <w:rFonts w:hint="eastAsia"/>
                      <w:b/>
                      <w:bCs/>
                      <w:color w:val="auto"/>
                      <w:szCs w:val="21"/>
                      <w:u w:val="single"/>
                    </w:rPr>
                    <w:t>0.0</w:t>
                  </w:r>
                  <w:r>
                    <w:rPr>
                      <w:rFonts w:hint="eastAsia"/>
                      <w:b/>
                      <w:bCs/>
                      <w:color w:val="auto"/>
                      <w:szCs w:val="21"/>
                      <w:u w:val="single"/>
                      <w:lang w:val="en-US" w:eastAsia="zh-CN"/>
                    </w:rPr>
                    <w:t>142</w:t>
                  </w:r>
                </w:p>
              </w:tc>
              <w:tc>
                <w:tcPr>
                  <w:tcW w:w="1097" w:type="dxa"/>
                  <w:tcBorders>
                    <w:bottom w:val="single" w:color="000000" w:sz="4" w:space="0"/>
                  </w:tcBorders>
                  <w:vAlign w:val="center"/>
                </w:tcPr>
                <w:p w14:paraId="5AB39469">
                  <w:pPr>
                    <w:adjustRightInd w:val="0"/>
                    <w:snapToGrid w:val="0"/>
                    <w:jc w:val="center"/>
                    <w:rPr>
                      <w:rFonts w:hint="eastAsia"/>
                      <w:color w:val="auto"/>
                      <w:szCs w:val="21"/>
                    </w:rPr>
                  </w:pPr>
                  <w:r>
                    <w:rPr>
                      <w:rFonts w:hint="eastAsia"/>
                      <w:color w:val="auto"/>
                      <w:szCs w:val="21"/>
                    </w:rPr>
                    <w:t>/</w:t>
                  </w:r>
                </w:p>
              </w:tc>
            </w:tr>
            <w:tr w14:paraId="764CD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6" w:type="dxa"/>
                  <w:vAlign w:val="center"/>
                </w:tcPr>
                <w:p w14:paraId="4A05E995">
                  <w:pPr>
                    <w:adjustRightInd w:val="0"/>
                    <w:snapToGrid w:val="0"/>
                    <w:jc w:val="center"/>
                    <w:rPr>
                      <w:rFonts w:hint="eastAsia" w:eastAsia="宋体"/>
                      <w:b/>
                      <w:bCs/>
                      <w:color w:val="auto"/>
                      <w:szCs w:val="21"/>
                      <w:u w:val="single"/>
                      <w:lang w:val="en-US" w:eastAsia="zh-CN"/>
                    </w:rPr>
                  </w:pPr>
                  <w:r>
                    <w:rPr>
                      <w:rFonts w:hint="eastAsia"/>
                      <w:b/>
                      <w:bCs/>
                      <w:color w:val="auto"/>
                      <w:szCs w:val="21"/>
                      <w:u w:val="single"/>
                      <w:lang w:val="en-US" w:eastAsia="zh-CN"/>
                    </w:rPr>
                    <w:t>油磨</w:t>
                  </w:r>
                </w:p>
              </w:tc>
              <w:tc>
                <w:tcPr>
                  <w:tcW w:w="468" w:type="dxa"/>
                  <w:tcBorders>
                    <w:bottom w:val="single" w:color="000000" w:sz="4" w:space="0"/>
                  </w:tcBorders>
                  <w:vAlign w:val="center"/>
                </w:tcPr>
                <w:p w14:paraId="2C708C9D">
                  <w:pPr>
                    <w:adjustRightInd w:val="0"/>
                    <w:snapToGrid w:val="0"/>
                    <w:jc w:val="center"/>
                    <w:rPr>
                      <w:rFonts w:hint="eastAsia" w:eastAsia="宋体"/>
                      <w:b/>
                      <w:bCs/>
                      <w:color w:val="auto"/>
                      <w:szCs w:val="21"/>
                      <w:u w:val="single"/>
                      <w:lang w:val="en-US" w:eastAsia="zh-CN"/>
                    </w:rPr>
                  </w:pPr>
                  <w:r>
                    <w:rPr>
                      <w:rFonts w:hint="eastAsia"/>
                      <w:b/>
                      <w:bCs/>
                      <w:color w:val="auto"/>
                      <w:szCs w:val="21"/>
                      <w:u w:val="single"/>
                      <w:lang w:val="en-US" w:eastAsia="zh-CN"/>
                    </w:rPr>
                    <w:t>一车间</w:t>
                  </w:r>
                </w:p>
              </w:tc>
              <w:tc>
                <w:tcPr>
                  <w:tcW w:w="468" w:type="dxa"/>
                  <w:tcBorders>
                    <w:bottom w:val="single" w:color="000000" w:sz="4" w:space="0"/>
                  </w:tcBorders>
                  <w:vAlign w:val="center"/>
                </w:tcPr>
                <w:p w14:paraId="0F407B34">
                  <w:pPr>
                    <w:adjustRightInd w:val="0"/>
                    <w:snapToGrid w:val="0"/>
                    <w:jc w:val="center"/>
                    <w:rPr>
                      <w:rFonts w:hint="eastAsia" w:eastAsia="宋体"/>
                      <w:b/>
                      <w:bCs/>
                      <w:color w:val="auto"/>
                      <w:szCs w:val="21"/>
                      <w:u w:val="single"/>
                      <w:lang w:val="en-US" w:eastAsia="zh-CN"/>
                    </w:rPr>
                  </w:pPr>
                  <w:r>
                    <w:rPr>
                      <w:rFonts w:hint="eastAsia"/>
                      <w:b/>
                      <w:bCs/>
                      <w:color w:val="auto"/>
                      <w:szCs w:val="21"/>
                      <w:u w:val="single"/>
                      <w:lang w:val="en-US" w:eastAsia="zh-CN"/>
                    </w:rPr>
                    <w:t>颗粒物</w:t>
                  </w:r>
                </w:p>
              </w:tc>
              <w:tc>
                <w:tcPr>
                  <w:tcW w:w="926" w:type="dxa"/>
                  <w:tcBorders>
                    <w:bottom w:val="single" w:color="000000" w:sz="4" w:space="0"/>
                  </w:tcBorders>
                  <w:vAlign w:val="center"/>
                </w:tcPr>
                <w:p w14:paraId="297F7BBB">
                  <w:pPr>
                    <w:adjustRightInd w:val="0"/>
                    <w:snapToGrid w:val="0"/>
                    <w:jc w:val="center"/>
                    <w:rPr>
                      <w:rFonts w:hint="default" w:eastAsia="宋体"/>
                      <w:b/>
                      <w:bCs/>
                      <w:color w:val="auto"/>
                      <w:szCs w:val="21"/>
                      <w:u w:val="single"/>
                      <w:lang w:val="en-US" w:eastAsia="zh-CN"/>
                    </w:rPr>
                  </w:pPr>
                  <w:r>
                    <w:rPr>
                      <w:rFonts w:hint="eastAsia"/>
                      <w:b/>
                      <w:bCs/>
                      <w:color w:val="auto"/>
                      <w:szCs w:val="21"/>
                      <w:u w:val="single"/>
                      <w:lang w:val="en-US" w:eastAsia="zh-CN"/>
                    </w:rPr>
                    <w:t>2.2031</w:t>
                  </w:r>
                </w:p>
              </w:tc>
              <w:tc>
                <w:tcPr>
                  <w:tcW w:w="1074" w:type="dxa"/>
                  <w:tcBorders>
                    <w:bottom w:val="single" w:color="000000" w:sz="4" w:space="0"/>
                    <w:right w:val="single" w:color="000000" w:sz="4" w:space="0"/>
                  </w:tcBorders>
                  <w:vAlign w:val="center"/>
                </w:tcPr>
                <w:p w14:paraId="42E0904C">
                  <w:pPr>
                    <w:adjustRightInd w:val="0"/>
                    <w:snapToGrid w:val="0"/>
                    <w:jc w:val="center"/>
                    <w:rPr>
                      <w:rFonts w:hint="default" w:eastAsia="宋体"/>
                      <w:b/>
                      <w:bCs/>
                      <w:color w:val="auto"/>
                      <w:szCs w:val="21"/>
                      <w:u w:val="single"/>
                      <w:lang w:val="en-US" w:eastAsia="zh-CN"/>
                    </w:rPr>
                  </w:pPr>
                  <w:r>
                    <w:rPr>
                      <w:rFonts w:hint="eastAsia"/>
                      <w:b/>
                      <w:bCs/>
                      <w:color w:val="auto"/>
                      <w:szCs w:val="21"/>
                      <w:u w:val="single"/>
                      <w:lang w:val="en-US" w:eastAsia="zh-CN"/>
                    </w:rPr>
                    <w:t>0.9180</w:t>
                  </w:r>
                </w:p>
              </w:tc>
              <w:tc>
                <w:tcPr>
                  <w:tcW w:w="877" w:type="dxa"/>
                  <w:tcBorders>
                    <w:left w:val="single" w:color="000000" w:sz="4" w:space="0"/>
                    <w:bottom w:val="single" w:color="000000" w:sz="4" w:space="0"/>
                  </w:tcBorders>
                  <w:vAlign w:val="center"/>
                </w:tcPr>
                <w:p w14:paraId="3ED4FD37">
                  <w:pPr>
                    <w:adjustRightInd w:val="0"/>
                    <w:snapToGrid w:val="0"/>
                    <w:jc w:val="center"/>
                    <w:rPr>
                      <w:rFonts w:hint="eastAsia" w:eastAsia="宋体"/>
                      <w:b/>
                      <w:bCs/>
                      <w:color w:val="auto"/>
                      <w:szCs w:val="21"/>
                      <w:u w:val="single"/>
                      <w:lang w:val="en-US" w:eastAsia="zh-CN"/>
                    </w:rPr>
                  </w:pPr>
                  <w:r>
                    <w:rPr>
                      <w:rFonts w:hint="eastAsia"/>
                      <w:b/>
                      <w:bCs/>
                      <w:color w:val="auto"/>
                      <w:szCs w:val="21"/>
                      <w:u w:val="single"/>
                      <w:lang w:val="en-US" w:eastAsia="zh-CN"/>
                    </w:rPr>
                    <w:t>/</w:t>
                  </w:r>
                </w:p>
              </w:tc>
              <w:tc>
                <w:tcPr>
                  <w:tcW w:w="909" w:type="dxa"/>
                  <w:tcBorders>
                    <w:bottom w:val="single" w:color="000000" w:sz="4" w:space="0"/>
                  </w:tcBorders>
                  <w:vAlign w:val="center"/>
                </w:tcPr>
                <w:p w14:paraId="4A469DB0">
                  <w:pPr>
                    <w:adjustRightInd w:val="0"/>
                    <w:snapToGrid w:val="0"/>
                    <w:jc w:val="center"/>
                    <w:rPr>
                      <w:rFonts w:hint="eastAsia" w:eastAsia="宋体"/>
                      <w:b/>
                      <w:bCs/>
                      <w:color w:val="auto"/>
                      <w:szCs w:val="21"/>
                      <w:u w:val="single"/>
                      <w:lang w:val="en-US" w:eastAsia="zh-CN"/>
                    </w:rPr>
                  </w:pPr>
                  <w:r>
                    <w:rPr>
                      <w:rFonts w:hint="eastAsia"/>
                      <w:b/>
                      <w:bCs/>
                      <w:color w:val="auto"/>
                      <w:szCs w:val="21"/>
                      <w:u w:val="single"/>
                      <w:lang w:val="en-US" w:eastAsia="zh-CN"/>
                    </w:rPr>
                    <w:t>无组织</w:t>
                  </w:r>
                </w:p>
              </w:tc>
              <w:tc>
                <w:tcPr>
                  <w:tcW w:w="1719" w:type="dxa"/>
                  <w:tcBorders>
                    <w:bottom w:val="single" w:color="000000" w:sz="4" w:space="0"/>
                  </w:tcBorders>
                  <w:vAlign w:val="center"/>
                </w:tcPr>
                <w:p w14:paraId="0968DA16">
                  <w:pPr>
                    <w:adjustRightInd w:val="0"/>
                    <w:snapToGrid w:val="0"/>
                    <w:jc w:val="center"/>
                    <w:rPr>
                      <w:rFonts w:hint="eastAsia" w:eastAsia="宋体"/>
                      <w:b/>
                      <w:bCs/>
                      <w:color w:val="auto"/>
                      <w:szCs w:val="21"/>
                      <w:u w:val="single"/>
                      <w:lang w:val="en-US" w:eastAsia="zh-CN"/>
                    </w:rPr>
                  </w:pPr>
                  <w:r>
                    <w:rPr>
                      <w:rFonts w:hint="eastAsia"/>
                      <w:b/>
                      <w:bCs/>
                      <w:color w:val="auto"/>
                      <w:szCs w:val="21"/>
                      <w:u w:val="single"/>
                      <w:lang w:val="en-US" w:eastAsia="zh-CN"/>
                    </w:rPr>
                    <w:t>/</w:t>
                  </w:r>
                </w:p>
              </w:tc>
              <w:tc>
                <w:tcPr>
                  <w:tcW w:w="807" w:type="dxa"/>
                  <w:tcBorders>
                    <w:bottom w:val="single" w:color="000000" w:sz="4" w:space="0"/>
                  </w:tcBorders>
                  <w:vAlign w:val="center"/>
                </w:tcPr>
                <w:p w14:paraId="528E6B92">
                  <w:pPr>
                    <w:adjustRightInd w:val="0"/>
                    <w:snapToGrid w:val="0"/>
                    <w:jc w:val="center"/>
                    <w:rPr>
                      <w:rFonts w:hint="default" w:eastAsia="宋体"/>
                      <w:b/>
                      <w:bCs/>
                      <w:color w:val="auto"/>
                      <w:szCs w:val="21"/>
                      <w:u w:val="single"/>
                      <w:lang w:val="en-US" w:eastAsia="zh-CN"/>
                    </w:rPr>
                  </w:pPr>
                  <w:r>
                    <w:rPr>
                      <w:rFonts w:hint="eastAsia"/>
                      <w:b/>
                      <w:bCs/>
                      <w:color w:val="auto"/>
                      <w:szCs w:val="21"/>
                      <w:u w:val="single"/>
                      <w:lang w:val="en-US" w:eastAsia="zh-CN"/>
                    </w:rPr>
                    <w:t>100</w:t>
                  </w:r>
                </w:p>
              </w:tc>
              <w:tc>
                <w:tcPr>
                  <w:tcW w:w="938" w:type="dxa"/>
                  <w:tcBorders>
                    <w:bottom w:val="single" w:color="000000" w:sz="4" w:space="0"/>
                  </w:tcBorders>
                  <w:vAlign w:val="center"/>
                </w:tcPr>
                <w:p w14:paraId="553F0A6D">
                  <w:pPr>
                    <w:adjustRightInd w:val="0"/>
                    <w:snapToGrid w:val="0"/>
                    <w:jc w:val="center"/>
                    <w:rPr>
                      <w:rFonts w:hint="default" w:eastAsia="宋体"/>
                      <w:b/>
                      <w:bCs/>
                      <w:color w:val="auto"/>
                      <w:szCs w:val="21"/>
                      <w:u w:val="single"/>
                      <w:lang w:val="en-US" w:eastAsia="zh-CN"/>
                    </w:rPr>
                  </w:pPr>
                  <w:r>
                    <w:rPr>
                      <w:rFonts w:hint="eastAsia"/>
                      <w:b/>
                      <w:bCs/>
                      <w:color w:val="auto"/>
                      <w:szCs w:val="21"/>
                      <w:u w:val="single"/>
                      <w:lang w:val="en-US" w:eastAsia="zh-CN"/>
                    </w:rPr>
                    <w:t>99</w:t>
                  </w:r>
                </w:p>
              </w:tc>
              <w:tc>
                <w:tcPr>
                  <w:tcW w:w="1242" w:type="dxa"/>
                  <w:tcBorders>
                    <w:bottom w:val="single" w:color="000000" w:sz="4" w:space="0"/>
                  </w:tcBorders>
                  <w:vAlign w:val="center"/>
                </w:tcPr>
                <w:p w14:paraId="042DBDA4">
                  <w:pPr>
                    <w:adjustRightInd w:val="0"/>
                    <w:snapToGrid w:val="0"/>
                    <w:jc w:val="center"/>
                    <w:rPr>
                      <w:rFonts w:hint="eastAsia" w:eastAsia="宋体"/>
                      <w:b/>
                      <w:bCs/>
                      <w:color w:val="auto"/>
                      <w:szCs w:val="21"/>
                      <w:u w:val="single"/>
                      <w:lang w:val="en-US" w:eastAsia="zh-CN"/>
                    </w:rPr>
                  </w:pPr>
                  <w:r>
                    <w:rPr>
                      <w:rFonts w:hint="eastAsia"/>
                      <w:b/>
                      <w:bCs/>
                      <w:color w:val="auto"/>
                      <w:szCs w:val="21"/>
                      <w:u w:val="single"/>
                      <w:lang w:val="en-US" w:eastAsia="zh-CN"/>
                    </w:rPr>
                    <w:t>/</w:t>
                  </w:r>
                </w:p>
              </w:tc>
              <w:tc>
                <w:tcPr>
                  <w:tcW w:w="839" w:type="dxa"/>
                  <w:tcBorders>
                    <w:bottom w:val="single" w:color="000000" w:sz="4" w:space="0"/>
                  </w:tcBorders>
                  <w:vAlign w:val="center"/>
                </w:tcPr>
                <w:p w14:paraId="33CC81B7">
                  <w:pPr>
                    <w:adjustRightInd w:val="0"/>
                    <w:snapToGrid w:val="0"/>
                    <w:jc w:val="center"/>
                    <w:rPr>
                      <w:rFonts w:hint="default" w:eastAsia="宋体"/>
                      <w:b/>
                      <w:bCs/>
                      <w:color w:val="auto"/>
                      <w:szCs w:val="21"/>
                      <w:u w:val="single"/>
                      <w:lang w:val="en-US" w:eastAsia="zh-CN"/>
                    </w:rPr>
                  </w:pPr>
                  <w:r>
                    <w:rPr>
                      <w:rFonts w:hint="eastAsia"/>
                      <w:b/>
                      <w:bCs/>
                      <w:color w:val="auto"/>
                      <w:szCs w:val="21"/>
                      <w:u w:val="single"/>
                      <w:lang w:val="en-US" w:eastAsia="zh-CN"/>
                    </w:rPr>
                    <w:t>0.0220</w:t>
                  </w:r>
                </w:p>
              </w:tc>
              <w:tc>
                <w:tcPr>
                  <w:tcW w:w="1456" w:type="dxa"/>
                  <w:tcBorders>
                    <w:bottom w:val="single" w:color="000000" w:sz="4" w:space="0"/>
                  </w:tcBorders>
                  <w:vAlign w:val="center"/>
                </w:tcPr>
                <w:p w14:paraId="3880ECC6">
                  <w:pPr>
                    <w:adjustRightInd w:val="0"/>
                    <w:snapToGrid w:val="0"/>
                    <w:jc w:val="center"/>
                    <w:rPr>
                      <w:rFonts w:hint="default" w:eastAsia="宋体"/>
                      <w:b/>
                      <w:bCs/>
                      <w:color w:val="auto"/>
                      <w:szCs w:val="21"/>
                      <w:u w:val="single"/>
                      <w:lang w:val="en-US" w:eastAsia="zh-CN"/>
                    </w:rPr>
                  </w:pPr>
                  <w:r>
                    <w:rPr>
                      <w:rFonts w:hint="eastAsia"/>
                      <w:b/>
                      <w:bCs/>
                      <w:color w:val="auto"/>
                      <w:szCs w:val="21"/>
                      <w:u w:val="single"/>
                      <w:lang w:val="en-US" w:eastAsia="zh-CN"/>
                    </w:rPr>
                    <w:t>0.0092</w:t>
                  </w:r>
                </w:p>
              </w:tc>
              <w:tc>
                <w:tcPr>
                  <w:tcW w:w="1097" w:type="dxa"/>
                  <w:tcBorders>
                    <w:bottom w:val="single" w:color="000000" w:sz="4" w:space="0"/>
                  </w:tcBorders>
                  <w:vAlign w:val="center"/>
                </w:tcPr>
                <w:p w14:paraId="6BAF1A2B">
                  <w:pPr>
                    <w:adjustRightInd w:val="0"/>
                    <w:snapToGrid w:val="0"/>
                    <w:jc w:val="center"/>
                    <w:rPr>
                      <w:rFonts w:hint="eastAsia" w:eastAsia="宋体"/>
                      <w:b/>
                      <w:bCs/>
                      <w:color w:val="auto"/>
                      <w:szCs w:val="21"/>
                      <w:u w:val="single"/>
                      <w:lang w:val="en-US" w:eastAsia="zh-CN"/>
                    </w:rPr>
                  </w:pPr>
                  <w:r>
                    <w:rPr>
                      <w:rFonts w:hint="eastAsia"/>
                      <w:b/>
                      <w:bCs/>
                      <w:color w:val="auto"/>
                      <w:szCs w:val="21"/>
                      <w:u w:val="single"/>
                      <w:lang w:val="en-US" w:eastAsia="zh-CN"/>
                    </w:rPr>
                    <w:t>/</w:t>
                  </w:r>
                </w:p>
              </w:tc>
            </w:tr>
            <w:tr w14:paraId="4C70B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696" w:type="dxa"/>
                  <w:vMerge w:val="restart"/>
                  <w:vAlign w:val="center"/>
                </w:tcPr>
                <w:p w14:paraId="130A6DD3">
                  <w:pPr>
                    <w:adjustRightInd w:val="0"/>
                    <w:snapToGrid w:val="0"/>
                    <w:jc w:val="center"/>
                    <w:rPr>
                      <w:rFonts w:hint="default" w:eastAsia="宋体"/>
                      <w:color w:val="auto"/>
                      <w:szCs w:val="21"/>
                      <w:lang w:val="en-US" w:eastAsia="zh-CN"/>
                    </w:rPr>
                  </w:pPr>
                  <w:r>
                    <w:rPr>
                      <w:rFonts w:hint="eastAsia"/>
                      <w:color w:val="auto"/>
                      <w:sz w:val="21"/>
                      <w:szCs w:val="21"/>
                      <w:highlight w:val="none"/>
                      <w:lang w:val="en-US" w:eastAsia="zh-CN"/>
                    </w:rPr>
                    <w:t>拼板冷压、贴皮热压、封边、</w:t>
                  </w:r>
                  <w:r>
                    <w:rPr>
                      <w:rFonts w:hint="eastAsia"/>
                      <w:color w:val="auto"/>
                      <w:szCs w:val="21"/>
                      <w:lang w:val="en-US" w:eastAsia="zh-CN"/>
                    </w:rPr>
                    <w:t>调漆、</w:t>
                  </w:r>
                  <w:r>
                    <w:rPr>
                      <w:rFonts w:hint="eastAsia"/>
                      <w:color w:val="auto"/>
                      <w:szCs w:val="21"/>
                    </w:rPr>
                    <w:t>喷漆、晾干</w:t>
                  </w:r>
                  <w:r>
                    <w:rPr>
                      <w:rFonts w:hint="eastAsia"/>
                      <w:color w:val="auto"/>
                      <w:szCs w:val="21"/>
                      <w:lang w:eastAsia="zh-CN"/>
                    </w:rPr>
                    <w:t>、</w:t>
                  </w:r>
                  <w:r>
                    <w:rPr>
                      <w:rFonts w:hint="eastAsia"/>
                      <w:color w:val="auto"/>
                      <w:szCs w:val="21"/>
                      <w:lang w:val="en-US" w:eastAsia="zh-CN"/>
                    </w:rPr>
                    <w:t>修色</w:t>
                  </w:r>
                </w:p>
              </w:tc>
              <w:tc>
                <w:tcPr>
                  <w:tcW w:w="936" w:type="dxa"/>
                  <w:gridSpan w:val="2"/>
                  <w:vMerge w:val="restart"/>
                  <w:vAlign w:val="center"/>
                </w:tcPr>
                <w:p w14:paraId="6012F6D1">
                  <w:pPr>
                    <w:adjustRightInd w:val="0"/>
                    <w:snapToGrid w:val="0"/>
                    <w:jc w:val="center"/>
                    <w:rPr>
                      <w:color w:val="auto"/>
                      <w:szCs w:val="21"/>
                    </w:rPr>
                  </w:pPr>
                  <w:r>
                    <w:rPr>
                      <w:rFonts w:hint="eastAsia"/>
                      <w:color w:val="auto"/>
                      <w:szCs w:val="21"/>
                    </w:rPr>
                    <w:t>颗粒物</w:t>
                  </w:r>
                </w:p>
              </w:tc>
              <w:tc>
                <w:tcPr>
                  <w:tcW w:w="926" w:type="dxa"/>
                  <w:vMerge w:val="restart"/>
                  <w:vAlign w:val="center"/>
                </w:tcPr>
                <w:p w14:paraId="23141FC0">
                  <w:pPr>
                    <w:adjustRightInd w:val="0"/>
                    <w:snapToGrid w:val="0"/>
                    <w:jc w:val="center"/>
                    <w:rPr>
                      <w:rFonts w:hint="default" w:eastAsia="宋体"/>
                      <w:b/>
                      <w:bCs/>
                      <w:color w:val="auto"/>
                      <w:szCs w:val="21"/>
                      <w:u w:val="single"/>
                      <w:lang w:val="en-US" w:eastAsia="zh-CN"/>
                    </w:rPr>
                  </w:pPr>
                  <w:r>
                    <w:rPr>
                      <w:rFonts w:hint="eastAsia"/>
                      <w:b/>
                      <w:bCs/>
                      <w:color w:val="auto"/>
                      <w:szCs w:val="21"/>
                      <w:u w:val="single"/>
                      <w:lang w:val="en-US" w:eastAsia="zh-CN"/>
                    </w:rPr>
                    <w:t>2.8272</w:t>
                  </w:r>
                </w:p>
              </w:tc>
              <w:tc>
                <w:tcPr>
                  <w:tcW w:w="1074" w:type="dxa"/>
                  <w:vMerge w:val="restart"/>
                  <w:tcBorders>
                    <w:right w:val="single" w:color="000000" w:sz="4" w:space="0"/>
                  </w:tcBorders>
                  <w:vAlign w:val="center"/>
                </w:tcPr>
                <w:p w14:paraId="3EF13DAB">
                  <w:pPr>
                    <w:adjustRightInd w:val="0"/>
                    <w:snapToGrid w:val="0"/>
                    <w:jc w:val="center"/>
                    <w:rPr>
                      <w:rFonts w:hint="default" w:eastAsia="宋体"/>
                      <w:b/>
                      <w:bCs/>
                      <w:color w:val="auto"/>
                      <w:szCs w:val="21"/>
                      <w:u w:val="single"/>
                      <w:lang w:val="en-US" w:eastAsia="zh-CN"/>
                    </w:rPr>
                  </w:pPr>
                  <w:r>
                    <w:rPr>
                      <w:rFonts w:hint="eastAsia"/>
                      <w:b/>
                      <w:bCs/>
                      <w:color w:val="auto"/>
                      <w:szCs w:val="21"/>
                      <w:u w:val="single"/>
                      <w:lang w:val="en-US" w:eastAsia="zh-CN"/>
                    </w:rPr>
                    <w:t>1.1780</w:t>
                  </w:r>
                </w:p>
              </w:tc>
              <w:tc>
                <w:tcPr>
                  <w:tcW w:w="877" w:type="dxa"/>
                  <w:vMerge w:val="restart"/>
                  <w:tcBorders>
                    <w:left w:val="single" w:color="000000" w:sz="4" w:space="0"/>
                  </w:tcBorders>
                  <w:vAlign w:val="center"/>
                </w:tcPr>
                <w:p w14:paraId="68D6DDBB">
                  <w:pPr>
                    <w:adjustRightInd w:val="0"/>
                    <w:snapToGrid w:val="0"/>
                    <w:jc w:val="center"/>
                    <w:rPr>
                      <w:rFonts w:hint="default" w:eastAsia="宋体"/>
                      <w:b/>
                      <w:bCs/>
                      <w:color w:val="auto"/>
                      <w:szCs w:val="21"/>
                      <w:u w:val="single"/>
                      <w:lang w:val="en-US" w:eastAsia="zh-CN"/>
                    </w:rPr>
                  </w:pPr>
                  <w:r>
                    <w:rPr>
                      <w:rFonts w:hint="eastAsia"/>
                      <w:b/>
                      <w:bCs/>
                      <w:color w:val="auto"/>
                      <w:szCs w:val="21"/>
                      <w:u w:val="single"/>
                      <w:lang w:val="en-US" w:eastAsia="zh-CN"/>
                    </w:rPr>
                    <w:t>29.5</w:t>
                  </w:r>
                </w:p>
              </w:tc>
              <w:tc>
                <w:tcPr>
                  <w:tcW w:w="909" w:type="dxa"/>
                  <w:vMerge w:val="restart"/>
                  <w:vAlign w:val="center"/>
                </w:tcPr>
                <w:p w14:paraId="5CBBCB04">
                  <w:pPr>
                    <w:adjustRightInd w:val="0"/>
                    <w:snapToGrid w:val="0"/>
                    <w:jc w:val="center"/>
                    <w:rPr>
                      <w:color w:val="auto"/>
                      <w:szCs w:val="21"/>
                    </w:rPr>
                  </w:pPr>
                  <w:r>
                    <w:rPr>
                      <w:color w:val="auto"/>
                      <w:szCs w:val="21"/>
                    </w:rPr>
                    <w:t>有组织</w:t>
                  </w:r>
                </w:p>
              </w:tc>
              <w:tc>
                <w:tcPr>
                  <w:tcW w:w="1719" w:type="dxa"/>
                  <w:vMerge w:val="restart"/>
                  <w:vAlign w:val="center"/>
                </w:tcPr>
                <w:p w14:paraId="1D025600">
                  <w:pPr>
                    <w:adjustRightInd w:val="0"/>
                    <w:snapToGrid w:val="0"/>
                    <w:jc w:val="center"/>
                    <w:rPr>
                      <w:color w:val="auto"/>
                      <w:szCs w:val="21"/>
                    </w:rPr>
                  </w:pPr>
                  <w:r>
                    <w:rPr>
                      <w:rFonts w:hint="eastAsia"/>
                      <w:color w:val="auto"/>
                      <w:szCs w:val="21"/>
                      <w:lang w:val="en-US" w:eastAsia="zh-CN"/>
                    </w:rPr>
                    <w:t>过滤棉</w:t>
                  </w:r>
                  <w:r>
                    <w:rPr>
                      <w:color w:val="auto"/>
                      <w:szCs w:val="21"/>
                    </w:rPr>
                    <w:t>对颗粒物的去除效率为90%，</w:t>
                  </w:r>
                  <w:r>
                    <w:rPr>
                      <w:rFonts w:hint="eastAsia"/>
                      <w:color w:val="auto"/>
                      <w:szCs w:val="21"/>
                    </w:rPr>
                    <w:t>活性炭吸附效率</w:t>
                  </w:r>
                  <w:r>
                    <w:rPr>
                      <w:rFonts w:hint="eastAsia"/>
                      <w:color w:val="auto"/>
                      <w:szCs w:val="21"/>
                      <w:lang w:val="en-US" w:eastAsia="zh-CN"/>
                    </w:rPr>
                    <w:t>90</w:t>
                  </w:r>
                  <w:r>
                    <w:rPr>
                      <w:color w:val="auto"/>
                      <w:szCs w:val="21"/>
                    </w:rPr>
                    <w:t>%</w:t>
                  </w:r>
                  <w:r>
                    <w:rPr>
                      <w:rFonts w:hint="eastAsia"/>
                      <w:color w:val="auto"/>
                      <w:szCs w:val="21"/>
                    </w:rPr>
                    <w:t>，</w:t>
                  </w:r>
                  <w:r>
                    <w:rPr>
                      <w:rFonts w:hint="eastAsia"/>
                      <w:color w:val="auto"/>
                      <w:szCs w:val="21"/>
                      <w:lang w:val="en-US" w:eastAsia="zh-CN"/>
                    </w:rPr>
                    <w:t>催化燃烧</w:t>
                  </w:r>
                  <w:r>
                    <w:rPr>
                      <w:rFonts w:hint="eastAsia"/>
                      <w:color w:val="auto"/>
                      <w:szCs w:val="21"/>
                    </w:rPr>
                    <w:t>去除效率9</w:t>
                  </w:r>
                  <w:r>
                    <w:rPr>
                      <w:rFonts w:hint="eastAsia"/>
                      <w:color w:val="auto"/>
                      <w:szCs w:val="21"/>
                      <w:lang w:val="en-US" w:eastAsia="zh-CN"/>
                    </w:rPr>
                    <w:t>7</w:t>
                  </w:r>
                  <w:r>
                    <w:rPr>
                      <w:rFonts w:hint="eastAsia"/>
                      <w:color w:val="auto"/>
                      <w:szCs w:val="21"/>
                    </w:rPr>
                    <w:t>%</w:t>
                  </w:r>
                </w:p>
              </w:tc>
              <w:tc>
                <w:tcPr>
                  <w:tcW w:w="807" w:type="dxa"/>
                  <w:vMerge w:val="restart"/>
                  <w:vAlign w:val="center"/>
                </w:tcPr>
                <w:p w14:paraId="5509B41D">
                  <w:pPr>
                    <w:adjustRightInd w:val="0"/>
                    <w:snapToGrid w:val="0"/>
                    <w:jc w:val="center"/>
                    <w:rPr>
                      <w:color w:val="auto"/>
                      <w:szCs w:val="21"/>
                    </w:rPr>
                  </w:pPr>
                  <w:r>
                    <w:rPr>
                      <w:rFonts w:hint="eastAsia"/>
                      <w:color w:val="auto"/>
                      <w:szCs w:val="21"/>
                    </w:rPr>
                    <w:t>95</w:t>
                  </w:r>
                </w:p>
              </w:tc>
              <w:tc>
                <w:tcPr>
                  <w:tcW w:w="938" w:type="dxa"/>
                  <w:vMerge w:val="restart"/>
                  <w:vAlign w:val="center"/>
                </w:tcPr>
                <w:p w14:paraId="47E7B2D4">
                  <w:pPr>
                    <w:adjustRightInd w:val="0"/>
                    <w:snapToGrid w:val="0"/>
                    <w:jc w:val="center"/>
                    <w:rPr>
                      <w:color w:val="auto"/>
                      <w:szCs w:val="21"/>
                    </w:rPr>
                  </w:pPr>
                  <w:r>
                    <w:rPr>
                      <w:rFonts w:hint="eastAsia"/>
                      <w:color w:val="auto"/>
                      <w:szCs w:val="21"/>
                    </w:rPr>
                    <w:t>90</w:t>
                  </w:r>
                </w:p>
              </w:tc>
              <w:tc>
                <w:tcPr>
                  <w:tcW w:w="1242" w:type="dxa"/>
                  <w:vMerge w:val="restart"/>
                  <w:vAlign w:val="center"/>
                </w:tcPr>
                <w:p w14:paraId="6617C4F8">
                  <w:pPr>
                    <w:adjustRightInd w:val="0"/>
                    <w:snapToGrid w:val="0"/>
                    <w:jc w:val="center"/>
                    <w:rPr>
                      <w:rFonts w:hint="eastAsia" w:eastAsia="宋体"/>
                      <w:color w:val="auto"/>
                      <w:szCs w:val="21"/>
                      <w:lang w:eastAsia="zh-CN"/>
                    </w:rPr>
                  </w:pPr>
                  <w:r>
                    <w:rPr>
                      <w:rFonts w:hint="eastAsia"/>
                      <w:color w:val="auto"/>
                      <w:szCs w:val="21"/>
                      <w:lang w:val="en-US" w:eastAsia="zh-CN"/>
                    </w:rPr>
                    <w:t>43</w:t>
                  </w:r>
                  <w:r>
                    <w:rPr>
                      <w:color w:val="auto"/>
                      <w:szCs w:val="21"/>
                    </w:rPr>
                    <w:t>000m</w:t>
                  </w:r>
                  <w:r>
                    <w:rPr>
                      <w:color w:val="auto"/>
                      <w:szCs w:val="21"/>
                      <w:vertAlign w:val="superscript"/>
                    </w:rPr>
                    <w:t>3</w:t>
                  </w:r>
                  <w:r>
                    <w:rPr>
                      <w:color w:val="auto"/>
                      <w:szCs w:val="21"/>
                    </w:rPr>
                    <w:t>/h</w:t>
                  </w:r>
                  <w:r>
                    <w:rPr>
                      <w:rFonts w:hint="eastAsia"/>
                      <w:color w:val="auto"/>
                      <w:szCs w:val="21"/>
                      <w:lang w:eastAsia="zh-CN"/>
                    </w:rPr>
                    <w:t>（</w:t>
                  </w:r>
                  <w:r>
                    <w:rPr>
                      <w:rFonts w:hint="eastAsia"/>
                      <w:color w:val="auto"/>
                      <w:szCs w:val="21"/>
                      <w:lang w:val="en-US" w:eastAsia="zh-CN"/>
                    </w:rPr>
                    <w:t>脱附风机3000</w:t>
                  </w:r>
                  <w:r>
                    <w:rPr>
                      <w:color w:val="auto"/>
                      <w:szCs w:val="21"/>
                    </w:rPr>
                    <w:t>m</w:t>
                  </w:r>
                  <w:r>
                    <w:rPr>
                      <w:color w:val="auto"/>
                      <w:szCs w:val="21"/>
                      <w:vertAlign w:val="superscript"/>
                    </w:rPr>
                    <w:t>3</w:t>
                  </w:r>
                  <w:r>
                    <w:rPr>
                      <w:color w:val="auto"/>
                      <w:szCs w:val="21"/>
                    </w:rPr>
                    <w:t>/h</w:t>
                  </w:r>
                  <w:r>
                    <w:rPr>
                      <w:rFonts w:hint="eastAsia"/>
                      <w:color w:val="auto"/>
                      <w:szCs w:val="21"/>
                      <w:lang w:eastAsia="zh-CN"/>
                    </w:rPr>
                    <w:t>）</w:t>
                  </w:r>
                </w:p>
              </w:tc>
              <w:tc>
                <w:tcPr>
                  <w:tcW w:w="839" w:type="dxa"/>
                  <w:vMerge w:val="restart"/>
                  <w:vAlign w:val="center"/>
                </w:tcPr>
                <w:p w14:paraId="745A56B5">
                  <w:pPr>
                    <w:adjustRightInd w:val="0"/>
                    <w:snapToGrid w:val="0"/>
                    <w:jc w:val="center"/>
                    <w:rPr>
                      <w:rFonts w:hint="default" w:eastAsia="宋体"/>
                      <w:color w:val="auto"/>
                      <w:szCs w:val="21"/>
                      <w:lang w:val="en-US" w:eastAsia="zh-CN"/>
                    </w:rPr>
                  </w:pPr>
                  <w:r>
                    <w:rPr>
                      <w:rFonts w:hint="eastAsia"/>
                      <w:b/>
                      <w:bCs/>
                      <w:color w:val="auto"/>
                      <w:szCs w:val="21"/>
                      <w:u w:val="single"/>
                      <w:lang w:val="en-US" w:eastAsia="zh-CN"/>
                    </w:rPr>
                    <w:t>0.2686</w:t>
                  </w:r>
                </w:p>
              </w:tc>
              <w:tc>
                <w:tcPr>
                  <w:tcW w:w="1456" w:type="dxa"/>
                  <w:vMerge w:val="restart"/>
                  <w:vAlign w:val="center"/>
                </w:tcPr>
                <w:p w14:paraId="4ABADE36">
                  <w:pPr>
                    <w:adjustRightInd w:val="0"/>
                    <w:snapToGrid w:val="0"/>
                    <w:jc w:val="center"/>
                    <w:rPr>
                      <w:rFonts w:hint="default" w:eastAsia="宋体"/>
                      <w:color w:val="auto"/>
                      <w:szCs w:val="21"/>
                      <w:lang w:val="en-US" w:eastAsia="zh-CN"/>
                    </w:rPr>
                  </w:pPr>
                  <w:r>
                    <w:rPr>
                      <w:rFonts w:hint="eastAsia"/>
                      <w:b/>
                      <w:bCs/>
                      <w:color w:val="auto"/>
                      <w:szCs w:val="21"/>
                      <w:u w:val="single"/>
                      <w:lang w:val="en-US" w:eastAsia="zh-CN"/>
                    </w:rPr>
                    <w:t>0.1178</w:t>
                  </w:r>
                </w:p>
              </w:tc>
              <w:tc>
                <w:tcPr>
                  <w:tcW w:w="1097" w:type="dxa"/>
                  <w:vAlign w:val="center"/>
                </w:tcPr>
                <w:p w14:paraId="43761D2B">
                  <w:pPr>
                    <w:adjustRightInd w:val="0"/>
                    <w:snapToGrid w:val="0"/>
                    <w:jc w:val="center"/>
                    <w:rPr>
                      <w:rFonts w:hint="default" w:eastAsia="宋体"/>
                      <w:b/>
                      <w:bCs/>
                      <w:color w:val="auto"/>
                      <w:szCs w:val="21"/>
                      <w:u w:val="single"/>
                      <w:lang w:val="en-US" w:eastAsia="zh-CN"/>
                    </w:rPr>
                  </w:pPr>
                  <w:r>
                    <w:rPr>
                      <w:rFonts w:hint="eastAsia"/>
                      <w:b/>
                      <w:bCs/>
                      <w:color w:val="auto"/>
                      <w:szCs w:val="21"/>
                      <w:u w:val="single"/>
                      <w:lang w:val="en-US" w:eastAsia="zh-CN"/>
                    </w:rPr>
                    <w:t>2.9（吸附）</w:t>
                  </w:r>
                </w:p>
              </w:tc>
            </w:tr>
            <w:tr w14:paraId="58C93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696" w:type="dxa"/>
                  <w:vMerge w:val="continue"/>
                  <w:vAlign w:val="center"/>
                </w:tcPr>
                <w:p w14:paraId="5E4CB20B">
                  <w:pPr>
                    <w:adjustRightInd w:val="0"/>
                    <w:snapToGrid w:val="0"/>
                    <w:jc w:val="center"/>
                    <w:rPr>
                      <w:rFonts w:hint="eastAsia"/>
                      <w:color w:val="auto"/>
                      <w:sz w:val="21"/>
                      <w:szCs w:val="21"/>
                      <w:highlight w:val="none"/>
                      <w:lang w:val="en-US" w:eastAsia="zh-CN"/>
                    </w:rPr>
                  </w:pPr>
                </w:p>
              </w:tc>
              <w:tc>
                <w:tcPr>
                  <w:tcW w:w="936" w:type="dxa"/>
                  <w:gridSpan w:val="2"/>
                  <w:vMerge w:val="continue"/>
                  <w:vAlign w:val="center"/>
                </w:tcPr>
                <w:p w14:paraId="0B0C8053">
                  <w:pPr>
                    <w:adjustRightInd w:val="0"/>
                    <w:snapToGrid w:val="0"/>
                    <w:jc w:val="center"/>
                    <w:rPr>
                      <w:rFonts w:hint="eastAsia"/>
                      <w:color w:val="auto"/>
                      <w:szCs w:val="21"/>
                    </w:rPr>
                  </w:pPr>
                </w:p>
              </w:tc>
              <w:tc>
                <w:tcPr>
                  <w:tcW w:w="926" w:type="dxa"/>
                  <w:vMerge w:val="continue"/>
                  <w:vAlign w:val="center"/>
                </w:tcPr>
                <w:p w14:paraId="76D4CA0C">
                  <w:pPr>
                    <w:adjustRightInd w:val="0"/>
                    <w:snapToGrid w:val="0"/>
                    <w:jc w:val="center"/>
                    <w:rPr>
                      <w:rFonts w:hint="eastAsia"/>
                      <w:b/>
                      <w:bCs/>
                      <w:color w:val="auto"/>
                      <w:szCs w:val="21"/>
                      <w:u w:val="single"/>
                      <w:lang w:val="en-US" w:eastAsia="zh-CN"/>
                    </w:rPr>
                  </w:pPr>
                </w:p>
              </w:tc>
              <w:tc>
                <w:tcPr>
                  <w:tcW w:w="1074" w:type="dxa"/>
                  <w:vMerge w:val="continue"/>
                  <w:tcBorders>
                    <w:right w:val="single" w:color="000000" w:sz="4" w:space="0"/>
                  </w:tcBorders>
                  <w:vAlign w:val="center"/>
                </w:tcPr>
                <w:p w14:paraId="096A86E7">
                  <w:pPr>
                    <w:adjustRightInd w:val="0"/>
                    <w:snapToGrid w:val="0"/>
                    <w:jc w:val="center"/>
                    <w:rPr>
                      <w:rFonts w:hint="eastAsia"/>
                      <w:b/>
                      <w:bCs/>
                      <w:color w:val="auto"/>
                      <w:szCs w:val="21"/>
                      <w:u w:val="single"/>
                      <w:lang w:val="en-US" w:eastAsia="zh-CN"/>
                    </w:rPr>
                  </w:pPr>
                </w:p>
              </w:tc>
              <w:tc>
                <w:tcPr>
                  <w:tcW w:w="877" w:type="dxa"/>
                  <w:vMerge w:val="continue"/>
                  <w:tcBorders>
                    <w:left w:val="single" w:color="000000" w:sz="4" w:space="0"/>
                  </w:tcBorders>
                  <w:vAlign w:val="center"/>
                </w:tcPr>
                <w:p w14:paraId="19CD27BA">
                  <w:pPr>
                    <w:adjustRightInd w:val="0"/>
                    <w:snapToGrid w:val="0"/>
                    <w:jc w:val="center"/>
                    <w:rPr>
                      <w:rFonts w:hint="eastAsia"/>
                      <w:b/>
                      <w:bCs/>
                      <w:color w:val="auto"/>
                      <w:szCs w:val="21"/>
                      <w:u w:val="single"/>
                      <w:lang w:val="en-US" w:eastAsia="zh-CN"/>
                    </w:rPr>
                  </w:pPr>
                </w:p>
              </w:tc>
              <w:tc>
                <w:tcPr>
                  <w:tcW w:w="909" w:type="dxa"/>
                  <w:vMerge w:val="continue"/>
                  <w:vAlign w:val="center"/>
                </w:tcPr>
                <w:p w14:paraId="11F017E7">
                  <w:pPr>
                    <w:adjustRightInd w:val="0"/>
                    <w:snapToGrid w:val="0"/>
                    <w:jc w:val="center"/>
                    <w:rPr>
                      <w:color w:val="auto"/>
                      <w:szCs w:val="21"/>
                    </w:rPr>
                  </w:pPr>
                </w:p>
              </w:tc>
              <w:tc>
                <w:tcPr>
                  <w:tcW w:w="1719" w:type="dxa"/>
                  <w:vMerge w:val="continue"/>
                  <w:vAlign w:val="center"/>
                </w:tcPr>
                <w:p w14:paraId="6A08BD2C">
                  <w:pPr>
                    <w:adjustRightInd w:val="0"/>
                    <w:snapToGrid w:val="0"/>
                    <w:jc w:val="center"/>
                    <w:rPr>
                      <w:rFonts w:hint="eastAsia"/>
                      <w:color w:val="auto"/>
                      <w:szCs w:val="21"/>
                      <w:lang w:val="en-US" w:eastAsia="zh-CN"/>
                    </w:rPr>
                  </w:pPr>
                </w:p>
              </w:tc>
              <w:tc>
                <w:tcPr>
                  <w:tcW w:w="807" w:type="dxa"/>
                  <w:vMerge w:val="continue"/>
                  <w:vAlign w:val="center"/>
                </w:tcPr>
                <w:p w14:paraId="7006204C">
                  <w:pPr>
                    <w:adjustRightInd w:val="0"/>
                    <w:snapToGrid w:val="0"/>
                    <w:jc w:val="center"/>
                    <w:rPr>
                      <w:rFonts w:hint="eastAsia"/>
                      <w:color w:val="auto"/>
                      <w:szCs w:val="21"/>
                    </w:rPr>
                  </w:pPr>
                </w:p>
              </w:tc>
              <w:tc>
                <w:tcPr>
                  <w:tcW w:w="938" w:type="dxa"/>
                  <w:vMerge w:val="continue"/>
                  <w:vAlign w:val="center"/>
                </w:tcPr>
                <w:p w14:paraId="101FB467">
                  <w:pPr>
                    <w:adjustRightInd w:val="0"/>
                    <w:snapToGrid w:val="0"/>
                    <w:jc w:val="center"/>
                    <w:rPr>
                      <w:rFonts w:hint="eastAsia"/>
                      <w:color w:val="auto"/>
                      <w:szCs w:val="21"/>
                    </w:rPr>
                  </w:pPr>
                </w:p>
              </w:tc>
              <w:tc>
                <w:tcPr>
                  <w:tcW w:w="1242" w:type="dxa"/>
                  <w:vMerge w:val="continue"/>
                  <w:vAlign w:val="center"/>
                </w:tcPr>
                <w:p w14:paraId="68040CA4">
                  <w:pPr>
                    <w:adjustRightInd w:val="0"/>
                    <w:snapToGrid w:val="0"/>
                    <w:jc w:val="center"/>
                    <w:rPr>
                      <w:rFonts w:hint="eastAsia"/>
                      <w:color w:val="auto"/>
                      <w:szCs w:val="21"/>
                      <w:lang w:val="en-US" w:eastAsia="zh-CN"/>
                    </w:rPr>
                  </w:pPr>
                </w:p>
              </w:tc>
              <w:tc>
                <w:tcPr>
                  <w:tcW w:w="839" w:type="dxa"/>
                  <w:vMerge w:val="continue"/>
                  <w:vAlign w:val="center"/>
                </w:tcPr>
                <w:p w14:paraId="07677A34">
                  <w:pPr>
                    <w:adjustRightInd w:val="0"/>
                    <w:snapToGrid w:val="0"/>
                    <w:jc w:val="center"/>
                    <w:rPr>
                      <w:rFonts w:hint="eastAsia"/>
                      <w:b/>
                      <w:bCs/>
                      <w:color w:val="auto"/>
                      <w:szCs w:val="21"/>
                      <w:u w:val="single"/>
                      <w:lang w:val="en-US" w:eastAsia="zh-CN"/>
                    </w:rPr>
                  </w:pPr>
                </w:p>
              </w:tc>
              <w:tc>
                <w:tcPr>
                  <w:tcW w:w="1456" w:type="dxa"/>
                  <w:vMerge w:val="continue"/>
                  <w:vAlign w:val="center"/>
                </w:tcPr>
                <w:p w14:paraId="0E952EF8">
                  <w:pPr>
                    <w:adjustRightInd w:val="0"/>
                    <w:snapToGrid w:val="0"/>
                    <w:jc w:val="center"/>
                    <w:rPr>
                      <w:rFonts w:hint="eastAsia"/>
                      <w:b/>
                      <w:bCs/>
                      <w:color w:val="auto"/>
                      <w:szCs w:val="21"/>
                      <w:u w:val="single"/>
                      <w:lang w:val="en-US" w:eastAsia="zh-CN"/>
                    </w:rPr>
                  </w:pPr>
                </w:p>
              </w:tc>
              <w:tc>
                <w:tcPr>
                  <w:tcW w:w="1097" w:type="dxa"/>
                  <w:vAlign w:val="center"/>
                </w:tcPr>
                <w:p w14:paraId="7C94A203">
                  <w:pPr>
                    <w:adjustRightInd w:val="0"/>
                    <w:snapToGrid w:val="0"/>
                    <w:jc w:val="center"/>
                    <w:rPr>
                      <w:rFonts w:hint="default"/>
                      <w:b/>
                      <w:bCs/>
                      <w:color w:val="auto"/>
                      <w:szCs w:val="21"/>
                      <w:u w:val="single"/>
                      <w:lang w:val="en-US" w:eastAsia="zh-CN"/>
                    </w:rPr>
                  </w:pPr>
                  <w:r>
                    <w:rPr>
                      <w:rFonts w:hint="eastAsia"/>
                      <w:b/>
                      <w:bCs/>
                      <w:color w:val="auto"/>
                      <w:szCs w:val="21"/>
                      <w:u w:val="single"/>
                      <w:lang w:val="en-US" w:eastAsia="zh-CN"/>
                    </w:rPr>
                    <w:t>2.7（燃烧）</w:t>
                  </w:r>
                </w:p>
              </w:tc>
            </w:tr>
            <w:tr w14:paraId="7EC7B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696" w:type="dxa"/>
                  <w:vMerge w:val="continue"/>
                  <w:vAlign w:val="center"/>
                </w:tcPr>
                <w:p w14:paraId="182BB201">
                  <w:pPr>
                    <w:adjustRightInd w:val="0"/>
                    <w:snapToGrid w:val="0"/>
                    <w:jc w:val="center"/>
                    <w:rPr>
                      <w:color w:val="auto"/>
                      <w:szCs w:val="21"/>
                    </w:rPr>
                  </w:pPr>
                </w:p>
              </w:tc>
              <w:tc>
                <w:tcPr>
                  <w:tcW w:w="936" w:type="dxa"/>
                  <w:gridSpan w:val="2"/>
                  <w:vMerge w:val="continue"/>
                  <w:vAlign w:val="center"/>
                </w:tcPr>
                <w:p w14:paraId="169A4746">
                  <w:pPr>
                    <w:adjustRightInd w:val="0"/>
                    <w:snapToGrid w:val="0"/>
                    <w:jc w:val="center"/>
                    <w:rPr>
                      <w:color w:val="auto"/>
                      <w:szCs w:val="21"/>
                    </w:rPr>
                  </w:pPr>
                </w:p>
              </w:tc>
              <w:tc>
                <w:tcPr>
                  <w:tcW w:w="926" w:type="dxa"/>
                  <w:vAlign w:val="center"/>
                </w:tcPr>
                <w:p w14:paraId="75C7C55C">
                  <w:pPr>
                    <w:adjustRightInd w:val="0"/>
                    <w:snapToGrid w:val="0"/>
                    <w:jc w:val="center"/>
                    <w:rPr>
                      <w:rFonts w:hint="default" w:eastAsia="宋体"/>
                      <w:b/>
                      <w:bCs/>
                      <w:color w:val="auto"/>
                      <w:szCs w:val="21"/>
                      <w:u w:val="single"/>
                      <w:lang w:val="en-US" w:eastAsia="zh-CN"/>
                    </w:rPr>
                  </w:pPr>
                  <w:r>
                    <w:rPr>
                      <w:rFonts w:hint="eastAsia"/>
                      <w:b/>
                      <w:bCs/>
                      <w:color w:val="auto"/>
                      <w:szCs w:val="21"/>
                      <w:u w:val="single"/>
                      <w:lang w:val="en-US" w:eastAsia="zh-CN"/>
                    </w:rPr>
                    <w:t>0.1414</w:t>
                  </w:r>
                </w:p>
              </w:tc>
              <w:tc>
                <w:tcPr>
                  <w:tcW w:w="1074" w:type="dxa"/>
                  <w:tcBorders>
                    <w:right w:val="single" w:color="000000" w:sz="4" w:space="0"/>
                  </w:tcBorders>
                  <w:vAlign w:val="center"/>
                </w:tcPr>
                <w:p w14:paraId="47645BD2">
                  <w:pPr>
                    <w:adjustRightInd w:val="0"/>
                    <w:snapToGrid w:val="0"/>
                    <w:jc w:val="center"/>
                    <w:rPr>
                      <w:rFonts w:hint="default" w:eastAsia="宋体"/>
                      <w:b/>
                      <w:bCs/>
                      <w:color w:val="auto"/>
                      <w:szCs w:val="21"/>
                      <w:u w:val="single"/>
                      <w:lang w:val="en-US" w:eastAsia="zh-CN"/>
                    </w:rPr>
                  </w:pPr>
                  <w:r>
                    <w:rPr>
                      <w:rFonts w:hint="eastAsia"/>
                      <w:b/>
                      <w:bCs/>
                      <w:color w:val="auto"/>
                      <w:szCs w:val="21"/>
                      <w:u w:val="single"/>
                      <w:lang w:val="en-US" w:eastAsia="zh-CN"/>
                    </w:rPr>
                    <w:t>0.0589</w:t>
                  </w:r>
                </w:p>
              </w:tc>
              <w:tc>
                <w:tcPr>
                  <w:tcW w:w="877" w:type="dxa"/>
                  <w:tcBorders>
                    <w:left w:val="single" w:color="000000" w:sz="4" w:space="0"/>
                  </w:tcBorders>
                  <w:vAlign w:val="center"/>
                </w:tcPr>
                <w:p w14:paraId="72C5C43A">
                  <w:pPr>
                    <w:adjustRightInd w:val="0"/>
                    <w:snapToGrid w:val="0"/>
                    <w:jc w:val="center"/>
                    <w:rPr>
                      <w:b/>
                      <w:bCs/>
                      <w:color w:val="auto"/>
                      <w:szCs w:val="21"/>
                      <w:u w:val="single"/>
                    </w:rPr>
                  </w:pPr>
                  <w:r>
                    <w:rPr>
                      <w:rFonts w:hint="eastAsia"/>
                      <w:b/>
                      <w:bCs/>
                      <w:color w:val="auto"/>
                      <w:szCs w:val="21"/>
                      <w:u w:val="single"/>
                    </w:rPr>
                    <w:t>/</w:t>
                  </w:r>
                </w:p>
              </w:tc>
              <w:tc>
                <w:tcPr>
                  <w:tcW w:w="909" w:type="dxa"/>
                  <w:vAlign w:val="center"/>
                </w:tcPr>
                <w:p w14:paraId="7186D082">
                  <w:pPr>
                    <w:adjustRightInd w:val="0"/>
                    <w:snapToGrid w:val="0"/>
                    <w:jc w:val="center"/>
                    <w:rPr>
                      <w:color w:val="auto"/>
                      <w:szCs w:val="21"/>
                    </w:rPr>
                  </w:pPr>
                  <w:r>
                    <w:rPr>
                      <w:color w:val="auto"/>
                      <w:szCs w:val="21"/>
                    </w:rPr>
                    <w:t>无组织</w:t>
                  </w:r>
                </w:p>
              </w:tc>
              <w:tc>
                <w:tcPr>
                  <w:tcW w:w="1719" w:type="dxa"/>
                  <w:vMerge w:val="continue"/>
                  <w:vAlign w:val="center"/>
                </w:tcPr>
                <w:p w14:paraId="4E91F21B">
                  <w:pPr>
                    <w:adjustRightInd w:val="0"/>
                    <w:snapToGrid w:val="0"/>
                    <w:jc w:val="center"/>
                    <w:rPr>
                      <w:color w:val="auto"/>
                      <w:szCs w:val="21"/>
                    </w:rPr>
                  </w:pPr>
                </w:p>
              </w:tc>
              <w:tc>
                <w:tcPr>
                  <w:tcW w:w="807" w:type="dxa"/>
                  <w:vAlign w:val="center"/>
                </w:tcPr>
                <w:p w14:paraId="75BAFD06">
                  <w:pPr>
                    <w:adjustRightInd w:val="0"/>
                    <w:snapToGrid w:val="0"/>
                    <w:jc w:val="center"/>
                    <w:rPr>
                      <w:color w:val="auto"/>
                      <w:szCs w:val="21"/>
                    </w:rPr>
                  </w:pPr>
                  <w:r>
                    <w:rPr>
                      <w:color w:val="auto"/>
                      <w:szCs w:val="21"/>
                    </w:rPr>
                    <w:t>/</w:t>
                  </w:r>
                </w:p>
              </w:tc>
              <w:tc>
                <w:tcPr>
                  <w:tcW w:w="938" w:type="dxa"/>
                  <w:vAlign w:val="center"/>
                </w:tcPr>
                <w:p w14:paraId="6ED6930D">
                  <w:pPr>
                    <w:adjustRightInd w:val="0"/>
                    <w:snapToGrid w:val="0"/>
                    <w:jc w:val="center"/>
                    <w:rPr>
                      <w:color w:val="auto"/>
                      <w:szCs w:val="21"/>
                    </w:rPr>
                  </w:pPr>
                  <w:r>
                    <w:rPr>
                      <w:color w:val="auto"/>
                      <w:szCs w:val="21"/>
                    </w:rPr>
                    <w:t>/</w:t>
                  </w:r>
                </w:p>
              </w:tc>
              <w:tc>
                <w:tcPr>
                  <w:tcW w:w="1242" w:type="dxa"/>
                  <w:vMerge w:val="continue"/>
                  <w:vAlign w:val="center"/>
                </w:tcPr>
                <w:p w14:paraId="35B0650C">
                  <w:pPr>
                    <w:adjustRightInd w:val="0"/>
                    <w:snapToGrid w:val="0"/>
                    <w:jc w:val="center"/>
                    <w:rPr>
                      <w:color w:val="auto"/>
                      <w:szCs w:val="21"/>
                    </w:rPr>
                  </w:pPr>
                </w:p>
              </w:tc>
              <w:tc>
                <w:tcPr>
                  <w:tcW w:w="839" w:type="dxa"/>
                  <w:vAlign w:val="center"/>
                </w:tcPr>
                <w:p w14:paraId="7F2E6BD3">
                  <w:pPr>
                    <w:adjustRightInd w:val="0"/>
                    <w:snapToGrid w:val="0"/>
                    <w:jc w:val="center"/>
                    <w:rPr>
                      <w:rFonts w:hint="default" w:eastAsia="宋体"/>
                      <w:color w:val="auto"/>
                      <w:szCs w:val="21"/>
                      <w:lang w:val="en-US" w:eastAsia="zh-CN"/>
                    </w:rPr>
                  </w:pPr>
                  <w:r>
                    <w:rPr>
                      <w:rFonts w:hint="eastAsia"/>
                      <w:b/>
                      <w:bCs/>
                      <w:color w:val="auto"/>
                      <w:szCs w:val="21"/>
                      <w:u w:val="single"/>
                      <w:lang w:val="en-US" w:eastAsia="zh-CN"/>
                    </w:rPr>
                    <w:t>0.1414</w:t>
                  </w:r>
                </w:p>
              </w:tc>
              <w:tc>
                <w:tcPr>
                  <w:tcW w:w="1456" w:type="dxa"/>
                  <w:vAlign w:val="center"/>
                </w:tcPr>
                <w:p w14:paraId="7EDACBDA">
                  <w:pPr>
                    <w:adjustRightInd w:val="0"/>
                    <w:snapToGrid w:val="0"/>
                    <w:jc w:val="center"/>
                    <w:rPr>
                      <w:rFonts w:hint="default" w:eastAsia="宋体"/>
                      <w:color w:val="auto"/>
                      <w:szCs w:val="21"/>
                      <w:lang w:val="en-US" w:eastAsia="zh-CN"/>
                    </w:rPr>
                  </w:pPr>
                  <w:r>
                    <w:rPr>
                      <w:rFonts w:hint="eastAsia"/>
                      <w:b/>
                      <w:bCs/>
                      <w:color w:val="auto"/>
                      <w:szCs w:val="21"/>
                      <w:u w:val="single"/>
                      <w:lang w:val="en-US" w:eastAsia="zh-CN"/>
                    </w:rPr>
                    <w:t>0.0589</w:t>
                  </w:r>
                </w:p>
              </w:tc>
              <w:tc>
                <w:tcPr>
                  <w:tcW w:w="1097" w:type="dxa"/>
                  <w:vAlign w:val="center"/>
                </w:tcPr>
                <w:p w14:paraId="0E6B8465">
                  <w:pPr>
                    <w:adjustRightInd w:val="0"/>
                    <w:snapToGrid w:val="0"/>
                    <w:jc w:val="center"/>
                    <w:rPr>
                      <w:color w:val="auto"/>
                      <w:szCs w:val="21"/>
                    </w:rPr>
                  </w:pPr>
                  <w:r>
                    <w:rPr>
                      <w:rFonts w:hint="eastAsia"/>
                      <w:color w:val="auto"/>
                      <w:szCs w:val="21"/>
                    </w:rPr>
                    <w:t>/</w:t>
                  </w:r>
                </w:p>
              </w:tc>
            </w:tr>
            <w:tr w14:paraId="28764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 w:hRule="atLeast"/>
                <w:jc w:val="center"/>
              </w:trPr>
              <w:tc>
                <w:tcPr>
                  <w:tcW w:w="696" w:type="dxa"/>
                  <w:vMerge w:val="continue"/>
                  <w:vAlign w:val="center"/>
                </w:tcPr>
                <w:p w14:paraId="7F1B1EDA">
                  <w:pPr>
                    <w:adjustRightInd w:val="0"/>
                    <w:snapToGrid w:val="0"/>
                    <w:jc w:val="center"/>
                    <w:rPr>
                      <w:color w:val="auto"/>
                      <w:szCs w:val="21"/>
                    </w:rPr>
                  </w:pPr>
                </w:p>
              </w:tc>
              <w:tc>
                <w:tcPr>
                  <w:tcW w:w="936" w:type="dxa"/>
                  <w:gridSpan w:val="2"/>
                  <w:vMerge w:val="restart"/>
                  <w:vAlign w:val="center"/>
                </w:tcPr>
                <w:p w14:paraId="1D6607DA">
                  <w:pPr>
                    <w:adjustRightInd w:val="0"/>
                    <w:snapToGrid w:val="0"/>
                    <w:jc w:val="center"/>
                    <w:rPr>
                      <w:rFonts w:hint="eastAsia" w:eastAsia="宋体"/>
                      <w:color w:val="auto"/>
                      <w:szCs w:val="21"/>
                      <w:lang w:val="en-US" w:eastAsia="zh-CN"/>
                    </w:rPr>
                  </w:pPr>
                  <w:r>
                    <w:rPr>
                      <w:rFonts w:hint="eastAsia"/>
                      <w:color w:val="auto"/>
                      <w:szCs w:val="21"/>
                      <w:lang w:val="en-US" w:eastAsia="zh-CN"/>
                    </w:rPr>
                    <w:t>非甲烷总烃</w:t>
                  </w:r>
                </w:p>
              </w:tc>
              <w:tc>
                <w:tcPr>
                  <w:tcW w:w="926" w:type="dxa"/>
                  <w:vMerge w:val="restart"/>
                  <w:vAlign w:val="center"/>
                </w:tcPr>
                <w:p w14:paraId="54EC2EDD">
                  <w:pPr>
                    <w:adjustRightInd w:val="0"/>
                    <w:snapToGrid w:val="0"/>
                    <w:jc w:val="center"/>
                    <w:rPr>
                      <w:rFonts w:hint="default"/>
                      <w:b/>
                      <w:bCs/>
                      <w:color w:val="auto"/>
                      <w:szCs w:val="21"/>
                      <w:u w:val="single"/>
                      <w:lang w:val="en-US" w:eastAsia="zh-CN"/>
                    </w:rPr>
                  </w:pPr>
                  <w:r>
                    <w:rPr>
                      <w:rFonts w:hint="eastAsia"/>
                      <w:b/>
                      <w:bCs/>
                      <w:color w:val="auto"/>
                      <w:szCs w:val="21"/>
                      <w:u w:val="single"/>
                      <w:lang w:val="en-US" w:eastAsia="zh-CN"/>
                    </w:rPr>
                    <w:t>9.5915（</w:t>
                  </w:r>
                  <w:r>
                    <w:rPr>
                      <w:rFonts w:hint="eastAsia"/>
                      <w:b/>
                      <w:bCs/>
                      <w:color w:val="auto"/>
                      <w:szCs w:val="21"/>
                      <w:u w:val="single"/>
                      <w:lang w:eastAsia="zh-CN"/>
                    </w:rPr>
                    <w:t>拼板冷压、贴皮热压、封边</w:t>
                  </w:r>
                  <w:r>
                    <w:rPr>
                      <w:rFonts w:hint="eastAsia"/>
                      <w:b/>
                      <w:bCs/>
                      <w:color w:val="auto"/>
                      <w:szCs w:val="21"/>
                      <w:u w:val="single"/>
                      <w:lang w:val="en-US" w:eastAsia="zh-CN"/>
                    </w:rPr>
                    <w:t>工序收集量为0.4978）</w:t>
                  </w:r>
                </w:p>
              </w:tc>
              <w:tc>
                <w:tcPr>
                  <w:tcW w:w="1074" w:type="dxa"/>
                  <w:vMerge w:val="restart"/>
                  <w:tcBorders>
                    <w:right w:val="single" w:color="000000" w:sz="4" w:space="0"/>
                  </w:tcBorders>
                  <w:vAlign w:val="center"/>
                </w:tcPr>
                <w:p w14:paraId="4E9A4772">
                  <w:pPr>
                    <w:adjustRightInd w:val="0"/>
                    <w:snapToGrid w:val="0"/>
                    <w:jc w:val="center"/>
                    <w:rPr>
                      <w:rFonts w:hint="default"/>
                      <w:b/>
                      <w:bCs/>
                      <w:color w:val="auto"/>
                      <w:szCs w:val="21"/>
                      <w:u w:val="single"/>
                      <w:lang w:val="en-US" w:eastAsia="zh-CN"/>
                    </w:rPr>
                  </w:pPr>
                  <w:r>
                    <w:rPr>
                      <w:rFonts w:hint="eastAsia"/>
                      <w:b/>
                      <w:bCs/>
                      <w:color w:val="auto"/>
                      <w:szCs w:val="21"/>
                      <w:u w:val="single"/>
                      <w:lang w:val="en-US" w:eastAsia="zh-CN"/>
                    </w:rPr>
                    <w:t>3.9964（</w:t>
                  </w:r>
                  <w:r>
                    <w:rPr>
                      <w:rFonts w:hint="eastAsia"/>
                      <w:b/>
                      <w:bCs/>
                      <w:color w:val="auto"/>
                      <w:szCs w:val="21"/>
                      <w:u w:val="single"/>
                      <w:lang w:eastAsia="zh-CN"/>
                    </w:rPr>
                    <w:t>拼板冷压、贴皮热压、封边</w:t>
                  </w:r>
                  <w:r>
                    <w:rPr>
                      <w:rFonts w:hint="eastAsia"/>
                      <w:b/>
                      <w:bCs/>
                      <w:color w:val="auto"/>
                      <w:szCs w:val="21"/>
                      <w:u w:val="single"/>
                      <w:lang w:val="en-US" w:eastAsia="zh-CN"/>
                    </w:rPr>
                    <w:t>工序产生速率为0.2074）</w:t>
                  </w:r>
                </w:p>
              </w:tc>
              <w:tc>
                <w:tcPr>
                  <w:tcW w:w="877" w:type="dxa"/>
                  <w:vMerge w:val="restart"/>
                  <w:tcBorders>
                    <w:left w:val="single" w:color="000000" w:sz="4" w:space="0"/>
                  </w:tcBorders>
                  <w:vAlign w:val="center"/>
                </w:tcPr>
                <w:p w14:paraId="7C87D455">
                  <w:pPr>
                    <w:adjustRightInd w:val="0"/>
                    <w:snapToGrid w:val="0"/>
                    <w:jc w:val="center"/>
                    <w:rPr>
                      <w:rFonts w:hint="default" w:eastAsia="宋体"/>
                      <w:b/>
                      <w:bCs/>
                      <w:color w:val="auto"/>
                      <w:szCs w:val="21"/>
                      <w:u w:val="single"/>
                      <w:lang w:val="en-US" w:eastAsia="zh-CN"/>
                    </w:rPr>
                  </w:pPr>
                  <w:r>
                    <w:rPr>
                      <w:rFonts w:hint="eastAsia"/>
                      <w:b/>
                      <w:bCs/>
                      <w:color w:val="auto"/>
                      <w:szCs w:val="21"/>
                      <w:u w:val="single"/>
                      <w:lang w:val="en-US" w:eastAsia="zh-CN"/>
                    </w:rPr>
                    <w:t>102.6</w:t>
                  </w:r>
                </w:p>
              </w:tc>
              <w:tc>
                <w:tcPr>
                  <w:tcW w:w="909" w:type="dxa"/>
                  <w:vMerge w:val="restart"/>
                  <w:vAlign w:val="center"/>
                </w:tcPr>
                <w:p w14:paraId="174B89D8">
                  <w:pPr>
                    <w:adjustRightInd w:val="0"/>
                    <w:snapToGrid w:val="0"/>
                    <w:jc w:val="center"/>
                    <w:rPr>
                      <w:rFonts w:hint="eastAsia" w:eastAsia="宋体"/>
                      <w:color w:val="auto"/>
                      <w:szCs w:val="21"/>
                      <w:lang w:val="en-US" w:eastAsia="zh-CN"/>
                    </w:rPr>
                  </w:pPr>
                  <w:r>
                    <w:rPr>
                      <w:rFonts w:hint="eastAsia"/>
                      <w:color w:val="auto"/>
                      <w:szCs w:val="21"/>
                      <w:lang w:val="en-US" w:eastAsia="zh-CN"/>
                    </w:rPr>
                    <w:t>有组织</w:t>
                  </w:r>
                </w:p>
              </w:tc>
              <w:tc>
                <w:tcPr>
                  <w:tcW w:w="1719" w:type="dxa"/>
                  <w:vMerge w:val="continue"/>
                  <w:vAlign w:val="center"/>
                </w:tcPr>
                <w:p w14:paraId="7B6FD60E">
                  <w:pPr>
                    <w:adjustRightInd w:val="0"/>
                    <w:snapToGrid w:val="0"/>
                    <w:jc w:val="center"/>
                    <w:rPr>
                      <w:color w:val="auto"/>
                      <w:szCs w:val="21"/>
                    </w:rPr>
                  </w:pPr>
                </w:p>
              </w:tc>
              <w:tc>
                <w:tcPr>
                  <w:tcW w:w="807" w:type="dxa"/>
                  <w:vMerge w:val="restart"/>
                  <w:vAlign w:val="center"/>
                </w:tcPr>
                <w:p w14:paraId="2365F5C7">
                  <w:pPr>
                    <w:adjustRightInd w:val="0"/>
                    <w:snapToGrid w:val="0"/>
                    <w:jc w:val="center"/>
                    <w:rPr>
                      <w:rFonts w:ascii="Times New Roman" w:hAnsi="Times New Roman" w:eastAsia="宋体" w:cs="Times New Roman"/>
                      <w:color w:val="auto"/>
                      <w:kern w:val="2"/>
                      <w:sz w:val="21"/>
                      <w:szCs w:val="21"/>
                      <w:lang w:val="en-US" w:eastAsia="zh-CN" w:bidi="ar-SA"/>
                    </w:rPr>
                  </w:pPr>
                  <w:r>
                    <w:rPr>
                      <w:rFonts w:hint="eastAsia"/>
                      <w:color w:val="auto"/>
                      <w:szCs w:val="21"/>
                    </w:rPr>
                    <w:t>95</w:t>
                  </w:r>
                </w:p>
                <w:p w14:paraId="41FCB817">
                  <w:pPr>
                    <w:adjustRightInd w:val="0"/>
                    <w:snapToGrid w:val="0"/>
                    <w:jc w:val="center"/>
                    <w:rPr>
                      <w:color w:val="auto"/>
                      <w:szCs w:val="21"/>
                    </w:rPr>
                  </w:pPr>
                </w:p>
              </w:tc>
              <w:tc>
                <w:tcPr>
                  <w:tcW w:w="938" w:type="dxa"/>
                  <w:vAlign w:val="center"/>
                </w:tcPr>
                <w:p w14:paraId="714ABEA1">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90</w:t>
                  </w:r>
                  <w:r>
                    <w:rPr>
                      <w:rFonts w:hint="eastAsia"/>
                      <w:color w:val="auto"/>
                      <w:szCs w:val="21"/>
                    </w:rPr>
                    <w:t>（吸附）</w:t>
                  </w:r>
                </w:p>
              </w:tc>
              <w:tc>
                <w:tcPr>
                  <w:tcW w:w="1242" w:type="dxa"/>
                  <w:vMerge w:val="continue"/>
                  <w:vAlign w:val="center"/>
                </w:tcPr>
                <w:p w14:paraId="30E293BA">
                  <w:pPr>
                    <w:adjustRightInd w:val="0"/>
                    <w:snapToGrid w:val="0"/>
                    <w:jc w:val="center"/>
                    <w:rPr>
                      <w:color w:val="auto"/>
                      <w:szCs w:val="21"/>
                    </w:rPr>
                  </w:pPr>
                </w:p>
              </w:tc>
              <w:tc>
                <w:tcPr>
                  <w:tcW w:w="839" w:type="dxa"/>
                  <w:vAlign w:val="center"/>
                </w:tcPr>
                <w:p w14:paraId="7B36D78C">
                  <w:pPr>
                    <w:adjustRightInd w:val="0"/>
                    <w:snapToGrid w:val="0"/>
                    <w:jc w:val="center"/>
                    <w:rPr>
                      <w:rFonts w:hint="default"/>
                      <w:b/>
                      <w:bCs/>
                      <w:color w:val="auto"/>
                      <w:szCs w:val="21"/>
                      <w:u w:val="single"/>
                      <w:lang w:val="en-US" w:eastAsia="zh-CN"/>
                    </w:rPr>
                  </w:pPr>
                  <w:r>
                    <w:rPr>
                      <w:rFonts w:hint="eastAsia"/>
                      <w:b/>
                      <w:bCs/>
                      <w:color w:val="auto"/>
                      <w:szCs w:val="21"/>
                      <w:u w:val="single"/>
                      <w:lang w:val="en-US" w:eastAsia="zh-CN"/>
                    </w:rPr>
                    <w:t>0.9590</w:t>
                  </w:r>
                  <w:r>
                    <w:rPr>
                      <w:rFonts w:hint="eastAsia"/>
                      <w:b/>
                      <w:bCs/>
                      <w:color w:val="auto"/>
                      <w:szCs w:val="21"/>
                      <w:u w:val="single"/>
                    </w:rPr>
                    <w:t>（吸附）</w:t>
                  </w:r>
                </w:p>
              </w:tc>
              <w:tc>
                <w:tcPr>
                  <w:tcW w:w="1456" w:type="dxa"/>
                  <w:vAlign w:val="center"/>
                </w:tcPr>
                <w:p w14:paraId="6E766A04">
                  <w:pPr>
                    <w:adjustRightInd w:val="0"/>
                    <w:snapToGrid w:val="0"/>
                    <w:jc w:val="center"/>
                    <w:rPr>
                      <w:rFonts w:hint="default"/>
                      <w:b/>
                      <w:bCs/>
                      <w:color w:val="auto"/>
                      <w:szCs w:val="21"/>
                      <w:u w:val="single"/>
                      <w:lang w:val="en-US" w:eastAsia="zh-CN"/>
                    </w:rPr>
                  </w:pPr>
                  <w:r>
                    <w:rPr>
                      <w:rFonts w:hint="eastAsia"/>
                      <w:b/>
                      <w:bCs/>
                      <w:color w:val="auto"/>
                      <w:szCs w:val="21"/>
                      <w:u w:val="single"/>
                      <w:lang w:val="en-US" w:eastAsia="zh-CN"/>
                    </w:rPr>
                    <w:t>0.3996</w:t>
                  </w:r>
                  <w:r>
                    <w:rPr>
                      <w:rFonts w:hint="eastAsia"/>
                      <w:b/>
                      <w:bCs/>
                      <w:color w:val="auto"/>
                      <w:szCs w:val="21"/>
                      <w:u w:val="single"/>
                    </w:rPr>
                    <w:t>（吸附）</w:t>
                  </w:r>
                </w:p>
              </w:tc>
              <w:tc>
                <w:tcPr>
                  <w:tcW w:w="1097" w:type="dxa"/>
                  <w:vAlign w:val="center"/>
                </w:tcPr>
                <w:p w14:paraId="34B997F7">
                  <w:pPr>
                    <w:adjustRightInd w:val="0"/>
                    <w:snapToGrid w:val="0"/>
                    <w:jc w:val="center"/>
                    <w:rPr>
                      <w:rFonts w:hint="default" w:eastAsia="宋体"/>
                      <w:color w:val="auto"/>
                      <w:szCs w:val="21"/>
                      <w:lang w:val="en-US" w:eastAsia="zh-CN"/>
                    </w:rPr>
                  </w:pPr>
                  <w:r>
                    <w:rPr>
                      <w:rFonts w:hint="eastAsia"/>
                      <w:color w:val="auto"/>
                      <w:szCs w:val="21"/>
                      <w:lang w:val="en-US" w:eastAsia="zh-CN"/>
                    </w:rPr>
                    <w:t>10.0</w:t>
                  </w:r>
                  <w:r>
                    <w:rPr>
                      <w:rFonts w:hint="eastAsia"/>
                      <w:b/>
                      <w:bCs/>
                      <w:color w:val="auto"/>
                      <w:szCs w:val="21"/>
                      <w:u w:val="single"/>
                    </w:rPr>
                    <w:t>（吸附）</w:t>
                  </w:r>
                </w:p>
              </w:tc>
            </w:tr>
            <w:tr w14:paraId="1FB75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jc w:val="center"/>
              </w:trPr>
              <w:tc>
                <w:tcPr>
                  <w:tcW w:w="696" w:type="dxa"/>
                  <w:vMerge w:val="continue"/>
                  <w:vAlign w:val="center"/>
                </w:tcPr>
                <w:p w14:paraId="5AE8EB69">
                  <w:pPr>
                    <w:adjustRightInd w:val="0"/>
                    <w:snapToGrid w:val="0"/>
                    <w:jc w:val="center"/>
                    <w:rPr>
                      <w:color w:val="auto"/>
                      <w:szCs w:val="21"/>
                    </w:rPr>
                  </w:pPr>
                </w:p>
              </w:tc>
              <w:tc>
                <w:tcPr>
                  <w:tcW w:w="936" w:type="dxa"/>
                  <w:gridSpan w:val="2"/>
                  <w:vMerge w:val="continue"/>
                  <w:vAlign w:val="center"/>
                </w:tcPr>
                <w:p w14:paraId="2F49302F">
                  <w:pPr>
                    <w:adjustRightInd w:val="0"/>
                    <w:snapToGrid w:val="0"/>
                    <w:jc w:val="center"/>
                    <w:rPr>
                      <w:rFonts w:hint="eastAsia"/>
                      <w:color w:val="auto"/>
                      <w:szCs w:val="21"/>
                      <w:lang w:val="en-US" w:eastAsia="zh-CN"/>
                    </w:rPr>
                  </w:pPr>
                </w:p>
              </w:tc>
              <w:tc>
                <w:tcPr>
                  <w:tcW w:w="926" w:type="dxa"/>
                  <w:vMerge w:val="continue"/>
                  <w:vAlign w:val="center"/>
                </w:tcPr>
                <w:p w14:paraId="357A45F8">
                  <w:pPr>
                    <w:adjustRightInd w:val="0"/>
                    <w:snapToGrid w:val="0"/>
                    <w:jc w:val="center"/>
                    <w:rPr>
                      <w:rFonts w:hint="eastAsia"/>
                      <w:b/>
                      <w:bCs/>
                      <w:color w:val="auto"/>
                      <w:szCs w:val="21"/>
                      <w:u w:val="single"/>
                      <w:lang w:val="en-US" w:eastAsia="zh-CN"/>
                    </w:rPr>
                  </w:pPr>
                </w:p>
              </w:tc>
              <w:tc>
                <w:tcPr>
                  <w:tcW w:w="1074" w:type="dxa"/>
                  <w:vMerge w:val="continue"/>
                  <w:tcBorders>
                    <w:right w:val="single" w:color="000000" w:sz="4" w:space="0"/>
                  </w:tcBorders>
                  <w:vAlign w:val="center"/>
                </w:tcPr>
                <w:p w14:paraId="581CAF68">
                  <w:pPr>
                    <w:adjustRightInd w:val="0"/>
                    <w:snapToGrid w:val="0"/>
                    <w:jc w:val="center"/>
                    <w:rPr>
                      <w:rFonts w:hint="eastAsia"/>
                      <w:b/>
                      <w:bCs/>
                      <w:color w:val="auto"/>
                      <w:szCs w:val="21"/>
                      <w:u w:val="single"/>
                      <w:lang w:val="en-US" w:eastAsia="zh-CN"/>
                    </w:rPr>
                  </w:pPr>
                </w:p>
              </w:tc>
              <w:tc>
                <w:tcPr>
                  <w:tcW w:w="877" w:type="dxa"/>
                  <w:vMerge w:val="continue"/>
                  <w:tcBorders>
                    <w:left w:val="single" w:color="000000" w:sz="4" w:space="0"/>
                  </w:tcBorders>
                  <w:vAlign w:val="center"/>
                </w:tcPr>
                <w:p w14:paraId="00151E34">
                  <w:pPr>
                    <w:adjustRightInd w:val="0"/>
                    <w:snapToGrid w:val="0"/>
                    <w:jc w:val="center"/>
                    <w:rPr>
                      <w:rFonts w:hint="eastAsia"/>
                      <w:b/>
                      <w:bCs/>
                      <w:color w:val="auto"/>
                      <w:szCs w:val="21"/>
                      <w:u w:val="single"/>
                      <w:lang w:val="en-US" w:eastAsia="zh-CN"/>
                    </w:rPr>
                  </w:pPr>
                </w:p>
              </w:tc>
              <w:tc>
                <w:tcPr>
                  <w:tcW w:w="909" w:type="dxa"/>
                  <w:vMerge w:val="continue"/>
                  <w:vAlign w:val="center"/>
                </w:tcPr>
                <w:p w14:paraId="0DD646F9">
                  <w:pPr>
                    <w:adjustRightInd w:val="0"/>
                    <w:snapToGrid w:val="0"/>
                    <w:jc w:val="center"/>
                    <w:rPr>
                      <w:rFonts w:hint="eastAsia"/>
                      <w:color w:val="auto"/>
                      <w:szCs w:val="21"/>
                      <w:lang w:val="en-US" w:eastAsia="zh-CN"/>
                    </w:rPr>
                  </w:pPr>
                </w:p>
              </w:tc>
              <w:tc>
                <w:tcPr>
                  <w:tcW w:w="1719" w:type="dxa"/>
                  <w:vMerge w:val="continue"/>
                  <w:vAlign w:val="center"/>
                </w:tcPr>
                <w:p w14:paraId="29F2F7B7">
                  <w:pPr>
                    <w:adjustRightInd w:val="0"/>
                    <w:snapToGrid w:val="0"/>
                    <w:jc w:val="center"/>
                    <w:rPr>
                      <w:color w:val="auto"/>
                      <w:szCs w:val="21"/>
                    </w:rPr>
                  </w:pPr>
                </w:p>
              </w:tc>
              <w:tc>
                <w:tcPr>
                  <w:tcW w:w="807" w:type="dxa"/>
                  <w:vMerge w:val="continue"/>
                  <w:vAlign w:val="center"/>
                </w:tcPr>
                <w:p w14:paraId="2966B28F">
                  <w:pPr>
                    <w:adjustRightInd w:val="0"/>
                    <w:snapToGrid w:val="0"/>
                    <w:jc w:val="center"/>
                    <w:rPr>
                      <w:color w:val="auto"/>
                      <w:szCs w:val="21"/>
                    </w:rPr>
                  </w:pPr>
                </w:p>
              </w:tc>
              <w:tc>
                <w:tcPr>
                  <w:tcW w:w="938" w:type="dxa"/>
                  <w:vAlign w:val="center"/>
                </w:tcPr>
                <w:p w14:paraId="0B2BAF77">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87.3</w:t>
                  </w:r>
                  <w:r>
                    <w:rPr>
                      <w:rFonts w:hint="eastAsia"/>
                      <w:color w:val="auto"/>
                      <w:szCs w:val="21"/>
                    </w:rPr>
                    <w:t>（</w:t>
                  </w:r>
                  <w:r>
                    <w:rPr>
                      <w:rFonts w:hint="eastAsia"/>
                      <w:color w:val="auto"/>
                      <w:szCs w:val="21"/>
                      <w:lang w:val="en-US" w:eastAsia="zh-CN"/>
                    </w:rPr>
                    <w:t>燃烧</w:t>
                  </w:r>
                  <w:r>
                    <w:rPr>
                      <w:rFonts w:hint="eastAsia"/>
                      <w:color w:val="auto"/>
                      <w:szCs w:val="21"/>
                    </w:rPr>
                    <w:t>）</w:t>
                  </w:r>
                </w:p>
              </w:tc>
              <w:tc>
                <w:tcPr>
                  <w:tcW w:w="1242" w:type="dxa"/>
                  <w:vMerge w:val="continue"/>
                  <w:vAlign w:val="center"/>
                </w:tcPr>
                <w:p w14:paraId="2999DC5A">
                  <w:pPr>
                    <w:adjustRightInd w:val="0"/>
                    <w:snapToGrid w:val="0"/>
                    <w:jc w:val="center"/>
                    <w:rPr>
                      <w:color w:val="auto"/>
                      <w:szCs w:val="21"/>
                    </w:rPr>
                  </w:pPr>
                </w:p>
              </w:tc>
              <w:tc>
                <w:tcPr>
                  <w:tcW w:w="839" w:type="dxa"/>
                  <w:vAlign w:val="center"/>
                </w:tcPr>
                <w:p w14:paraId="7A1638A5">
                  <w:pPr>
                    <w:adjustRightInd w:val="0"/>
                    <w:snapToGrid w:val="0"/>
                    <w:jc w:val="center"/>
                    <w:rPr>
                      <w:rFonts w:hint="default"/>
                      <w:b/>
                      <w:bCs/>
                      <w:color w:val="auto"/>
                      <w:szCs w:val="21"/>
                      <w:u w:val="single"/>
                      <w:lang w:val="en-US" w:eastAsia="zh-CN"/>
                    </w:rPr>
                  </w:pPr>
                  <w:r>
                    <w:rPr>
                      <w:rFonts w:hint="eastAsia"/>
                      <w:b/>
                      <w:bCs/>
                      <w:color w:val="auto"/>
                      <w:szCs w:val="21"/>
                      <w:u w:val="single"/>
                      <w:lang w:val="en-US" w:eastAsia="zh-CN"/>
                    </w:rPr>
                    <w:t>1.2045</w:t>
                  </w:r>
                  <w:r>
                    <w:rPr>
                      <w:rFonts w:hint="eastAsia"/>
                      <w:b/>
                      <w:bCs/>
                      <w:color w:val="auto"/>
                      <w:szCs w:val="21"/>
                      <w:u w:val="single"/>
                    </w:rPr>
                    <w:t>（</w:t>
                  </w:r>
                  <w:r>
                    <w:rPr>
                      <w:rFonts w:hint="eastAsia"/>
                      <w:b/>
                      <w:bCs/>
                      <w:color w:val="auto"/>
                      <w:szCs w:val="21"/>
                      <w:u w:val="single"/>
                      <w:lang w:val="en-US" w:eastAsia="zh-CN"/>
                    </w:rPr>
                    <w:t>燃烧</w:t>
                  </w:r>
                  <w:r>
                    <w:rPr>
                      <w:rFonts w:hint="eastAsia"/>
                      <w:b/>
                      <w:bCs/>
                      <w:color w:val="auto"/>
                      <w:szCs w:val="21"/>
                      <w:u w:val="single"/>
                    </w:rPr>
                    <w:t>）</w:t>
                  </w:r>
                </w:p>
              </w:tc>
              <w:tc>
                <w:tcPr>
                  <w:tcW w:w="1456" w:type="dxa"/>
                  <w:vAlign w:val="center"/>
                </w:tcPr>
                <w:p w14:paraId="03F01189">
                  <w:pPr>
                    <w:adjustRightInd w:val="0"/>
                    <w:snapToGrid w:val="0"/>
                    <w:jc w:val="center"/>
                    <w:rPr>
                      <w:rFonts w:hint="default"/>
                      <w:b/>
                      <w:bCs/>
                      <w:color w:val="auto"/>
                      <w:szCs w:val="21"/>
                      <w:u w:val="single"/>
                      <w:lang w:val="en-US" w:eastAsia="zh-CN"/>
                    </w:rPr>
                  </w:pPr>
                  <w:r>
                    <w:rPr>
                      <w:rFonts w:hint="eastAsia"/>
                      <w:b/>
                      <w:bCs/>
                      <w:color w:val="auto"/>
                      <w:szCs w:val="21"/>
                      <w:u w:val="single"/>
                      <w:lang w:val="en-US" w:eastAsia="zh-CN"/>
                    </w:rPr>
                    <w:t>0.6042</w:t>
                  </w:r>
                  <w:r>
                    <w:rPr>
                      <w:rFonts w:hint="eastAsia"/>
                      <w:b/>
                      <w:bCs/>
                      <w:color w:val="auto"/>
                      <w:szCs w:val="21"/>
                      <w:u w:val="single"/>
                    </w:rPr>
                    <w:t>（</w:t>
                  </w:r>
                  <w:r>
                    <w:rPr>
                      <w:rFonts w:hint="eastAsia"/>
                      <w:b/>
                      <w:bCs/>
                      <w:color w:val="auto"/>
                      <w:szCs w:val="21"/>
                      <w:u w:val="single"/>
                      <w:lang w:val="en-US" w:eastAsia="zh-CN"/>
                    </w:rPr>
                    <w:t>燃烧</w:t>
                  </w:r>
                  <w:r>
                    <w:rPr>
                      <w:rFonts w:hint="eastAsia"/>
                      <w:b/>
                      <w:bCs/>
                      <w:color w:val="auto"/>
                      <w:szCs w:val="21"/>
                      <w:u w:val="single"/>
                    </w:rPr>
                    <w:t>）</w:t>
                  </w:r>
                </w:p>
              </w:tc>
              <w:tc>
                <w:tcPr>
                  <w:tcW w:w="1097" w:type="dxa"/>
                  <w:vAlign w:val="center"/>
                </w:tcPr>
                <w:p w14:paraId="58A08A61">
                  <w:pPr>
                    <w:adjustRightInd w:val="0"/>
                    <w:snapToGrid w:val="0"/>
                    <w:jc w:val="center"/>
                    <w:rPr>
                      <w:rFonts w:hint="default" w:eastAsia="宋体"/>
                      <w:color w:val="auto"/>
                      <w:szCs w:val="21"/>
                      <w:lang w:val="en-US" w:eastAsia="zh-CN"/>
                    </w:rPr>
                  </w:pPr>
                  <w:r>
                    <w:rPr>
                      <w:rFonts w:hint="eastAsia"/>
                      <w:color w:val="auto"/>
                      <w:szCs w:val="21"/>
                      <w:lang w:val="en-US" w:eastAsia="zh-CN"/>
                    </w:rPr>
                    <w:t>14.1</w:t>
                  </w:r>
                  <w:r>
                    <w:rPr>
                      <w:rFonts w:hint="eastAsia"/>
                      <w:b/>
                      <w:bCs/>
                      <w:color w:val="auto"/>
                      <w:szCs w:val="21"/>
                      <w:u w:val="single"/>
                    </w:rPr>
                    <w:t>（</w:t>
                  </w:r>
                  <w:r>
                    <w:rPr>
                      <w:rFonts w:hint="eastAsia"/>
                      <w:b/>
                      <w:bCs/>
                      <w:color w:val="auto"/>
                      <w:szCs w:val="21"/>
                      <w:u w:val="single"/>
                      <w:lang w:val="en-US" w:eastAsia="zh-CN"/>
                    </w:rPr>
                    <w:t>燃烧</w:t>
                  </w:r>
                  <w:r>
                    <w:rPr>
                      <w:rFonts w:hint="eastAsia"/>
                      <w:b/>
                      <w:bCs/>
                      <w:color w:val="auto"/>
                      <w:szCs w:val="21"/>
                      <w:u w:val="single"/>
                    </w:rPr>
                    <w:t>）</w:t>
                  </w:r>
                </w:p>
              </w:tc>
            </w:tr>
            <w:tr w14:paraId="57EA1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696" w:type="dxa"/>
                  <w:vMerge w:val="continue"/>
                  <w:vAlign w:val="center"/>
                </w:tcPr>
                <w:p w14:paraId="6777F0FE">
                  <w:pPr>
                    <w:adjustRightInd w:val="0"/>
                    <w:snapToGrid w:val="0"/>
                    <w:jc w:val="center"/>
                    <w:rPr>
                      <w:color w:val="auto"/>
                      <w:szCs w:val="21"/>
                    </w:rPr>
                  </w:pPr>
                </w:p>
              </w:tc>
              <w:tc>
                <w:tcPr>
                  <w:tcW w:w="936" w:type="dxa"/>
                  <w:gridSpan w:val="2"/>
                  <w:vMerge w:val="continue"/>
                  <w:vAlign w:val="center"/>
                </w:tcPr>
                <w:p w14:paraId="1CCA1A0A">
                  <w:pPr>
                    <w:adjustRightInd w:val="0"/>
                    <w:snapToGrid w:val="0"/>
                    <w:jc w:val="center"/>
                    <w:rPr>
                      <w:color w:val="auto"/>
                      <w:szCs w:val="21"/>
                    </w:rPr>
                  </w:pPr>
                </w:p>
              </w:tc>
              <w:tc>
                <w:tcPr>
                  <w:tcW w:w="926" w:type="dxa"/>
                  <w:vAlign w:val="center"/>
                </w:tcPr>
                <w:p w14:paraId="6220D223">
                  <w:pPr>
                    <w:adjustRightInd w:val="0"/>
                    <w:snapToGrid w:val="0"/>
                    <w:jc w:val="center"/>
                    <w:rPr>
                      <w:rFonts w:hint="default"/>
                      <w:b/>
                      <w:bCs/>
                      <w:color w:val="auto"/>
                      <w:szCs w:val="21"/>
                      <w:u w:val="single"/>
                      <w:lang w:val="en-US" w:eastAsia="zh-CN"/>
                    </w:rPr>
                  </w:pPr>
                  <w:r>
                    <w:rPr>
                      <w:rFonts w:hint="eastAsia"/>
                      <w:b/>
                      <w:bCs/>
                      <w:color w:val="auto"/>
                      <w:szCs w:val="21"/>
                      <w:u w:val="single"/>
                      <w:lang w:val="en-US" w:eastAsia="zh-CN"/>
                    </w:rPr>
                    <w:t>0.5049</w:t>
                  </w:r>
                </w:p>
              </w:tc>
              <w:tc>
                <w:tcPr>
                  <w:tcW w:w="1074" w:type="dxa"/>
                  <w:tcBorders>
                    <w:right w:val="single" w:color="000000" w:sz="4" w:space="0"/>
                  </w:tcBorders>
                  <w:vAlign w:val="center"/>
                </w:tcPr>
                <w:p w14:paraId="260041C9">
                  <w:pPr>
                    <w:adjustRightInd w:val="0"/>
                    <w:snapToGrid w:val="0"/>
                    <w:jc w:val="center"/>
                    <w:rPr>
                      <w:rFonts w:hint="default"/>
                      <w:b/>
                      <w:bCs/>
                      <w:color w:val="auto"/>
                      <w:szCs w:val="21"/>
                      <w:u w:val="single"/>
                      <w:lang w:val="en-US" w:eastAsia="zh-CN"/>
                    </w:rPr>
                  </w:pPr>
                  <w:r>
                    <w:rPr>
                      <w:rFonts w:hint="eastAsia"/>
                      <w:b/>
                      <w:bCs/>
                      <w:color w:val="auto"/>
                      <w:szCs w:val="21"/>
                      <w:u w:val="single"/>
                      <w:lang w:val="en-US" w:eastAsia="zh-CN"/>
                    </w:rPr>
                    <w:t>0.2103</w:t>
                  </w:r>
                </w:p>
              </w:tc>
              <w:tc>
                <w:tcPr>
                  <w:tcW w:w="877" w:type="dxa"/>
                  <w:tcBorders>
                    <w:left w:val="single" w:color="000000" w:sz="4" w:space="0"/>
                  </w:tcBorders>
                  <w:vAlign w:val="center"/>
                </w:tcPr>
                <w:p w14:paraId="7241F179">
                  <w:pPr>
                    <w:adjustRightInd w:val="0"/>
                    <w:snapToGrid w:val="0"/>
                    <w:jc w:val="center"/>
                    <w:rPr>
                      <w:rFonts w:hint="eastAsia" w:eastAsia="宋体"/>
                      <w:b/>
                      <w:bCs/>
                      <w:color w:val="auto"/>
                      <w:szCs w:val="21"/>
                      <w:u w:val="single"/>
                      <w:lang w:val="en-US" w:eastAsia="zh-CN"/>
                    </w:rPr>
                  </w:pPr>
                  <w:r>
                    <w:rPr>
                      <w:rFonts w:hint="eastAsia"/>
                      <w:b/>
                      <w:bCs/>
                      <w:color w:val="auto"/>
                      <w:szCs w:val="21"/>
                      <w:u w:val="single"/>
                      <w:lang w:val="en-US" w:eastAsia="zh-CN"/>
                    </w:rPr>
                    <w:t>/</w:t>
                  </w:r>
                </w:p>
              </w:tc>
              <w:tc>
                <w:tcPr>
                  <w:tcW w:w="909" w:type="dxa"/>
                  <w:vAlign w:val="center"/>
                </w:tcPr>
                <w:p w14:paraId="4AFE3BBA">
                  <w:pPr>
                    <w:adjustRightInd w:val="0"/>
                    <w:snapToGrid w:val="0"/>
                    <w:jc w:val="center"/>
                    <w:rPr>
                      <w:rFonts w:hint="eastAsia" w:eastAsia="宋体"/>
                      <w:color w:val="auto"/>
                      <w:szCs w:val="21"/>
                      <w:lang w:val="en-US" w:eastAsia="zh-CN"/>
                    </w:rPr>
                  </w:pPr>
                  <w:r>
                    <w:rPr>
                      <w:rFonts w:hint="eastAsia"/>
                      <w:color w:val="auto"/>
                      <w:szCs w:val="21"/>
                      <w:lang w:val="en-US" w:eastAsia="zh-CN"/>
                    </w:rPr>
                    <w:t>无组织</w:t>
                  </w:r>
                </w:p>
              </w:tc>
              <w:tc>
                <w:tcPr>
                  <w:tcW w:w="1719" w:type="dxa"/>
                  <w:vMerge w:val="continue"/>
                  <w:vAlign w:val="center"/>
                </w:tcPr>
                <w:p w14:paraId="6E75393C">
                  <w:pPr>
                    <w:adjustRightInd w:val="0"/>
                    <w:snapToGrid w:val="0"/>
                    <w:jc w:val="center"/>
                    <w:rPr>
                      <w:color w:val="auto"/>
                      <w:szCs w:val="21"/>
                    </w:rPr>
                  </w:pPr>
                </w:p>
              </w:tc>
              <w:tc>
                <w:tcPr>
                  <w:tcW w:w="807" w:type="dxa"/>
                  <w:vAlign w:val="center"/>
                </w:tcPr>
                <w:p w14:paraId="3862C029">
                  <w:pPr>
                    <w:adjustRightInd w:val="0"/>
                    <w:snapToGrid w:val="0"/>
                    <w:jc w:val="center"/>
                    <w:rPr>
                      <w:rFonts w:hint="eastAsia" w:eastAsia="宋体"/>
                      <w:color w:val="auto"/>
                      <w:szCs w:val="21"/>
                      <w:lang w:val="en-US" w:eastAsia="zh-CN"/>
                    </w:rPr>
                  </w:pPr>
                  <w:r>
                    <w:rPr>
                      <w:rFonts w:hint="eastAsia"/>
                      <w:color w:val="auto"/>
                      <w:szCs w:val="21"/>
                      <w:lang w:val="en-US" w:eastAsia="zh-CN"/>
                    </w:rPr>
                    <w:t>/</w:t>
                  </w:r>
                </w:p>
              </w:tc>
              <w:tc>
                <w:tcPr>
                  <w:tcW w:w="938" w:type="dxa"/>
                  <w:vAlign w:val="center"/>
                </w:tcPr>
                <w:p w14:paraId="0D5FD197">
                  <w:pPr>
                    <w:adjustRightInd w:val="0"/>
                    <w:snapToGrid w:val="0"/>
                    <w:jc w:val="center"/>
                    <w:rPr>
                      <w:rFonts w:hint="eastAsia" w:eastAsia="宋体"/>
                      <w:color w:val="auto"/>
                      <w:szCs w:val="21"/>
                      <w:lang w:val="en-US" w:eastAsia="zh-CN"/>
                    </w:rPr>
                  </w:pPr>
                  <w:r>
                    <w:rPr>
                      <w:rFonts w:hint="eastAsia"/>
                      <w:color w:val="auto"/>
                      <w:szCs w:val="21"/>
                      <w:lang w:val="en-US" w:eastAsia="zh-CN"/>
                    </w:rPr>
                    <w:t>/</w:t>
                  </w:r>
                </w:p>
              </w:tc>
              <w:tc>
                <w:tcPr>
                  <w:tcW w:w="1242" w:type="dxa"/>
                  <w:vMerge w:val="continue"/>
                  <w:vAlign w:val="center"/>
                </w:tcPr>
                <w:p w14:paraId="1A55328B">
                  <w:pPr>
                    <w:adjustRightInd w:val="0"/>
                    <w:snapToGrid w:val="0"/>
                    <w:jc w:val="center"/>
                    <w:rPr>
                      <w:color w:val="auto"/>
                      <w:szCs w:val="21"/>
                    </w:rPr>
                  </w:pPr>
                </w:p>
              </w:tc>
              <w:tc>
                <w:tcPr>
                  <w:tcW w:w="839" w:type="dxa"/>
                  <w:vAlign w:val="center"/>
                </w:tcPr>
                <w:p w14:paraId="0560CF69">
                  <w:pPr>
                    <w:adjustRightInd w:val="0"/>
                    <w:snapToGrid w:val="0"/>
                    <w:jc w:val="center"/>
                    <w:rPr>
                      <w:rFonts w:hint="eastAsia" w:ascii="Times New Roman" w:hAnsi="Times New Roman" w:eastAsia="宋体" w:cs="Times New Roman"/>
                      <w:b/>
                      <w:bCs/>
                      <w:color w:val="auto"/>
                      <w:kern w:val="2"/>
                      <w:sz w:val="21"/>
                      <w:szCs w:val="21"/>
                      <w:u w:val="single"/>
                      <w:lang w:val="en-US" w:eastAsia="zh-CN" w:bidi="ar-SA"/>
                    </w:rPr>
                  </w:pPr>
                  <w:r>
                    <w:rPr>
                      <w:rFonts w:hint="eastAsia"/>
                      <w:b/>
                      <w:bCs/>
                      <w:color w:val="auto"/>
                      <w:szCs w:val="21"/>
                      <w:u w:val="single"/>
                      <w:lang w:val="en-US" w:eastAsia="zh-CN"/>
                    </w:rPr>
                    <w:t>0.5049</w:t>
                  </w:r>
                </w:p>
              </w:tc>
              <w:tc>
                <w:tcPr>
                  <w:tcW w:w="1456" w:type="dxa"/>
                  <w:vAlign w:val="center"/>
                </w:tcPr>
                <w:p w14:paraId="128B0C07">
                  <w:pPr>
                    <w:adjustRightInd w:val="0"/>
                    <w:snapToGrid w:val="0"/>
                    <w:jc w:val="center"/>
                    <w:rPr>
                      <w:rFonts w:hint="eastAsia" w:ascii="Times New Roman" w:hAnsi="Times New Roman" w:eastAsia="宋体" w:cs="Times New Roman"/>
                      <w:b/>
                      <w:bCs/>
                      <w:color w:val="auto"/>
                      <w:kern w:val="2"/>
                      <w:sz w:val="21"/>
                      <w:szCs w:val="21"/>
                      <w:u w:val="single"/>
                      <w:lang w:val="en-US" w:eastAsia="zh-CN" w:bidi="ar-SA"/>
                    </w:rPr>
                  </w:pPr>
                  <w:r>
                    <w:rPr>
                      <w:rFonts w:hint="eastAsia"/>
                      <w:b/>
                      <w:bCs/>
                      <w:color w:val="auto"/>
                      <w:szCs w:val="21"/>
                      <w:u w:val="single"/>
                      <w:lang w:val="en-US" w:eastAsia="zh-CN"/>
                    </w:rPr>
                    <w:t>0.2103</w:t>
                  </w:r>
                </w:p>
              </w:tc>
              <w:tc>
                <w:tcPr>
                  <w:tcW w:w="1097" w:type="dxa"/>
                  <w:vAlign w:val="center"/>
                </w:tcPr>
                <w:p w14:paraId="7A20F0D7">
                  <w:pPr>
                    <w:adjustRightInd w:val="0"/>
                    <w:snapToGrid w:val="0"/>
                    <w:jc w:val="center"/>
                    <w:rPr>
                      <w:rFonts w:hint="eastAsia" w:eastAsia="宋体"/>
                      <w:color w:val="auto"/>
                      <w:szCs w:val="21"/>
                      <w:lang w:val="en-US" w:eastAsia="zh-CN"/>
                    </w:rPr>
                  </w:pPr>
                  <w:r>
                    <w:rPr>
                      <w:rFonts w:hint="eastAsia"/>
                      <w:color w:val="auto"/>
                      <w:szCs w:val="21"/>
                      <w:lang w:val="en-US" w:eastAsia="zh-CN"/>
                    </w:rPr>
                    <w:t>/</w:t>
                  </w:r>
                </w:p>
              </w:tc>
            </w:tr>
          </w:tbl>
          <w:p w14:paraId="20197B55">
            <w:pPr>
              <w:pStyle w:val="46"/>
              <w:numPr>
                <w:ilvl w:val="0"/>
                <w:numId w:val="0"/>
              </w:numPr>
              <w:ind w:left="420"/>
              <w:jc w:val="left"/>
              <w:rPr>
                <w:rFonts w:hint="eastAsia"/>
                <w:b w:val="0"/>
                <w:bCs w:val="0"/>
                <w:color w:val="auto"/>
                <w:kern w:val="0"/>
                <w:sz w:val="24"/>
                <w:szCs w:val="24"/>
                <w:lang w:val="en-US" w:eastAsia="zh-CN"/>
              </w:rPr>
            </w:pPr>
            <w:r>
              <w:rPr>
                <w:rFonts w:hint="eastAsia"/>
                <w:b w:val="0"/>
                <w:bCs w:val="0"/>
                <w:color w:val="auto"/>
                <w:kern w:val="0"/>
                <w:sz w:val="24"/>
                <w:szCs w:val="24"/>
                <w:lang w:val="en-US" w:eastAsia="zh-CN"/>
              </w:rPr>
              <w:t>注：挥发性有机物排放与处理设施运行状态有关，脱附阶段和脱附+吸附阶段污染物排放浓度均能满足标准要求。</w:t>
            </w:r>
          </w:p>
          <w:p w14:paraId="5DB5EA27">
            <w:pPr>
              <w:pStyle w:val="32"/>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jc w:val="center"/>
              <w:textAlignment w:val="auto"/>
              <w:outlineLvl w:val="9"/>
              <w:rPr>
                <w:rFonts w:hint="default"/>
                <w:color w:val="auto"/>
                <w:lang w:val="en-US" w:eastAsia="zh-CN"/>
              </w:rPr>
            </w:pPr>
            <w:r>
              <w:rPr>
                <w:sz w:val="21"/>
                <w:szCs w:val="21"/>
              </w:rPr>
              <mc:AlternateContent>
                <mc:Choice Requires="wpc">
                  <w:drawing>
                    <wp:inline distT="0" distB="0" distL="114300" distR="114300">
                      <wp:extent cx="8409305" cy="4032885"/>
                      <wp:effectExtent l="0" t="0" r="0" b="0"/>
                      <wp:docPr id="1" name="画布 1"/>
                      <wp:cNvGraphicFramePr/>
                      <a:graphic xmlns:a="http://schemas.openxmlformats.org/drawingml/2006/main">
                        <a:graphicData uri="http://schemas.microsoft.com/office/word/2010/wordprocessingCanvas">
                          <wpc:wpc>
                            <wpc:bg/>
                            <wpc:whole/>
                            <wps:wsp>
                              <wps:cNvPr id="13" name="直接箭头连接符 13"/>
                              <wps:cNvCnPr>
                                <a:stCxn id="12" idx="3"/>
                              </wps:cNvCnPr>
                              <wps:spPr>
                                <a:xfrm flipV="1">
                                  <a:off x="1976755" y="598805"/>
                                  <a:ext cx="1000125" cy="5080"/>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5" name="直接箭头连接符 15"/>
                              <wps:cNvCnPr/>
                              <wps:spPr>
                                <a:xfrm flipV="1">
                                  <a:off x="4875530" y="598805"/>
                                  <a:ext cx="1000125" cy="5080"/>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g:wgp>
                              <wpg:cNvPr id="143" name="组合 143"/>
                              <wpg:cNvGrpSpPr/>
                              <wpg:grpSpPr>
                                <a:xfrm>
                                  <a:off x="100330" y="76200"/>
                                  <a:ext cx="8241030" cy="988695"/>
                                  <a:chOff x="158" y="120"/>
                                  <a:chExt cx="12978" cy="1557"/>
                                </a:xfrm>
                              </wpg:grpSpPr>
                              <wps:wsp>
                                <wps:cNvPr id="12" name="矩形 12"/>
                                <wps:cNvSpPr/>
                                <wps:spPr>
                                  <a:xfrm>
                                    <a:off x="158" y="223"/>
                                    <a:ext cx="2955" cy="1455"/>
                                  </a:xfrm>
                                  <a:prstGeom prst="rect">
                                    <a:avLst/>
                                  </a:prstGeom>
                                  <a:noFill/>
                                  <a:ln w="952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1E513B45">
                                      <w:pPr>
                                        <w:jc w:val="center"/>
                                        <w:rPr>
                                          <w:rFonts w:hint="default" w:eastAsia="宋体"/>
                                          <w:color w:val="0D0D0D" w:themeColor="text1" w:themeTint="F2"/>
                                          <w:sz w:val="24"/>
                                          <w:szCs w:val="32"/>
                                          <w:lang w:val="en-US" w:eastAsia="zh-CN"/>
                                          <w14:textFill>
                                            <w14:solidFill>
                                              <w14:schemeClr w14:val="tx1">
                                                <w14:lumMod w14:val="95000"/>
                                                <w14:lumOff w14:val="5000"/>
                                              </w14:schemeClr>
                                            </w14:solidFill>
                                          </w14:textFill>
                                        </w:rPr>
                                      </w:pPr>
                                      <w:r>
                                        <w:rPr>
                                          <w:rFonts w:hint="eastAsia"/>
                                          <w:color w:val="0D0D0D" w:themeColor="text1" w:themeTint="F2"/>
                                          <w:sz w:val="24"/>
                                          <w:szCs w:val="32"/>
                                          <w:lang w:val="en-US" w:eastAsia="zh-CN"/>
                                          <w14:textFill>
                                            <w14:solidFill>
                                              <w14:schemeClr w14:val="tx1">
                                                <w14:lumMod w14:val="95000"/>
                                                <w14:lumOff w14:val="5000"/>
                                              </w14:schemeClr>
                                            </w14:solidFill>
                                          </w14:textFill>
                                        </w:rPr>
                                        <w:t>木加工、砂光、打磨工序</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 name="矩形 14"/>
                                <wps:cNvSpPr/>
                                <wps:spPr>
                                  <a:xfrm>
                                    <a:off x="4693" y="208"/>
                                    <a:ext cx="2955" cy="1455"/>
                                  </a:xfrm>
                                  <a:prstGeom prst="rect">
                                    <a:avLst/>
                                  </a:prstGeom>
                                  <a:noFill/>
                                  <a:ln w="952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78659836">
                                      <w:pPr>
                                        <w:jc w:val="center"/>
                                        <w:rPr>
                                          <w:rFonts w:hint="default" w:eastAsia="宋体"/>
                                          <w:color w:val="0D0D0D" w:themeColor="text1" w:themeTint="F2"/>
                                          <w:sz w:val="24"/>
                                          <w:szCs w:val="32"/>
                                          <w:lang w:val="en-US" w:eastAsia="zh-CN"/>
                                          <w14:textFill>
                                            <w14:solidFill>
                                              <w14:schemeClr w14:val="tx1">
                                                <w14:lumMod w14:val="95000"/>
                                                <w14:lumOff w14:val="5000"/>
                                              </w14:schemeClr>
                                            </w14:solidFill>
                                          </w14:textFill>
                                        </w:rPr>
                                      </w:pPr>
                                      <w:r>
                                        <w:rPr>
                                          <w:rFonts w:hint="eastAsia"/>
                                          <w:color w:val="0D0D0D" w:themeColor="text1" w:themeTint="F2"/>
                                          <w:sz w:val="24"/>
                                          <w:szCs w:val="32"/>
                                          <w:lang w:val="en-US" w:eastAsia="zh-CN"/>
                                          <w14:textFill>
                                            <w14:solidFill>
                                              <w14:schemeClr w14:val="tx1">
                                                <w14:lumMod w14:val="95000"/>
                                                <w14:lumOff w14:val="5000"/>
                                              </w14:schemeClr>
                                            </w14:solidFill>
                                          </w14:textFill>
                                        </w:rPr>
                                        <w:t>颗粒物</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0" name="矩形 140"/>
                                <wps:cNvSpPr/>
                                <wps:spPr>
                                  <a:xfrm>
                                    <a:off x="9208" y="223"/>
                                    <a:ext cx="3929" cy="1455"/>
                                  </a:xfrm>
                                  <a:prstGeom prst="rect">
                                    <a:avLst/>
                                  </a:prstGeom>
                                  <a:noFill/>
                                  <a:ln w="9525">
                                    <a:noFill/>
                                  </a:ln>
                                </wps:spPr>
                                <wps:style>
                                  <a:lnRef idx="2">
                                    <a:schemeClr val="accent1">
                                      <a:lumMod val="75000"/>
                                    </a:schemeClr>
                                  </a:lnRef>
                                  <a:fillRef idx="1">
                                    <a:schemeClr val="accent1"/>
                                  </a:fillRef>
                                  <a:effectRef idx="0">
                                    <a:srgbClr val="FFFFFF"/>
                                  </a:effectRef>
                                  <a:fontRef idx="minor">
                                    <a:schemeClr val="lt1"/>
                                  </a:fontRef>
                                </wps:style>
                                <wps:txbx>
                                  <w:txbxContent>
                                    <w:p w14:paraId="3F2B9CB0">
                                      <w:pPr>
                                        <w:jc w:val="center"/>
                                        <w:rPr>
                                          <w:rFonts w:hint="default" w:eastAsia="宋体"/>
                                          <w:color w:val="0D0D0D" w:themeColor="text1" w:themeTint="F2"/>
                                          <w:sz w:val="24"/>
                                          <w:szCs w:val="32"/>
                                          <w:lang w:val="en-US" w:eastAsia="zh-CN"/>
                                          <w14:textFill>
                                            <w14:solidFill>
                                              <w14:schemeClr w14:val="tx1">
                                                <w14:lumMod w14:val="95000"/>
                                                <w14:lumOff w14:val="5000"/>
                                              </w14:schemeClr>
                                            </w14:solidFill>
                                          </w14:textFill>
                                        </w:rPr>
                                      </w:pPr>
                                      <w:r>
                                        <w:rPr>
                                          <w:rFonts w:hint="eastAsia"/>
                                          <w:color w:val="0D0D0D" w:themeColor="text1" w:themeTint="F2"/>
                                          <w:sz w:val="24"/>
                                          <w:szCs w:val="32"/>
                                          <w:lang w:val="en-US" w:eastAsia="zh-CN"/>
                                          <w14:textFill>
                                            <w14:solidFill>
                                              <w14:schemeClr w14:val="tx1">
                                                <w14:lumMod w14:val="95000"/>
                                                <w14:lumOff w14:val="5000"/>
                                              </w14:schemeClr>
                                            </w14:solidFill>
                                          </w14:textFill>
                                        </w:rPr>
                                        <w:t>集气管道+中央除尘器+15m排气筒</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1" name="矩形 141"/>
                                <wps:cNvSpPr/>
                                <wps:spPr>
                                  <a:xfrm>
                                    <a:off x="3072" y="327"/>
                                    <a:ext cx="1725" cy="631"/>
                                  </a:xfrm>
                                  <a:prstGeom prst="rect">
                                    <a:avLst/>
                                  </a:prstGeom>
                                  <a:noFill/>
                                  <a:ln w="9525">
                                    <a:noFill/>
                                  </a:ln>
                                </wps:spPr>
                                <wps:style>
                                  <a:lnRef idx="2">
                                    <a:schemeClr val="accent1">
                                      <a:lumMod val="75000"/>
                                    </a:schemeClr>
                                  </a:lnRef>
                                  <a:fillRef idx="1">
                                    <a:schemeClr val="accent1"/>
                                  </a:fillRef>
                                  <a:effectRef idx="0">
                                    <a:srgbClr val="FFFFFF"/>
                                  </a:effectRef>
                                  <a:fontRef idx="minor">
                                    <a:schemeClr val="lt1"/>
                                  </a:fontRef>
                                </wps:style>
                                <wps:txbx>
                                  <w:txbxContent>
                                    <w:p w14:paraId="446930AA">
                                      <w:pPr>
                                        <w:jc w:val="center"/>
                                        <w:rPr>
                                          <w:rFonts w:hint="default" w:eastAsia="宋体"/>
                                          <w:color w:val="0D0D0D" w:themeColor="text1" w:themeTint="F2"/>
                                          <w:sz w:val="21"/>
                                          <w:szCs w:val="24"/>
                                          <w:lang w:val="en-US" w:eastAsia="zh-CN"/>
                                          <w14:textFill>
                                            <w14:solidFill>
                                              <w14:schemeClr w14:val="tx1">
                                                <w14:lumMod w14:val="95000"/>
                                                <w14:lumOff w14:val="5000"/>
                                              </w14:schemeClr>
                                            </w14:solidFill>
                                          </w14:textFill>
                                        </w:rPr>
                                      </w:pPr>
                                      <w:r>
                                        <w:rPr>
                                          <w:rFonts w:hint="eastAsia"/>
                                          <w:color w:val="0D0D0D" w:themeColor="text1" w:themeTint="F2"/>
                                          <w:sz w:val="21"/>
                                          <w:szCs w:val="24"/>
                                          <w:lang w:val="en-US" w:eastAsia="zh-CN"/>
                                          <w14:textFill>
                                            <w14:solidFill>
                                              <w14:schemeClr w14:val="tx1">
                                                <w14:lumMod w14:val="95000"/>
                                                <w14:lumOff w14:val="5000"/>
                                              </w14:schemeClr>
                                            </w14:solidFill>
                                          </w14:textFill>
                                        </w:rPr>
                                        <w:t>产出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2" name="矩形 142"/>
                                <wps:cNvSpPr/>
                                <wps:spPr>
                                  <a:xfrm>
                                    <a:off x="7183" y="120"/>
                                    <a:ext cx="2789" cy="914"/>
                                  </a:xfrm>
                                  <a:prstGeom prst="rect">
                                    <a:avLst/>
                                  </a:prstGeom>
                                  <a:noFill/>
                                  <a:ln w="9525">
                                    <a:noFill/>
                                  </a:ln>
                                </wps:spPr>
                                <wps:style>
                                  <a:lnRef idx="2">
                                    <a:schemeClr val="accent1">
                                      <a:lumMod val="75000"/>
                                    </a:schemeClr>
                                  </a:lnRef>
                                  <a:fillRef idx="1">
                                    <a:schemeClr val="accent1"/>
                                  </a:fillRef>
                                  <a:effectRef idx="0">
                                    <a:srgbClr val="FFFFFF"/>
                                  </a:effectRef>
                                  <a:fontRef idx="minor">
                                    <a:schemeClr val="lt1"/>
                                  </a:fontRef>
                                </wps:style>
                                <wps:txbx>
                                  <w:txbxContent>
                                    <w:p w14:paraId="6BFCB873">
                                      <w:pPr>
                                        <w:jc w:val="center"/>
                                        <w:rPr>
                                          <w:rFonts w:hint="eastAsia"/>
                                          <w:color w:val="0D0D0D" w:themeColor="text1" w:themeTint="F2"/>
                                          <w:sz w:val="21"/>
                                          <w:szCs w:val="24"/>
                                          <w:lang w:val="en-US" w:eastAsia="zh-CN"/>
                                          <w14:textFill>
                                            <w14:solidFill>
                                              <w14:schemeClr w14:val="tx1">
                                                <w14:lumMod w14:val="95000"/>
                                                <w14:lumOff w14:val="5000"/>
                                              </w14:schemeClr>
                                            </w14:solidFill>
                                          </w14:textFill>
                                        </w:rPr>
                                      </w:pPr>
                                      <w:r>
                                        <w:rPr>
                                          <w:rFonts w:hint="eastAsia"/>
                                          <w:color w:val="0D0D0D" w:themeColor="text1" w:themeTint="F2"/>
                                          <w:sz w:val="21"/>
                                          <w:szCs w:val="24"/>
                                          <w:lang w:val="en-US" w:eastAsia="zh-CN"/>
                                          <w14:textFill>
                                            <w14:solidFill>
                                              <w14:schemeClr w14:val="tx1">
                                                <w14:lumMod w14:val="95000"/>
                                                <w14:lumOff w14:val="5000"/>
                                              </w14:schemeClr>
                                            </w14:solidFill>
                                          </w14:textFill>
                                        </w:rPr>
                                        <w:t>收集效率90%</w:t>
                                      </w:r>
                                    </w:p>
                                    <w:p w14:paraId="442B1976">
                                      <w:pPr>
                                        <w:jc w:val="center"/>
                                        <w:rPr>
                                          <w:rFonts w:hint="default"/>
                                          <w:color w:val="0D0D0D" w:themeColor="text1" w:themeTint="F2"/>
                                          <w:sz w:val="21"/>
                                          <w:szCs w:val="24"/>
                                          <w:lang w:val="en-US" w:eastAsia="zh-CN"/>
                                          <w14:textFill>
                                            <w14:solidFill>
                                              <w14:schemeClr w14:val="tx1">
                                                <w14:lumMod w14:val="95000"/>
                                                <w14:lumOff w14:val="5000"/>
                                              </w14:schemeClr>
                                            </w14:solidFill>
                                          </w14:textFill>
                                        </w:rPr>
                                      </w:pPr>
                                      <w:r>
                                        <w:rPr>
                                          <w:rFonts w:hint="eastAsia"/>
                                          <w:color w:val="0D0D0D" w:themeColor="text1" w:themeTint="F2"/>
                                          <w:sz w:val="21"/>
                                          <w:szCs w:val="24"/>
                                          <w:lang w:val="en-US" w:eastAsia="zh-CN"/>
                                          <w14:textFill>
                                            <w14:solidFill>
                                              <w14:schemeClr w14:val="tx1">
                                                <w14:lumMod w14:val="95000"/>
                                                <w14:lumOff w14:val="5000"/>
                                              </w14:schemeClr>
                                            </w14:solidFill>
                                          </w14:textFill>
                                        </w:rPr>
                                        <w:t>去除效率99%</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wpg:wgp>
                              <wpg:cNvPr id="144" name="组合 144"/>
                              <wpg:cNvGrpSpPr/>
                              <wpg:grpSpPr>
                                <a:xfrm>
                                  <a:off x="92075" y="1343025"/>
                                  <a:ext cx="8241030" cy="988695"/>
                                  <a:chOff x="158" y="120"/>
                                  <a:chExt cx="12978" cy="1557"/>
                                </a:xfrm>
                              </wpg:grpSpPr>
                              <wps:wsp>
                                <wps:cNvPr id="145" name="矩形 12"/>
                                <wps:cNvSpPr/>
                                <wps:spPr>
                                  <a:xfrm>
                                    <a:off x="158" y="223"/>
                                    <a:ext cx="2955" cy="1455"/>
                                  </a:xfrm>
                                  <a:prstGeom prst="rect">
                                    <a:avLst/>
                                  </a:prstGeom>
                                  <a:noFill/>
                                  <a:ln w="952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7B669F97">
                                      <w:pPr>
                                        <w:jc w:val="center"/>
                                        <w:rPr>
                                          <w:rFonts w:hint="default" w:eastAsia="宋体"/>
                                          <w:color w:val="0D0D0D" w:themeColor="text1" w:themeTint="F2"/>
                                          <w:sz w:val="24"/>
                                          <w:szCs w:val="32"/>
                                          <w:lang w:val="en-US" w:eastAsia="zh-CN"/>
                                          <w14:textFill>
                                            <w14:solidFill>
                                              <w14:schemeClr w14:val="tx1">
                                                <w14:lumMod w14:val="95000"/>
                                                <w14:lumOff w14:val="5000"/>
                                              </w14:schemeClr>
                                            </w14:solidFill>
                                          </w14:textFill>
                                        </w:rPr>
                                      </w:pPr>
                                      <w:r>
                                        <w:rPr>
                                          <w:rFonts w:hint="eastAsia"/>
                                          <w:color w:val="0D0D0D" w:themeColor="text1" w:themeTint="F2"/>
                                          <w:sz w:val="24"/>
                                          <w:szCs w:val="32"/>
                                          <w:lang w:val="en-US" w:eastAsia="zh-CN"/>
                                          <w14:textFill>
                                            <w14:solidFill>
                                              <w14:schemeClr w14:val="tx1">
                                                <w14:lumMod w14:val="95000"/>
                                                <w14:lumOff w14:val="5000"/>
                                              </w14:schemeClr>
                                            </w14:solidFill>
                                          </w14:textFill>
                                        </w:rPr>
                                        <w:t>油磨工序</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6" name="矩形 14"/>
                                <wps:cNvSpPr/>
                                <wps:spPr>
                                  <a:xfrm>
                                    <a:off x="4693" y="208"/>
                                    <a:ext cx="2955" cy="1455"/>
                                  </a:xfrm>
                                  <a:prstGeom prst="rect">
                                    <a:avLst/>
                                  </a:prstGeom>
                                  <a:noFill/>
                                  <a:ln w="952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6F166899">
                                      <w:pPr>
                                        <w:jc w:val="center"/>
                                        <w:rPr>
                                          <w:rFonts w:hint="default" w:eastAsia="宋体"/>
                                          <w:color w:val="0D0D0D" w:themeColor="text1" w:themeTint="F2"/>
                                          <w:sz w:val="24"/>
                                          <w:szCs w:val="32"/>
                                          <w:lang w:val="en-US" w:eastAsia="zh-CN"/>
                                          <w14:textFill>
                                            <w14:solidFill>
                                              <w14:schemeClr w14:val="tx1">
                                                <w14:lumMod w14:val="95000"/>
                                                <w14:lumOff w14:val="5000"/>
                                              </w14:schemeClr>
                                            </w14:solidFill>
                                          </w14:textFill>
                                        </w:rPr>
                                      </w:pPr>
                                      <w:r>
                                        <w:rPr>
                                          <w:rFonts w:hint="eastAsia"/>
                                          <w:color w:val="0D0D0D" w:themeColor="text1" w:themeTint="F2"/>
                                          <w:sz w:val="24"/>
                                          <w:szCs w:val="32"/>
                                          <w:lang w:val="en-US" w:eastAsia="zh-CN"/>
                                          <w14:textFill>
                                            <w14:solidFill>
                                              <w14:schemeClr w14:val="tx1">
                                                <w14:lumMod w14:val="95000"/>
                                                <w14:lumOff w14:val="5000"/>
                                              </w14:schemeClr>
                                            </w14:solidFill>
                                          </w14:textFill>
                                        </w:rPr>
                                        <w:t>颗粒物（油磨粉尘）</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7" name="矩形 140"/>
                                <wps:cNvSpPr/>
                                <wps:spPr>
                                  <a:xfrm>
                                    <a:off x="9208" y="223"/>
                                    <a:ext cx="3929" cy="1455"/>
                                  </a:xfrm>
                                  <a:prstGeom prst="rect">
                                    <a:avLst/>
                                  </a:prstGeom>
                                  <a:noFill/>
                                  <a:ln w="9525">
                                    <a:noFill/>
                                  </a:ln>
                                </wps:spPr>
                                <wps:style>
                                  <a:lnRef idx="2">
                                    <a:schemeClr val="accent1">
                                      <a:lumMod val="75000"/>
                                    </a:schemeClr>
                                  </a:lnRef>
                                  <a:fillRef idx="1">
                                    <a:schemeClr val="accent1"/>
                                  </a:fillRef>
                                  <a:effectRef idx="0">
                                    <a:srgbClr val="FFFFFF"/>
                                  </a:effectRef>
                                  <a:fontRef idx="minor">
                                    <a:schemeClr val="lt1"/>
                                  </a:fontRef>
                                </wps:style>
                                <wps:txbx>
                                  <w:txbxContent>
                                    <w:p w14:paraId="1AAE9E50">
                                      <w:pPr>
                                        <w:jc w:val="center"/>
                                        <w:rPr>
                                          <w:rFonts w:hint="default" w:eastAsia="宋体"/>
                                          <w:color w:val="0D0D0D" w:themeColor="text1" w:themeTint="F2"/>
                                          <w:sz w:val="24"/>
                                          <w:szCs w:val="32"/>
                                          <w:lang w:val="en-US" w:eastAsia="zh-CN"/>
                                          <w14:textFill>
                                            <w14:solidFill>
                                              <w14:schemeClr w14:val="tx1">
                                                <w14:lumMod w14:val="95000"/>
                                                <w14:lumOff w14:val="5000"/>
                                              </w14:schemeClr>
                                            </w14:solidFill>
                                          </w14:textFill>
                                        </w:rPr>
                                      </w:pPr>
                                      <w:r>
                                        <w:rPr>
                                          <w:rFonts w:hint="eastAsia"/>
                                          <w:color w:val="0D0D0D" w:themeColor="text1" w:themeTint="F2"/>
                                          <w:sz w:val="24"/>
                                          <w:szCs w:val="32"/>
                                          <w:lang w:val="en-US" w:eastAsia="zh-CN"/>
                                          <w14:textFill>
                                            <w14:solidFill>
                                              <w14:schemeClr w14:val="tx1">
                                                <w14:lumMod w14:val="95000"/>
                                                <w14:lumOff w14:val="5000"/>
                                              </w14:schemeClr>
                                            </w14:solidFill>
                                          </w14:textFill>
                                        </w:rPr>
                                        <w:t>干式打磨柜处理后无组织排放</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8" name="矩形 141"/>
                                <wps:cNvSpPr/>
                                <wps:spPr>
                                  <a:xfrm>
                                    <a:off x="3072" y="327"/>
                                    <a:ext cx="1725" cy="631"/>
                                  </a:xfrm>
                                  <a:prstGeom prst="rect">
                                    <a:avLst/>
                                  </a:prstGeom>
                                  <a:noFill/>
                                  <a:ln w="9525">
                                    <a:noFill/>
                                  </a:ln>
                                </wps:spPr>
                                <wps:style>
                                  <a:lnRef idx="2">
                                    <a:schemeClr val="accent1">
                                      <a:lumMod val="75000"/>
                                    </a:schemeClr>
                                  </a:lnRef>
                                  <a:fillRef idx="1">
                                    <a:schemeClr val="accent1"/>
                                  </a:fillRef>
                                  <a:effectRef idx="0">
                                    <a:srgbClr val="FFFFFF"/>
                                  </a:effectRef>
                                  <a:fontRef idx="minor">
                                    <a:schemeClr val="lt1"/>
                                  </a:fontRef>
                                </wps:style>
                                <wps:txbx>
                                  <w:txbxContent>
                                    <w:p w14:paraId="61391773">
                                      <w:pPr>
                                        <w:jc w:val="center"/>
                                        <w:rPr>
                                          <w:rFonts w:hint="default" w:eastAsia="宋体"/>
                                          <w:color w:val="0D0D0D" w:themeColor="text1" w:themeTint="F2"/>
                                          <w:sz w:val="21"/>
                                          <w:szCs w:val="24"/>
                                          <w:lang w:val="en-US" w:eastAsia="zh-CN"/>
                                          <w14:textFill>
                                            <w14:solidFill>
                                              <w14:schemeClr w14:val="tx1">
                                                <w14:lumMod w14:val="95000"/>
                                                <w14:lumOff w14:val="5000"/>
                                              </w14:schemeClr>
                                            </w14:solidFill>
                                          </w14:textFill>
                                        </w:rPr>
                                      </w:pPr>
                                      <w:r>
                                        <w:rPr>
                                          <w:rFonts w:hint="eastAsia"/>
                                          <w:color w:val="0D0D0D" w:themeColor="text1" w:themeTint="F2"/>
                                          <w:sz w:val="21"/>
                                          <w:szCs w:val="24"/>
                                          <w:lang w:val="en-US" w:eastAsia="zh-CN"/>
                                          <w14:textFill>
                                            <w14:solidFill>
                                              <w14:schemeClr w14:val="tx1">
                                                <w14:lumMod w14:val="95000"/>
                                                <w14:lumOff w14:val="5000"/>
                                              </w14:schemeClr>
                                            </w14:solidFill>
                                          </w14:textFill>
                                        </w:rPr>
                                        <w:t>产出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9" name="矩形 142"/>
                                <wps:cNvSpPr/>
                                <wps:spPr>
                                  <a:xfrm>
                                    <a:off x="7183" y="120"/>
                                    <a:ext cx="2789" cy="914"/>
                                  </a:xfrm>
                                  <a:prstGeom prst="rect">
                                    <a:avLst/>
                                  </a:prstGeom>
                                  <a:noFill/>
                                  <a:ln w="9525">
                                    <a:noFill/>
                                  </a:ln>
                                </wps:spPr>
                                <wps:style>
                                  <a:lnRef idx="2">
                                    <a:schemeClr val="accent1">
                                      <a:lumMod val="75000"/>
                                    </a:schemeClr>
                                  </a:lnRef>
                                  <a:fillRef idx="1">
                                    <a:schemeClr val="accent1"/>
                                  </a:fillRef>
                                  <a:effectRef idx="0">
                                    <a:srgbClr val="FFFFFF"/>
                                  </a:effectRef>
                                  <a:fontRef idx="minor">
                                    <a:schemeClr val="lt1"/>
                                  </a:fontRef>
                                </wps:style>
                                <wps:txbx>
                                  <w:txbxContent>
                                    <w:p w14:paraId="69511004">
                                      <w:pPr>
                                        <w:jc w:val="center"/>
                                        <w:rPr>
                                          <w:rFonts w:hint="eastAsia"/>
                                          <w:color w:val="0D0D0D" w:themeColor="text1" w:themeTint="F2"/>
                                          <w:sz w:val="21"/>
                                          <w:szCs w:val="24"/>
                                          <w:lang w:val="en-US" w:eastAsia="zh-CN"/>
                                          <w14:textFill>
                                            <w14:solidFill>
                                              <w14:schemeClr w14:val="tx1">
                                                <w14:lumMod w14:val="95000"/>
                                                <w14:lumOff w14:val="5000"/>
                                              </w14:schemeClr>
                                            </w14:solidFill>
                                          </w14:textFill>
                                        </w:rPr>
                                      </w:pPr>
                                      <w:r>
                                        <w:rPr>
                                          <w:rFonts w:hint="eastAsia"/>
                                          <w:color w:val="0D0D0D" w:themeColor="text1" w:themeTint="F2"/>
                                          <w:sz w:val="21"/>
                                          <w:szCs w:val="24"/>
                                          <w:lang w:val="en-US" w:eastAsia="zh-CN"/>
                                          <w14:textFill>
                                            <w14:solidFill>
                                              <w14:schemeClr w14:val="tx1">
                                                <w14:lumMod w14:val="95000"/>
                                                <w14:lumOff w14:val="5000"/>
                                              </w14:schemeClr>
                                            </w14:solidFill>
                                          </w14:textFill>
                                        </w:rPr>
                                        <w:t>收集效率100%</w:t>
                                      </w:r>
                                    </w:p>
                                    <w:p w14:paraId="3537E7BC">
                                      <w:pPr>
                                        <w:jc w:val="center"/>
                                        <w:rPr>
                                          <w:rFonts w:hint="default"/>
                                          <w:color w:val="0D0D0D" w:themeColor="text1" w:themeTint="F2"/>
                                          <w:sz w:val="21"/>
                                          <w:szCs w:val="24"/>
                                          <w:lang w:val="en-US" w:eastAsia="zh-CN"/>
                                          <w14:textFill>
                                            <w14:solidFill>
                                              <w14:schemeClr w14:val="tx1">
                                                <w14:lumMod w14:val="95000"/>
                                                <w14:lumOff w14:val="5000"/>
                                              </w14:schemeClr>
                                            </w14:solidFill>
                                          </w14:textFill>
                                        </w:rPr>
                                      </w:pPr>
                                      <w:r>
                                        <w:rPr>
                                          <w:rFonts w:hint="eastAsia"/>
                                          <w:color w:val="0D0D0D" w:themeColor="text1" w:themeTint="F2"/>
                                          <w:sz w:val="21"/>
                                          <w:szCs w:val="24"/>
                                          <w:lang w:val="en-US" w:eastAsia="zh-CN"/>
                                          <w14:textFill>
                                            <w14:solidFill>
                                              <w14:schemeClr w14:val="tx1">
                                                <w14:lumMod w14:val="95000"/>
                                                <w14:lumOff w14:val="5000"/>
                                              </w14:schemeClr>
                                            </w14:solidFill>
                                          </w14:textFill>
                                        </w:rPr>
                                        <w:t>去除效率99%</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wps:wsp>
                              <wps:cNvPr id="150" name="直接箭头连接符 150"/>
                              <wps:cNvCnPr/>
                              <wps:spPr>
                                <a:xfrm>
                                  <a:off x="1966595" y="1894205"/>
                                  <a:ext cx="1019175" cy="0"/>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51" name="直接箭头连接符 151"/>
                              <wps:cNvCnPr/>
                              <wps:spPr>
                                <a:xfrm>
                                  <a:off x="4866005" y="1875155"/>
                                  <a:ext cx="1019175" cy="0"/>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g:wgp>
                              <wpg:cNvPr id="152" name="组合 152"/>
                              <wpg:cNvGrpSpPr/>
                              <wpg:grpSpPr>
                                <a:xfrm>
                                  <a:off x="104140" y="2190750"/>
                                  <a:ext cx="8295640" cy="1770380"/>
                                  <a:chOff x="158" y="-900"/>
                                  <a:chExt cx="13064" cy="2788"/>
                                </a:xfrm>
                              </wpg:grpSpPr>
                              <wps:wsp>
                                <wps:cNvPr id="153" name="矩形 12"/>
                                <wps:cNvSpPr/>
                                <wps:spPr>
                                  <a:xfrm>
                                    <a:off x="158" y="223"/>
                                    <a:ext cx="2955" cy="1455"/>
                                  </a:xfrm>
                                  <a:prstGeom prst="rect">
                                    <a:avLst/>
                                  </a:prstGeom>
                                  <a:noFill/>
                                  <a:ln w="952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5FD6CA77">
                                      <w:pPr>
                                        <w:jc w:val="center"/>
                                        <w:rPr>
                                          <w:rFonts w:hint="default" w:eastAsia="宋体"/>
                                          <w:color w:val="0D0D0D" w:themeColor="text1" w:themeTint="F2"/>
                                          <w:sz w:val="24"/>
                                          <w:szCs w:val="32"/>
                                          <w:lang w:val="en-US" w:eastAsia="zh-CN"/>
                                          <w14:textFill>
                                            <w14:solidFill>
                                              <w14:schemeClr w14:val="tx1">
                                                <w14:lumMod w14:val="95000"/>
                                                <w14:lumOff w14:val="5000"/>
                                              </w14:schemeClr>
                                            </w14:solidFill>
                                          </w14:textFill>
                                        </w:rPr>
                                      </w:pPr>
                                      <w:r>
                                        <w:rPr>
                                          <w:rFonts w:hint="eastAsia"/>
                                          <w:color w:val="0D0D0D" w:themeColor="text1" w:themeTint="F2"/>
                                          <w:sz w:val="24"/>
                                          <w:szCs w:val="32"/>
                                          <w:lang w:val="en-US" w:eastAsia="zh-CN"/>
                                          <w14:textFill>
                                            <w14:solidFill>
                                              <w14:schemeClr w14:val="tx1">
                                                <w14:lumMod w14:val="95000"/>
                                                <w14:lumOff w14:val="5000"/>
                                              </w14:schemeClr>
                                            </w14:solidFill>
                                          </w14:textFill>
                                        </w:rPr>
                                        <w:t>拼板冷压、贴皮热压、封边、调漆、喷漆、晾干、修色工序以及危废暂存间废气</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4" name="矩形 14"/>
                                <wps:cNvSpPr/>
                                <wps:spPr>
                                  <a:xfrm>
                                    <a:off x="4693" y="208"/>
                                    <a:ext cx="2955" cy="1455"/>
                                  </a:xfrm>
                                  <a:prstGeom prst="rect">
                                    <a:avLst/>
                                  </a:prstGeom>
                                  <a:noFill/>
                                  <a:ln w="952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38514129">
                                      <w:pPr>
                                        <w:jc w:val="center"/>
                                        <w:rPr>
                                          <w:rFonts w:hint="default" w:eastAsia="宋体"/>
                                          <w:color w:val="0D0D0D" w:themeColor="text1" w:themeTint="F2"/>
                                          <w:sz w:val="24"/>
                                          <w:szCs w:val="32"/>
                                          <w:lang w:val="en-US" w:eastAsia="zh-CN"/>
                                          <w14:textFill>
                                            <w14:solidFill>
                                              <w14:schemeClr w14:val="tx1">
                                                <w14:lumMod w14:val="95000"/>
                                                <w14:lumOff w14:val="5000"/>
                                              </w14:schemeClr>
                                            </w14:solidFill>
                                          </w14:textFill>
                                        </w:rPr>
                                      </w:pPr>
                                      <w:r>
                                        <w:rPr>
                                          <w:rFonts w:hint="eastAsia"/>
                                          <w:color w:val="0D0D0D" w:themeColor="text1" w:themeTint="F2"/>
                                          <w:sz w:val="24"/>
                                          <w:szCs w:val="32"/>
                                          <w:lang w:val="en-US" w:eastAsia="zh-CN"/>
                                          <w14:textFill>
                                            <w14:solidFill>
                                              <w14:schemeClr w14:val="tx1">
                                                <w14:lumMod w14:val="95000"/>
                                                <w14:lumOff w14:val="5000"/>
                                              </w14:schemeClr>
                                            </w14:solidFill>
                                          </w14:textFill>
                                        </w:rPr>
                                        <w:t>颗粒物、非甲烷总烃</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5" name="矩形 140"/>
                                <wps:cNvSpPr/>
                                <wps:spPr>
                                  <a:xfrm>
                                    <a:off x="9293" y="433"/>
                                    <a:ext cx="3929" cy="1455"/>
                                  </a:xfrm>
                                  <a:prstGeom prst="rect">
                                    <a:avLst/>
                                  </a:prstGeom>
                                  <a:noFill/>
                                  <a:ln w="9525">
                                    <a:noFill/>
                                  </a:ln>
                                </wps:spPr>
                                <wps:style>
                                  <a:lnRef idx="2">
                                    <a:schemeClr val="accent1">
                                      <a:lumMod val="75000"/>
                                    </a:schemeClr>
                                  </a:lnRef>
                                  <a:fillRef idx="1">
                                    <a:schemeClr val="accent1"/>
                                  </a:fillRef>
                                  <a:effectRef idx="0">
                                    <a:srgbClr val="FFFFFF"/>
                                  </a:effectRef>
                                  <a:fontRef idx="minor">
                                    <a:schemeClr val="lt1"/>
                                  </a:fontRef>
                                </wps:style>
                                <wps:txbx>
                                  <w:txbxContent>
                                    <w:p w14:paraId="08E14B5C">
                                      <w:pPr>
                                        <w:jc w:val="center"/>
                                        <w:rPr>
                                          <w:rFonts w:hint="default" w:eastAsia="宋体"/>
                                          <w:color w:val="0D0D0D" w:themeColor="text1" w:themeTint="F2"/>
                                          <w:sz w:val="24"/>
                                          <w:szCs w:val="32"/>
                                          <w:lang w:val="en-US" w:eastAsia="zh-CN"/>
                                          <w14:textFill>
                                            <w14:solidFill>
                                              <w14:schemeClr w14:val="tx1">
                                                <w14:lumMod w14:val="95000"/>
                                                <w14:lumOff w14:val="5000"/>
                                              </w14:schemeClr>
                                            </w14:solidFill>
                                          </w14:textFill>
                                        </w:rPr>
                                      </w:pPr>
                                      <w:r>
                                        <w:rPr>
                                          <w:rFonts w:hint="eastAsia"/>
                                          <w:color w:val="0D0D0D" w:themeColor="text1" w:themeTint="F2"/>
                                          <w:sz w:val="24"/>
                                          <w:szCs w:val="32"/>
                                          <w:lang w:val="en-US" w:eastAsia="zh-CN"/>
                                          <w14:textFill>
                                            <w14:solidFill>
                                              <w14:schemeClr w14:val="tx1">
                                                <w14:lumMod w14:val="95000"/>
                                                <w14:lumOff w14:val="5000"/>
                                              </w14:schemeClr>
                                            </w14:solidFill>
                                          </w14:textFill>
                                        </w:rPr>
                                        <w:t>密闭喷漆房（过滤棉）、冷压和热压工序二次密闭+“活性炭吸附、脱附+催化燃烧”+15m排气筒</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6" name="矩形 141"/>
                                <wps:cNvSpPr/>
                                <wps:spPr>
                                  <a:xfrm>
                                    <a:off x="3072" y="327"/>
                                    <a:ext cx="1725" cy="631"/>
                                  </a:xfrm>
                                  <a:prstGeom prst="rect">
                                    <a:avLst/>
                                  </a:prstGeom>
                                  <a:noFill/>
                                  <a:ln w="9525">
                                    <a:noFill/>
                                  </a:ln>
                                </wps:spPr>
                                <wps:style>
                                  <a:lnRef idx="2">
                                    <a:schemeClr val="accent1">
                                      <a:lumMod val="75000"/>
                                    </a:schemeClr>
                                  </a:lnRef>
                                  <a:fillRef idx="1">
                                    <a:schemeClr val="accent1"/>
                                  </a:fillRef>
                                  <a:effectRef idx="0">
                                    <a:srgbClr val="FFFFFF"/>
                                  </a:effectRef>
                                  <a:fontRef idx="minor">
                                    <a:schemeClr val="lt1"/>
                                  </a:fontRef>
                                </wps:style>
                                <wps:txbx>
                                  <w:txbxContent>
                                    <w:p w14:paraId="40C9A6DB">
                                      <w:pPr>
                                        <w:jc w:val="center"/>
                                        <w:rPr>
                                          <w:rFonts w:hint="default" w:eastAsia="宋体"/>
                                          <w:color w:val="0D0D0D" w:themeColor="text1" w:themeTint="F2"/>
                                          <w:sz w:val="21"/>
                                          <w:szCs w:val="24"/>
                                          <w:lang w:val="en-US" w:eastAsia="zh-CN"/>
                                          <w14:textFill>
                                            <w14:solidFill>
                                              <w14:schemeClr w14:val="tx1">
                                                <w14:lumMod w14:val="95000"/>
                                                <w14:lumOff w14:val="5000"/>
                                              </w14:schemeClr>
                                            </w14:solidFill>
                                          </w14:textFill>
                                        </w:rPr>
                                      </w:pPr>
                                      <w:r>
                                        <w:rPr>
                                          <w:rFonts w:hint="eastAsia"/>
                                          <w:color w:val="0D0D0D" w:themeColor="text1" w:themeTint="F2"/>
                                          <w:sz w:val="21"/>
                                          <w:szCs w:val="24"/>
                                          <w:lang w:val="en-US" w:eastAsia="zh-CN"/>
                                          <w14:textFill>
                                            <w14:solidFill>
                                              <w14:schemeClr w14:val="tx1">
                                                <w14:lumMod w14:val="95000"/>
                                                <w14:lumOff w14:val="5000"/>
                                              </w14:schemeClr>
                                            </w14:solidFill>
                                          </w14:textFill>
                                        </w:rPr>
                                        <w:t>产出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7" name="矩形 142"/>
                                <wps:cNvSpPr/>
                                <wps:spPr>
                                  <a:xfrm>
                                    <a:off x="7513" y="-900"/>
                                    <a:ext cx="2789" cy="2042"/>
                                  </a:xfrm>
                                  <a:prstGeom prst="rect">
                                    <a:avLst/>
                                  </a:prstGeom>
                                  <a:noFill/>
                                  <a:ln w="9525">
                                    <a:noFill/>
                                  </a:ln>
                                </wps:spPr>
                                <wps:style>
                                  <a:lnRef idx="2">
                                    <a:schemeClr val="accent1">
                                      <a:lumMod val="75000"/>
                                    </a:schemeClr>
                                  </a:lnRef>
                                  <a:fillRef idx="1">
                                    <a:schemeClr val="accent1"/>
                                  </a:fillRef>
                                  <a:effectRef idx="0">
                                    <a:srgbClr val="FFFFFF"/>
                                  </a:effectRef>
                                  <a:fontRef idx="minor">
                                    <a:schemeClr val="lt1"/>
                                  </a:fontRef>
                                </wps:style>
                                <wps:txbx>
                                  <w:txbxContent>
                                    <w:p w14:paraId="094F7084">
                                      <w:pPr>
                                        <w:jc w:val="center"/>
                                        <w:rPr>
                                          <w:rFonts w:hint="default"/>
                                          <w:color w:val="0D0D0D" w:themeColor="text1" w:themeTint="F2"/>
                                          <w:sz w:val="21"/>
                                          <w:szCs w:val="24"/>
                                          <w:lang w:val="en-US" w:eastAsia="zh-CN"/>
                                          <w14:textFill>
                                            <w14:solidFill>
                                              <w14:schemeClr w14:val="tx1">
                                                <w14:lumMod w14:val="95000"/>
                                                <w14:lumOff w14:val="5000"/>
                                              </w14:schemeClr>
                                            </w14:solidFill>
                                          </w14:textFill>
                                        </w:rPr>
                                      </w:pPr>
                                      <w:r>
                                        <w:rPr>
                                          <w:rFonts w:hint="eastAsia"/>
                                          <w:color w:val="0D0D0D" w:themeColor="text1" w:themeTint="F2"/>
                                          <w:sz w:val="21"/>
                                          <w:szCs w:val="24"/>
                                          <w:lang w:val="en-US" w:eastAsia="zh-CN"/>
                                          <w14:textFill>
                                            <w14:solidFill>
                                              <w14:schemeClr w14:val="tx1">
                                                <w14:lumMod w14:val="95000"/>
                                                <w14:lumOff w14:val="5000"/>
                                              </w14:schemeClr>
                                            </w14:solidFill>
                                          </w14:textFill>
                                        </w:rPr>
                                        <w:t>收集效率95%，过滤棉对颗粒物的去除效率为90%，活性炭吸附去除效率90%，催化燃烧去除效率97%</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wps:wsp>
                              <wps:cNvPr id="158" name="直接箭头连接符 158"/>
                              <wps:cNvCnPr/>
                              <wps:spPr>
                                <a:xfrm>
                                  <a:off x="1989455" y="3342005"/>
                                  <a:ext cx="1019175" cy="0"/>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59" name="直接箭头连接符 159"/>
                              <wps:cNvCnPr/>
                              <wps:spPr>
                                <a:xfrm>
                                  <a:off x="4866005" y="3370580"/>
                                  <a:ext cx="1019175" cy="0"/>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c:wpc>
                        </a:graphicData>
                      </a:graphic>
                    </wp:inline>
                  </w:drawing>
                </mc:Choice>
                <mc:Fallback>
                  <w:pict>
                    <v:group id="_x0000_s1026" o:spid="_x0000_s1026" o:spt="203" style="height:317.55pt;width:662.15pt;" coordsize="8409305,4032885" editas="canvas" o:gfxdata="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">
                      <o:lock v:ext="edit" aspectratio="f"/>
                      <v:shape id="_x0000_s1026" o:spid="_x0000_s1026" style="position:absolute;left:0;top:0;height:4032885;width:8409305;" filled="f" stroked="f" coordsize="21600,21600" o:gfxdata="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">
                        <v:fill on="f" focussize="0,0"/>
                        <v:stroke on="f"/>
                        <v:imagedata o:title=""/>
                        <o:lock v:ext="edit" aspectratio="f"/>
                      </v:shape>
                      <v:shape id="_x0000_s1026" o:spid="_x0000_s1026" o:spt="32" type="#_x0000_t32" style="position:absolute;left:1976755;top:598805;flip:y;height:5080;width:1000125;" filled="f" stroked="t" coordsize="21600,21600" o:gfxdata="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9AEYIdcAAAAGAQAADwAAAAAAAAABACAAAAAiAAAAZHJzL2Rvd25yZXYueG1s&#10;UEsBAhQAFAAAAAgAh07iQNXhq5MyAgAANQQAAA4AAAAAAAAAAQAgAAAAJgEAAGRycy9lMm9Eb2Mu&#10;eG1sUEsFBgAAAAAGAAYAWQEAAMoFAAAAAA==&#10;">
                        <v:fill on="f" focussize="0,0"/>
                        <v:stroke color="#000000 [3213]" joinstyle="round" endarrow="block"/>
                        <v:imagedata o:title=""/>
                        <o:lock v:ext="edit" aspectratio="f"/>
                      </v:shape>
                      <v:shape id="_x0000_s1026" o:spid="_x0000_s1026" o:spt="32" type="#_x0000_t32" style="position:absolute;left:4875530;top:598805;flip:y;height:5080;width:1000125;" filled="f" stroked="t" coordsize="21600,21600" o:gfxdata="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QB&#10;GCHXAAAABgEAAA8AAAAAAAAAAQAgAAAAIgAAAGRycy9kb3ducmV2LnhtbFBLAQIUABQAAAAIAIdO&#10;4kDNPAzgJAIAAA4EAAAOAAAAAAAAAAEAIAAAACYBAABkcnMvZTJvRG9jLnhtbFBLBQYAAAAABgAG&#10;AFkBAAC8BQAAAAA=&#10;">
                        <v:fill on="f" focussize="0,0"/>
                        <v:stroke color="#000000 [3213]" joinstyle="round" endarrow="block"/>
                        <v:imagedata o:title=""/>
                        <o:lock v:ext="edit" aspectratio="f"/>
                      </v:shape>
                      <v:group id="_x0000_s1026" o:spid="_x0000_s1026" o:spt="203" style="position:absolute;left:100330;top:76200;height:988695;width:8241030;" coordorigin="158,120" coordsize="12978,1557" o:gfxdata="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">
                        <o:lock v:ext="edit" aspectratio="f"/>
                        <v:rect id="_x0000_s1026" o:spid="_x0000_s1026" o:spt="1" style="position:absolute;left:158;top:223;height:1455;width:2955;v-text-anchor:middle;" filled="f" stroked="t" coordsize="21600,21600" o:gfxdata="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OrybsAAADb&#10;AAAADwAAAAAAAAABACAAAAAiAAAAZHJzL2Rvd25yZXYueG1sUEsBAhQAFAAAAAgAh07iQDMvBZ47&#10;AAAAOQAAABAAAAAAAAAAAQAgAAAACgEAAGRycy9zaGFwZXhtbC54bWxQSwUGAAAAAAYABgBbAQAA&#10;tAMAAAAA&#10;">
                          <v:fill on="f" focussize="0,0"/>
                          <v:stroke color="#000000 [3213]" joinstyle="round"/>
                          <v:imagedata o:title=""/>
                          <o:lock v:ext="edit" aspectratio="f"/>
                          <v:textbox>
                            <w:txbxContent>
                              <w:p w14:paraId="1E513B45">
                                <w:pPr>
                                  <w:jc w:val="center"/>
                                  <w:rPr>
                                    <w:rFonts w:hint="default" w:eastAsia="宋体"/>
                                    <w:color w:val="0D0D0D" w:themeColor="text1" w:themeTint="F2"/>
                                    <w:sz w:val="24"/>
                                    <w:szCs w:val="32"/>
                                    <w:lang w:val="en-US" w:eastAsia="zh-CN"/>
                                    <w14:textFill>
                                      <w14:solidFill>
                                        <w14:schemeClr w14:val="tx1">
                                          <w14:lumMod w14:val="95000"/>
                                          <w14:lumOff w14:val="5000"/>
                                        </w14:schemeClr>
                                      </w14:solidFill>
                                    </w14:textFill>
                                  </w:rPr>
                                </w:pPr>
                                <w:r>
                                  <w:rPr>
                                    <w:rFonts w:hint="eastAsia"/>
                                    <w:color w:val="0D0D0D" w:themeColor="text1" w:themeTint="F2"/>
                                    <w:sz w:val="24"/>
                                    <w:szCs w:val="32"/>
                                    <w:lang w:val="en-US" w:eastAsia="zh-CN"/>
                                    <w14:textFill>
                                      <w14:solidFill>
                                        <w14:schemeClr w14:val="tx1">
                                          <w14:lumMod w14:val="95000"/>
                                          <w14:lumOff w14:val="5000"/>
                                        </w14:schemeClr>
                                      </w14:solidFill>
                                    </w14:textFill>
                                  </w:rPr>
                                  <w:t>木加工、砂光、打磨工序</w:t>
                                </w:r>
                              </w:p>
                            </w:txbxContent>
                          </v:textbox>
                        </v:rect>
                        <v:rect id="_x0000_s1026" o:spid="_x0000_s1026" o:spt="1" style="position:absolute;left:4693;top:208;height:1455;width:2955;v-text-anchor:middle;" filled="f" stroked="t" coordsize="21600,21600" o:gfxdata="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hpYmvQAA&#10;ANsAAAAPAAAAAAAAAAEAIAAAACIAAABkcnMvZG93bnJldi54bWxQSwECFAAUAAAACACHTuJAMy8F&#10;njsAAAA5AAAAEAAAAAAAAAABACAAAAAMAQAAZHJzL3NoYXBleG1sLnhtbFBLBQYAAAAABgAGAFsB&#10;AAC2AwAAAAA=&#10;">
                          <v:fill on="f" focussize="0,0"/>
                          <v:stroke color="#000000 [3213]" joinstyle="round"/>
                          <v:imagedata o:title=""/>
                          <o:lock v:ext="edit" aspectratio="f"/>
                          <v:textbox>
                            <w:txbxContent>
                              <w:p w14:paraId="78659836">
                                <w:pPr>
                                  <w:jc w:val="center"/>
                                  <w:rPr>
                                    <w:rFonts w:hint="default" w:eastAsia="宋体"/>
                                    <w:color w:val="0D0D0D" w:themeColor="text1" w:themeTint="F2"/>
                                    <w:sz w:val="24"/>
                                    <w:szCs w:val="32"/>
                                    <w:lang w:val="en-US" w:eastAsia="zh-CN"/>
                                    <w14:textFill>
                                      <w14:solidFill>
                                        <w14:schemeClr w14:val="tx1">
                                          <w14:lumMod w14:val="95000"/>
                                          <w14:lumOff w14:val="5000"/>
                                        </w14:schemeClr>
                                      </w14:solidFill>
                                    </w14:textFill>
                                  </w:rPr>
                                </w:pPr>
                                <w:r>
                                  <w:rPr>
                                    <w:rFonts w:hint="eastAsia"/>
                                    <w:color w:val="0D0D0D" w:themeColor="text1" w:themeTint="F2"/>
                                    <w:sz w:val="24"/>
                                    <w:szCs w:val="32"/>
                                    <w:lang w:val="en-US" w:eastAsia="zh-CN"/>
                                    <w14:textFill>
                                      <w14:solidFill>
                                        <w14:schemeClr w14:val="tx1">
                                          <w14:lumMod w14:val="95000"/>
                                          <w14:lumOff w14:val="5000"/>
                                        </w14:schemeClr>
                                      </w14:solidFill>
                                    </w14:textFill>
                                  </w:rPr>
                                  <w:t>颗粒物</w:t>
                                </w:r>
                              </w:p>
                            </w:txbxContent>
                          </v:textbox>
                        </v:rect>
                        <v:rect id="_x0000_s1026" o:spid="_x0000_s1026" o:spt="1" style="position:absolute;left:9208;top:223;height:1455;width:3929;v-text-anchor:middle;" filled="f" stroked="f" coordsize="21600,21600" o:gfxdata="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zd+q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3F2B9CB0">
                                <w:pPr>
                                  <w:jc w:val="center"/>
                                  <w:rPr>
                                    <w:rFonts w:hint="default" w:eastAsia="宋体"/>
                                    <w:color w:val="0D0D0D" w:themeColor="text1" w:themeTint="F2"/>
                                    <w:sz w:val="24"/>
                                    <w:szCs w:val="32"/>
                                    <w:lang w:val="en-US" w:eastAsia="zh-CN"/>
                                    <w14:textFill>
                                      <w14:solidFill>
                                        <w14:schemeClr w14:val="tx1">
                                          <w14:lumMod w14:val="95000"/>
                                          <w14:lumOff w14:val="5000"/>
                                        </w14:schemeClr>
                                      </w14:solidFill>
                                    </w14:textFill>
                                  </w:rPr>
                                </w:pPr>
                                <w:r>
                                  <w:rPr>
                                    <w:rFonts w:hint="eastAsia"/>
                                    <w:color w:val="0D0D0D" w:themeColor="text1" w:themeTint="F2"/>
                                    <w:sz w:val="24"/>
                                    <w:szCs w:val="32"/>
                                    <w:lang w:val="en-US" w:eastAsia="zh-CN"/>
                                    <w14:textFill>
                                      <w14:solidFill>
                                        <w14:schemeClr w14:val="tx1">
                                          <w14:lumMod w14:val="95000"/>
                                          <w14:lumOff w14:val="5000"/>
                                        </w14:schemeClr>
                                      </w14:solidFill>
                                    </w14:textFill>
                                  </w:rPr>
                                  <w:t>集气管道+中央除尘器+15m排气筒</w:t>
                                </w:r>
                              </w:p>
                            </w:txbxContent>
                          </v:textbox>
                        </v:rect>
                        <v:rect id="_x0000_s1026" o:spid="_x0000_s1026" o:spt="1" style="position:absolute;left:3072;top:327;height:631;width:1725;v-text-anchor:middle;" filled="f" stroked="f" coordsize="21600,21600" o:gfxdata="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Ie9sxtwAAANwAAAAP&#10;AAAAAAAAAAEAIAAAACIAAABkcnMvZG93bnJldi54bWxQSwECFAAUAAAACACHTuJAMy8FnjsAAAA5&#10;AAAAEAAAAAAAAAABACAAAAAGAQAAZHJzL3NoYXBleG1sLnhtbFBLBQYAAAAABgAGAFsBAACwAwAA&#10;AAA=&#10;">
                          <v:fill on="f" focussize="0,0"/>
                          <v:stroke on="f"/>
                          <v:imagedata o:title=""/>
                          <o:lock v:ext="edit" aspectratio="f"/>
                          <v:textbox>
                            <w:txbxContent>
                              <w:p w14:paraId="446930AA">
                                <w:pPr>
                                  <w:jc w:val="center"/>
                                  <w:rPr>
                                    <w:rFonts w:hint="default" w:eastAsia="宋体"/>
                                    <w:color w:val="0D0D0D" w:themeColor="text1" w:themeTint="F2"/>
                                    <w:sz w:val="21"/>
                                    <w:szCs w:val="24"/>
                                    <w:lang w:val="en-US" w:eastAsia="zh-CN"/>
                                    <w14:textFill>
                                      <w14:solidFill>
                                        <w14:schemeClr w14:val="tx1">
                                          <w14:lumMod w14:val="95000"/>
                                          <w14:lumOff w14:val="5000"/>
                                        </w14:schemeClr>
                                      </w14:solidFill>
                                    </w14:textFill>
                                  </w:rPr>
                                </w:pPr>
                                <w:r>
                                  <w:rPr>
                                    <w:rFonts w:hint="eastAsia"/>
                                    <w:color w:val="0D0D0D" w:themeColor="text1" w:themeTint="F2"/>
                                    <w:sz w:val="21"/>
                                    <w:szCs w:val="24"/>
                                    <w:lang w:val="en-US" w:eastAsia="zh-CN"/>
                                    <w14:textFill>
                                      <w14:solidFill>
                                        <w14:schemeClr w14:val="tx1">
                                          <w14:lumMod w14:val="95000"/>
                                          <w14:lumOff w14:val="5000"/>
                                        </w14:schemeClr>
                                      </w14:solidFill>
                                    </w14:textFill>
                                  </w:rPr>
                                  <w:t>产出</w:t>
                                </w:r>
                              </w:p>
                            </w:txbxContent>
                          </v:textbox>
                        </v:rect>
                        <v:rect id="_x0000_s1026" o:spid="_x0000_s1026" o:spt="1" style="position:absolute;left:7183;top:120;height:914;width:2789;v-text-anchor:middle;" filled="f" stroked="f" coordsize="21600,21600" o:gfxdata="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ipRUa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6BFCB873">
                                <w:pPr>
                                  <w:jc w:val="center"/>
                                  <w:rPr>
                                    <w:rFonts w:hint="eastAsia"/>
                                    <w:color w:val="0D0D0D" w:themeColor="text1" w:themeTint="F2"/>
                                    <w:sz w:val="21"/>
                                    <w:szCs w:val="24"/>
                                    <w:lang w:val="en-US" w:eastAsia="zh-CN"/>
                                    <w14:textFill>
                                      <w14:solidFill>
                                        <w14:schemeClr w14:val="tx1">
                                          <w14:lumMod w14:val="95000"/>
                                          <w14:lumOff w14:val="5000"/>
                                        </w14:schemeClr>
                                      </w14:solidFill>
                                    </w14:textFill>
                                  </w:rPr>
                                </w:pPr>
                                <w:r>
                                  <w:rPr>
                                    <w:rFonts w:hint="eastAsia"/>
                                    <w:color w:val="0D0D0D" w:themeColor="text1" w:themeTint="F2"/>
                                    <w:sz w:val="21"/>
                                    <w:szCs w:val="24"/>
                                    <w:lang w:val="en-US" w:eastAsia="zh-CN"/>
                                    <w14:textFill>
                                      <w14:solidFill>
                                        <w14:schemeClr w14:val="tx1">
                                          <w14:lumMod w14:val="95000"/>
                                          <w14:lumOff w14:val="5000"/>
                                        </w14:schemeClr>
                                      </w14:solidFill>
                                    </w14:textFill>
                                  </w:rPr>
                                  <w:t>收集效率90%</w:t>
                                </w:r>
                              </w:p>
                              <w:p w14:paraId="442B1976">
                                <w:pPr>
                                  <w:jc w:val="center"/>
                                  <w:rPr>
                                    <w:rFonts w:hint="default"/>
                                    <w:color w:val="0D0D0D" w:themeColor="text1" w:themeTint="F2"/>
                                    <w:sz w:val="21"/>
                                    <w:szCs w:val="24"/>
                                    <w:lang w:val="en-US" w:eastAsia="zh-CN"/>
                                    <w14:textFill>
                                      <w14:solidFill>
                                        <w14:schemeClr w14:val="tx1">
                                          <w14:lumMod w14:val="95000"/>
                                          <w14:lumOff w14:val="5000"/>
                                        </w14:schemeClr>
                                      </w14:solidFill>
                                    </w14:textFill>
                                  </w:rPr>
                                </w:pPr>
                                <w:r>
                                  <w:rPr>
                                    <w:rFonts w:hint="eastAsia"/>
                                    <w:color w:val="0D0D0D" w:themeColor="text1" w:themeTint="F2"/>
                                    <w:sz w:val="21"/>
                                    <w:szCs w:val="24"/>
                                    <w:lang w:val="en-US" w:eastAsia="zh-CN"/>
                                    <w14:textFill>
                                      <w14:solidFill>
                                        <w14:schemeClr w14:val="tx1">
                                          <w14:lumMod w14:val="95000"/>
                                          <w14:lumOff w14:val="5000"/>
                                        </w14:schemeClr>
                                      </w14:solidFill>
                                    </w14:textFill>
                                  </w:rPr>
                                  <w:t>去除效率99%</w:t>
                                </w:r>
                              </w:p>
                            </w:txbxContent>
                          </v:textbox>
                        </v:rect>
                      </v:group>
                      <v:group id="_x0000_s1026" o:spid="_x0000_s1026" o:spt="203" style="position:absolute;left:92075;top:1343025;height:988695;width:8241030;" coordorigin="158,120" coordsize="12978,1557" o:gfxdata="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">
                        <o:lock v:ext="edit" aspectratio="f"/>
                        <v:rect id="矩形 12" o:spid="_x0000_s1026" o:spt="1" style="position:absolute;left:158;top:223;height:1455;width:2955;v-text-anchor:middle;" filled="f" stroked="t" coordsize="21600,21600" o:gfxdata="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RLHgvQAA&#10;ANwAAAAPAAAAAAAAAAEAIAAAACIAAABkcnMvZG93bnJldi54bWxQSwECFAAUAAAACACHTuJAMy8F&#10;njsAAAA5AAAAEAAAAAAAAAABACAAAAAMAQAAZHJzL3NoYXBleG1sLnhtbFBLBQYAAAAABgAGAFsB&#10;AAC2AwAAAAA=&#10;">
                          <v:fill on="f" focussize="0,0"/>
                          <v:stroke color="#000000 [3213]" joinstyle="round"/>
                          <v:imagedata o:title=""/>
                          <o:lock v:ext="edit" aspectratio="f"/>
                          <v:textbox>
                            <w:txbxContent>
                              <w:p w14:paraId="7B669F97">
                                <w:pPr>
                                  <w:jc w:val="center"/>
                                  <w:rPr>
                                    <w:rFonts w:hint="default" w:eastAsia="宋体"/>
                                    <w:color w:val="0D0D0D" w:themeColor="text1" w:themeTint="F2"/>
                                    <w:sz w:val="24"/>
                                    <w:szCs w:val="32"/>
                                    <w:lang w:val="en-US" w:eastAsia="zh-CN"/>
                                    <w14:textFill>
                                      <w14:solidFill>
                                        <w14:schemeClr w14:val="tx1">
                                          <w14:lumMod w14:val="95000"/>
                                          <w14:lumOff w14:val="5000"/>
                                        </w14:schemeClr>
                                      </w14:solidFill>
                                    </w14:textFill>
                                  </w:rPr>
                                </w:pPr>
                                <w:r>
                                  <w:rPr>
                                    <w:rFonts w:hint="eastAsia"/>
                                    <w:color w:val="0D0D0D" w:themeColor="text1" w:themeTint="F2"/>
                                    <w:sz w:val="24"/>
                                    <w:szCs w:val="32"/>
                                    <w:lang w:val="en-US" w:eastAsia="zh-CN"/>
                                    <w14:textFill>
                                      <w14:solidFill>
                                        <w14:schemeClr w14:val="tx1">
                                          <w14:lumMod w14:val="95000"/>
                                          <w14:lumOff w14:val="5000"/>
                                        </w14:schemeClr>
                                      </w14:solidFill>
                                    </w14:textFill>
                                  </w:rPr>
                                  <w:t>油磨工序</w:t>
                                </w:r>
                              </w:p>
                            </w:txbxContent>
                          </v:textbox>
                        </v:rect>
                        <v:rect id="矩形 14" o:spid="_x0000_s1026" o:spt="1" style="position:absolute;left:4693;top:208;height:1455;width:2955;v-text-anchor:middle;" filled="f" stroked="t" coordsize="21600,21600" o:gfxdata="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li+XvQAA&#10;ANwAAAAPAAAAAAAAAAEAIAAAACIAAABkcnMvZG93bnJldi54bWxQSwECFAAUAAAACACHTuJAMy8F&#10;njsAAAA5AAAAEAAAAAAAAAABACAAAAAMAQAAZHJzL3NoYXBleG1sLnhtbFBLBQYAAAAABgAGAFsB&#10;AAC2AwAAAAA=&#10;">
                          <v:fill on="f" focussize="0,0"/>
                          <v:stroke color="#000000 [3213]" joinstyle="round"/>
                          <v:imagedata o:title=""/>
                          <o:lock v:ext="edit" aspectratio="f"/>
                          <v:textbox>
                            <w:txbxContent>
                              <w:p w14:paraId="6F166899">
                                <w:pPr>
                                  <w:jc w:val="center"/>
                                  <w:rPr>
                                    <w:rFonts w:hint="default" w:eastAsia="宋体"/>
                                    <w:color w:val="0D0D0D" w:themeColor="text1" w:themeTint="F2"/>
                                    <w:sz w:val="24"/>
                                    <w:szCs w:val="32"/>
                                    <w:lang w:val="en-US" w:eastAsia="zh-CN"/>
                                    <w14:textFill>
                                      <w14:solidFill>
                                        <w14:schemeClr w14:val="tx1">
                                          <w14:lumMod w14:val="95000"/>
                                          <w14:lumOff w14:val="5000"/>
                                        </w14:schemeClr>
                                      </w14:solidFill>
                                    </w14:textFill>
                                  </w:rPr>
                                </w:pPr>
                                <w:r>
                                  <w:rPr>
                                    <w:rFonts w:hint="eastAsia"/>
                                    <w:color w:val="0D0D0D" w:themeColor="text1" w:themeTint="F2"/>
                                    <w:sz w:val="24"/>
                                    <w:szCs w:val="32"/>
                                    <w:lang w:val="en-US" w:eastAsia="zh-CN"/>
                                    <w14:textFill>
                                      <w14:solidFill>
                                        <w14:schemeClr w14:val="tx1">
                                          <w14:lumMod w14:val="95000"/>
                                          <w14:lumOff w14:val="5000"/>
                                        </w14:schemeClr>
                                      </w14:solidFill>
                                    </w14:textFill>
                                  </w:rPr>
                                  <w:t>颗粒物（油磨粉尘）</w:t>
                                </w:r>
                              </w:p>
                            </w:txbxContent>
                          </v:textbox>
                        </v:rect>
                        <v:rect id="矩形 140" o:spid="_x0000_s1026" o:spt="1" style="position:absolute;left:9208;top:223;height:1455;width:3929;v-text-anchor:middle;" filled="f" stroked="f" coordsize="21600,21600" o:gfxdata="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N7m3rgAAADcAAAA&#10;DwAAAAAAAAABACAAAAAiAAAAZHJzL2Rvd25yZXYueG1sUEsBAhQAFAAAAAgAh07iQDMvBZ47AAAA&#10;OQAAABAAAAAAAAAAAQAgAAAABwEAAGRycy9zaGFwZXhtbC54bWxQSwUGAAAAAAYABgBbAQAAsQMA&#10;AAAA&#10;">
                          <v:fill on="f" focussize="0,0"/>
                          <v:stroke on="f"/>
                          <v:imagedata o:title=""/>
                          <o:lock v:ext="edit" aspectratio="f"/>
                          <v:textbox>
                            <w:txbxContent>
                              <w:p w14:paraId="1AAE9E50">
                                <w:pPr>
                                  <w:jc w:val="center"/>
                                  <w:rPr>
                                    <w:rFonts w:hint="default" w:eastAsia="宋体"/>
                                    <w:color w:val="0D0D0D" w:themeColor="text1" w:themeTint="F2"/>
                                    <w:sz w:val="24"/>
                                    <w:szCs w:val="32"/>
                                    <w:lang w:val="en-US" w:eastAsia="zh-CN"/>
                                    <w14:textFill>
                                      <w14:solidFill>
                                        <w14:schemeClr w14:val="tx1">
                                          <w14:lumMod w14:val="95000"/>
                                          <w14:lumOff w14:val="5000"/>
                                        </w14:schemeClr>
                                      </w14:solidFill>
                                    </w14:textFill>
                                  </w:rPr>
                                </w:pPr>
                                <w:r>
                                  <w:rPr>
                                    <w:rFonts w:hint="eastAsia"/>
                                    <w:color w:val="0D0D0D" w:themeColor="text1" w:themeTint="F2"/>
                                    <w:sz w:val="24"/>
                                    <w:szCs w:val="32"/>
                                    <w:lang w:val="en-US" w:eastAsia="zh-CN"/>
                                    <w14:textFill>
                                      <w14:solidFill>
                                        <w14:schemeClr w14:val="tx1">
                                          <w14:lumMod w14:val="95000"/>
                                          <w14:lumOff w14:val="5000"/>
                                        </w14:schemeClr>
                                      </w14:solidFill>
                                    </w14:textFill>
                                  </w:rPr>
                                  <w:t>干式打磨柜处理后无组织排放</w:t>
                                </w:r>
                              </w:p>
                            </w:txbxContent>
                          </v:textbox>
                        </v:rect>
                        <v:rect id="矩形 141" o:spid="_x0000_s1026" o:spt="1" style="position:absolute;left:3072;top:327;height:631;width:1725;v-text-anchor:middle;" filled="f" stroked="f" coordsize="21600,21600" o:gfxdata="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UFyrL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61391773">
                                <w:pPr>
                                  <w:jc w:val="center"/>
                                  <w:rPr>
                                    <w:rFonts w:hint="default" w:eastAsia="宋体"/>
                                    <w:color w:val="0D0D0D" w:themeColor="text1" w:themeTint="F2"/>
                                    <w:sz w:val="21"/>
                                    <w:szCs w:val="24"/>
                                    <w:lang w:val="en-US" w:eastAsia="zh-CN"/>
                                    <w14:textFill>
                                      <w14:solidFill>
                                        <w14:schemeClr w14:val="tx1">
                                          <w14:lumMod w14:val="95000"/>
                                          <w14:lumOff w14:val="5000"/>
                                        </w14:schemeClr>
                                      </w14:solidFill>
                                    </w14:textFill>
                                  </w:rPr>
                                </w:pPr>
                                <w:r>
                                  <w:rPr>
                                    <w:rFonts w:hint="eastAsia"/>
                                    <w:color w:val="0D0D0D" w:themeColor="text1" w:themeTint="F2"/>
                                    <w:sz w:val="21"/>
                                    <w:szCs w:val="24"/>
                                    <w:lang w:val="en-US" w:eastAsia="zh-CN"/>
                                    <w14:textFill>
                                      <w14:solidFill>
                                        <w14:schemeClr w14:val="tx1">
                                          <w14:lumMod w14:val="95000"/>
                                          <w14:lumOff w14:val="5000"/>
                                        </w14:schemeClr>
                                      </w14:solidFill>
                                    </w14:textFill>
                                  </w:rPr>
                                  <w:t>产出</w:t>
                                </w:r>
                              </w:p>
                            </w:txbxContent>
                          </v:textbox>
                        </v:rect>
                        <v:rect id="矩形 142" o:spid="_x0000_s1026" o:spt="1" style="position:absolute;left:7183;top:120;height:914;width:2789;v-text-anchor:middle;" filled="f" stroked="f" coordsize="21600,21600" o:gfxdata="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g3XN7gAAADcAAAA&#10;DwAAAAAAAAABACAAAAAiAAAAZHJzL2Rvd25yZXYueG1sUEsBAhQAFAAAAAgAh07iQDMvBZ47AAAA&#10;OQAAABAAAAAAAAAAAQAgAAAABwEAAGRycy9zaGFwZXhtbC54bWxQSwUGAAAAAAYABgBbAQAAsQMA&#10;AAAA&#10;">
                          <v:fill on="f" focussize="0,0"/>
                          <v:stroke on="f"/>
                          <v:imagedata o:title=""/>
                          <o:lock v:ext="edit" aspectratio="f"/>
                          <v:textbox>
                            <w:txbxContent>
                              <w:p w14:paraId="69511004">
                                <w:pPr>
                                  <w:jc w:val="center"/>
                                  <w:rPr>
                                    <w:rFonts w:hint="eastAsia"/>
                                    <w:color w:val="0D0D0D" w:themeColor="text1" w:themeTint="F2"/>
                                    <w:sz w:val="21"/>
                                    <w:szCs w:val="24"/>
                                    <w:lang w:val="en-US" w:eastAsia="zh-CN"/>
                                    <w14:textFill>
                                      <w14:solidFill>
                                        <w14:schemeClr w14:val="tx1">
                                          <w14:lumMod w14:val="95000"/>
                                          <w14:lumOff w14:val="5000"/>
                                        </w14:schemeClr>
                                      </w14:solidFill>
                                    </w14:textFill>
                                  </w:rPr>
                                </w:pPr>
                                <w:r>
                                  <w:rPr>
                                    <w:rFonts w:hint="eastAsia"/>
                                    <w:color w:val="0D0D0D" w:themeColor="text1" w:themeTint="F2"/>
                                    <w:sz w:val="21"/>
                                    <w:szCs w:val="24"/>
                                    <w:lang w:val="en-US" w:eastAsia="zh-CN"/>
                                    <w14:textFill>
                                      <w14:solidFill>
                                        <w14:schemeClr w14:val="tx1">
                                          <w14:lumMod w14:val="95000"/>
                                          <w14:lumOff w14:val="5000"/>
                                        </w14:schemeClr>
                                      </w14:solidFill>
                                    </w14:textFill>
                                  </w:rPr>
                                  <w:t>收集效率100%</w:t>
                                </w:r>
                              </w:p>
                              <w:p w14:paraId="3537E7BC">
                                <w:pPr>
                                  <w:jc w:val="center"/>
                                  <w:rPr>
                                    <w:rFonts w:hint="default"/>
                                    <w:color w:val="0D0D0D" w:themeColor="text1" w:themeTint="F2"/>
                                    <w:sz w:val="21"/>
                                    <w:szCs w:val="24"/>
                                    <w:lang w:val="en-US" w:eastAsia="zh-CN"/>
                                    <w14:textFill>
                                      <w14:solidFill>
                                        <w14:schemeClr w14:val="tx1">
                                          <w14:lumMod w14:val="95000"/>
                                          <w14:lumOff w14:val="5000"/>
                                        </w14:schemeClr>
                                      </w14:solidFill>
                                    </w14:textFill>
                                  </w:rPr>
                                </w:pPr>
                                <w:r>
                                  <w:rPr>
                                    <w:rFonts w:hint="eastAsia"/>
                                    <w:color w:val="0D0D0D" w:themeColor="text1" w:themeTint="F2"/>
                                    <w:sz w:val="21"/>
                                    <w:szCs w:val="24"/>
                                    <w:lang w:val="en-US" w:eastAsia="zh-CN"/>
                                    <w14:textFill>
                                      <w14:solidFill>
                                        <w14:schemeClr w14:val="tx1">
                                          <w14:lumMod w14:val="95000"/>
                                          <w14:lumOff w14:val="5000"/>
                                        </w14:schemeClr>
                                      </w14:solidFill>
                                    </w14:textFill>
                                  </w:rPr>
                                  <w:t>去除效率99%</w:t>
                                </w:r>
                              </w:p>
                            </w:txbxContent>
                          </v:textbox>
                        </v:rect>
                      </v:group>
                      <v:shape id="_x0000_s1026" o:spid="_x0000_s1026" o:spt="32" type="#_x0000_t32" style="position:absolute;left:1966595;top:1894205;height:0;width:1019175;" filled="f" stroked="t" coordsize="21600,21600" o:gfxdata="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EGb8H2AAAAAYB&#10;AAAPAAAAAAAAAAEAIAAAACIAAABkcnMvZG93bnJldi54bWxQSwECFAAUAAAACACHTuJApwhN0BsC&#10;AAAEBAAADgAAAAAAAAABACAAAAAnAQAAZHJzL2Uyb0RvYy54bWxQSwUGAAAAAAYABgBZAQAAtAUA&#10;AAAA&#10;">
                        <v:fill on="f" focussize="0,0"/>
                        <v:stroke color="#000000 [3213]" joinstyle="round" endarrow="block"/>
                        <v:imagedata o:title=""/>
                        <o:lock v:ext="edit" aspectratio="f"/>
                      </v:shape>
                      <v:shape id="_x0000_s1026" o:spid="_x0000_s1026" o:spt="32" type="#_x0000_t32" style="position:absolute;left:4866005;top:1875155;height:0;width:1019175;" filled="f" stroked="t" coordsize="21600,21600" o:gfxdata="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QZvwfYAAAA&#10;BgEAAA8AAAAAAAAAAQAgAAAAIgAAAGRycy9kb3ducmV2LnhtbFBLAQIUABQAAAAIAIdO4kBx9CkV&#10;HQIAAAQEAAAOAAAAAAAAAAEAIAAAACcBAABkcnMvZTJvRG9jLnhtbFBLBQYAAAAABgAGAFkBAAC2&#10;BQAAAAA=&#10;">
                        <v:fill on="f" focussize="0,0"/>
                        <v:stroke color="#000000 [3213]" joinstyle="round" endarrow="block"/>
                        <v:imagedata o:title=""/>
                        <o:lock v:ext="edit" aspectratio="f"/>
                      </v:shape>
                      <v:group id="_x0000_s1026" o:spid="_x0000_s1026" o:spt="203" style="position:absolute;left:104140;top:2190750;height:1770380;width:8295640;" coordorigin="158,-900" coordsize="13064,2788" o:gfxdata="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">
                        <o:lock v:ext="edit" aspectratio="f"/>
                        <v:rect id="矩形 12" o:spid="_x0000_s1026" o:spt="1" style="position:absolute;left:158;top:223;height:1455;width:2955;v-text-anchor:middle;" filled="f" stroked="t" coordsize="21600,21600" o:gfxdata="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zga0rsAAADc&#10;AAAADwAAAAAAAAABACAAAAAiAAAAZHJzL2Rvd25yZXYueG1sUEsBAhQAFAAAAAgAh07iQDMvBZ47&#10;AAAAOQAAABAAAAAAAAAAAQAgAAAACgEAAGRycy9zaGFwZXhtbC54bWxQSwUGAAAAAAYABgBbAQAA&#10;tAMAAAAA&#10;">
                          <v:fill on="f" focussize="0,0"/>
                          <v:stroke color="#000000 [3213]" joinstyle="round"/>
                          <v:imagedata o:title=""/>
                          <o:lock v:ext="edit" aspectratio="f"/>
                          <v:textbox>
                            <w:txbxContent>
                              <w:p w14:paraId="5FD6CA77">
                                <w:pPr>
                                  <w:jc w:val="center"/>
                                  <w:rPr>
                                    <w:rFonts w:hint="default" w:eastAsia="宋体"/>
                                    <w:color w:val="0D0D0D" w:themeColor="text1" w:themeTint="F2"/>
                                    <w:sz w:val="24"/>
                                    <w:szCs w:val="32"/>
                                    <w:lang w:val="en-US" w:eastAsia="zh-CN"/>
                                    <w14:textFill>
                                      <w14:solidFill>
                                        <w14:schemeClr w14:val="tx1">
                                          <w14:lumMod w14:val="95000"/>
                                          <w14:lumOff w14:val="5000"/>
                                        </w14:schemeClr>
                                      </w14:solidFill>
                                    </w14:textFill>
                                  </w:rPr>
                                </w:pPr>
                                <w:r>
                                  <w:rPr>
                                    <w:rFonts w:hint="eastAsia"/>
                                    <w:color w:val="0D0D0D" w:themeColor="text1" w:themeTint="F2"/>
                                    <w:sz w:val="24"/>
                                    <w:szCs w:val="32"/>
                                    <w:lang w:val="en-US" w:eastAsia="zh-CN"/>
                                    <w14:textFill>
                                      <w14:solidFill>
                                        <w14:schemeClr w14:val="tx1">
                                          <w14:lumMod w14:val="95000"/>
                                          <w14:lumOff w14:val="5000"/>
                                        </w14:schemeClr>
                                      </w14:solidFill>
                                    </w14:textFill>
                                  </w:rPr>
                                  <w:t>拼板冷压、贴皮热压、封边、调漆、喷漆、晾干、修色工序以及危废暂存间废气</w:t>
                                </w:r>
                              </w:p>
                            </w:txbxContent>
                          </v:textbox>
                        </v:rect>
                        <v:rect id="矩形 14" o:spid="_x0000_s1026" o:spt="1" style="position:absolute;left:4693;top:208;height:1455;width:2955;v-text-anchor:middle;" filled="f" stroked="t" coordsize="21600,21600" o:gfxdata="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0YKmvQAA&#10;ANwAAAAPAAAAAAAAAAEAIAAAACIAAABkcnMvZG93bnJldi54bWxQSwECFAAUAAAACACHTuJAMy8F&#10;njsAAAA5AAAAEAAAAAAAAAABACAAAAAMAQAAZHJzL3NoYXBleG1sLnhtbFBLBQYAAAAABgAGAFsB&#10;AAC2AwAAAAA=&#10;">
                          <v:fill on="f" focussize="0,0"/>
                          <v:stroke color="#000000 [3213]" joinstyle="round"/>
                          <v:imagedata o:title=""/>
                          <o:lock v:ext="edit" aspectratio="f"/>
                          <v:textbox>
                            <w:txbxContent>
                              <w:p w14:paraId="38514129">
                                <w:pPr>
                                  <w:jc w:val="center"/>
                                  <w:rPr>
                                    <w:rFonts w:hint="default" w:eastAsia="宋体"/>
                                    <w:color w:val="0D0D0D" w:themeColor="text1" w:themeTint="F2"/>
                                    <w:sz w:val="24"/>
                                    <w:szCs w:val="32"/>
                                    <w:lang w:val="en-US" w:eastAsia="zh-CN"/>
                                    <w14:textFill>
                                      <w14:solidFill>
                                        <w14:schemeClr w14:val="tx1">
                                          <w14:lumMod w14:val="95000"/>
                                          <w14:lumOff w14:val="5000"/>
                                        </w14:schemeClr>
                                      </w14:solidFill>
                                    </w14:textFill>
                                  </w:rPr>
                                </w:pPr>
                                <w:r>
                                  <w:rPr>
                                    <w:rFonts w:hint="eastAsia"/>
                                    <w:color w:val="0D0D0D" w:themeColor="text1" w:themeTint="F2"/>
                                    <w:sz w:val="24"/>
                                    <w:szCs w:val="32"/>
                                    <w:lang w:val="en-US" w:eastAsia="zh-CN"/>
                                    <w14:textFill>
                                      <w14:solidFill>
                                        <w14:schemeClr w14:val="tx1">
                                          <w14:lumMod w14:val="95000"/>
                                          <w14:lumOff w14:val="5000"/>
                                        </w14:schemeClr>
                                      </w14:solidFill>
                                    </w14:textFill>
                                  </w:rPr>
                                  <w:t>颗粒物、非甲烷总烃</w:t>
                                </w:r>
                              </w:p>
                            </w:txbxContent>
                          </v:textbox>
                        </v:rect>
                        <v:rect id="矩形 140" o:spid="_x0000_s1026" o:spt="1" style="position:absolute;left:9293;top:433;height:1455;width:3929;v-text-anchor:middle;" filled="f" stroked="f" coordsize="21600,21600" o:gfxdata="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KZS++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08E14B5C">
                                <w:pPr>
                                  <w:jc w:val="center"/>
                                  <w:rPr>
                                    <w:rFonts w:hint="default" w:eastAsia="宋体"/>
                                    <w:color w:val="0D0D0D" w:themeColor="text1" w:themeTint="F2"/>
                                    <w:sz w:val="24"/>
                                    <w:szCs w:val="32"/>
                                    <w:lang w:val="en-US" w:eastAsia="zh-CN"/>
                                    <w14:textFill>
                                      <w14:solidFill>
                                        <w14:schemeClr w14:val="tx1">
                                          <w14:lumMod w14:val="95000"/>
                                          <w14:lumOff w14:val="5000"/>
                                        </w14:schemeClr>
                                      </w14:solidFill>
                                    </w14:textFill>
                                  </w:rPr>
                                </w:pPr>
                                <w:r>
                                  <w:rPr>
                                    <w:rFonts w:hint="eastAsia"/>
                                    <w:color w:val="0D0D0D" w:themeColor="text1" w:themeTint="F2"/>
                                    <w:sz w:val="24"/>
                                    <w:szCs w:val="32"/>
                                    <w:lang w:val="en-US" w:eastAsia="zh-CN"/>
                                    <w14:textFill>
                                      <w14:solidFill>
                                        <w14:schemeClr w14:val="tx1">
                                          <w14:lumMod w14:val="95000"/>
                                          <w14:lumOff w14:val="5000"/>
                                        </w14:schemeClr>
                                      </w14:solidFill>
                                    </w14:textFill>
                                  </w:rPr>
                                  <w:t>密闭喷漆房（过滤棉）、冷压和热压工序二次密闭+“活性炭吸附、脱附+催化燃烧”+15m排气筒</w:t>
                                </w:r>
                              </w:p>
                            </w:txbxContent>
                          </v:textbox>
                        </v:rect>
                        <v:rect id="矩形 141" o:spid="_x0000_s1026" o:spt="1" style="position:absolute;left:3072;top:327;height:631;width:1725;v-text-anchor:middle;" filled="f" stroked="f" coordsize="21600,21600" o:gfxdata="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CS9WYtwAAANwAAAAP&#10;AAAAAAAAAAEAIAAAACIAAABkcnMvZG93bnJldi54bWxQSwECFAAUAAAACACHTuJAMy8FnjsAAAA5&#10;AAAAEAAAAAAAAAABACAAAAAGAQAAZHJzL3NoYXBleG1sLnhtbFBLBQYAAAAABgAGAFsBAACwAwAA&#10;AAA=&#10;">
                          <v:fill on="f" focussize="0,0"/>
                          <v:stroke on="f"/>
                          <v:imagedata o:title=""/>
                          <o:lock v:ext="edit" aspectratio="f"/>
                          <v:textbox>
                            <w:txbxContent>
                              <w:p w14:paraId="40C9A6DB">
                                <w:pPr>
                                  <w:jc w:val="center"/>
                                  <w:rPr>
                                    <w:rFonts w:hint="default" w:eastAsia="宋体"/>
                                    <w:color w:val="0D0D0D" w:themeColor="text1" w:themeTint="F2"/>
                                    <w:sz w:val="21"/>
                                    <w:szCs w:val="24"/>
                                    <w:lang w:val="en-US" w:eastAsia="zh-CN"/>
                                    <w14:textFill>
                                      <w14:solidFill>
                                        <w14:schemeClr w14:val="tx1">
                                          <w14:lumMod w14:val="95000"/>
                                          <w14:lumOff w14:val="5000"/>
                                        </w14:schemeClr>
                                      </w14:solidFill>
                                    </w14:textFill>
                                  </w:rPr>
                                </w:pPr>
                                <w:r>
                                  <w:rPr>
                                    <w:rFonts w:hint="eastAsia"/>
                                    <w:color w:val="0D0D0D" w:themeColor="text1" w:themeTint="F2"/>
                                    <w:sz w:val="21"/>
                                    <w:szCs w:val="24"/>
                                    <w:lang w:val="en-US" w:eastAsia="zh-CN"/>
                                    <w14:textFill>
                                      <w14:solidFill>
                                        <w14:schemeClr w14:val="tx1">
                                          <w14:lumMod w14:val="95000"/>
                                          <w14:lumOff w14:val="5000"/>
                                        </w14:schemeClr>
                                      </w14:solidFill>
                                    </w14:textFill>
                                  </w:rPr>
                                  <w:t>产出</w:t>
                                </w:r>
                              </w:p>
                            </w:txbxContent>
                          </v:textbox>
                        </v:rect>
                        <v:rect id="矩形 142" o:spid="_x0000_s1026" o:spt="1" style="position:absolute;left:7513;top:-900;height:2042;width:2789;v-text-anchor:middle;" filled="f" stroked="f" coordsize="21600,21600" o:gfxdata="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QdwA7gAAADcAAAA&#10;DwAAAAAAAAABACAAAAAiAAAAZHJzL2Rvd25yZXYueG1sUEsBAhQAFAAAAAgAh07iQDMvBZ47AAAA&#10;OQAAABAAAAAAAAAAAQAgAAAABwEAAGRycy9zaGFwZXhtbC54bWxQSwUGAAAAAAYABgBbAQAAsQMA&#10;AAAA&#10;">
                          <v:fill on="f" focussize="0,0"/>
                          <v:stroke on="f"/>
                          <v:imagedata o:title=""/>
                          <o:lock v:ext="edit" aspectratio="f"/>
                          <v:textbox>
                            <w:txbxContent>
                              <w:p w14:paraId="094F7084">
                                <w:pPr>
                                  <w:jc w:val="center"/>
                                  <w:rPr>
                                    <w:rFonts w:hint="default"/>
                                    <w:color w:val="0D0D0D" w:themeColor="text1" w:themeTint="F2"/>
                                    <w:sz w:val="21"/>
                                    <w:szCs w:val="24"/>
                                    <w:lang w:val="en-US" w:eastAsia="zh-CN"/>
                                    <w14:textFill>
                                      <w14:solidFill>
                                        <w14:schemeClr w14:val="tx1">
                                          <w14:lumMod w14:val="95000"/>
                                          <w14:lumOff w14:val="5000"/>
                                        </w14:schemeClr>
                                      </w14:solidFill>
                                    </w14:textFill>
                                  </w:rPr>
                                </w:pPr>
                                <w:r>
                                  <w:rPr>
                                    <w:rFonts w:hint="eastAsia"/>
                                    <w:color w:val="0D0D0D" w:themeColor="text1" w:themeTint="F2"/>
                                    <w:sz w:val="21"/>
                                    <w:szCs w:val="24"/>
                                    <w:lang w:val="en-US" w:eastAsia="zh-CN"/>
                                    <w14:textFill>
                                      <w14:solidFill>
                                        <w14:schemeClr w14:val="tx1">
                                          <w14:lumMod w14:val="95000"/>
                                          <w14:lumOff w14:val="5000"/>
                                        </w14:schemeClr>
                                      </w14:solidFill>
                                    </w14:textFill>
                                  </w:rPr>
                                  <w:t>收集效率95%，过滤棉对颗粒物的去除效率为90%，活性炭吸附去除效率90%，催化燃烧去除效率97%</w:t>
                                </w:r>
                              </w:p>
                            </w:txbxContent>
                          </v:textbox>
                        </v:rect>
                      </v:group>
                      <v:shape id="_x0000_s1026" o:spid="_x0000_s1026" o:spt="32" type="#_x0000_t32" style="position:absolute;left:1989455;top:3342005;height:0;width:1019175;" filled="f" stroked="t" coordsize="21600,21600" o:gfxdata="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Bm/B9gAAAAG&#10;AQAADwAAAAAAAAABACAAAAAiAAAAZHJzL2Rvd25yZXYueG1sUEsBAhQAFAAAAAgAh07iQI2dl7Mc&#10;AgAABAQAAA4AAAAAAAAAAQAgAAAAJwEAAGRycy9lMm9Eb2MueG1sUEsFBgAAAAAGAAYAWQEAALUF&#10;AAAAAA==&#10;">
                        <v:fill on="f" focussize="0,0"/>
                        <v:stroke color="#000000 [3213]" joinstyle="round" endarrow="block"/>
                        <v:imagedata o:title=""/>
                        <o:lock v:ext="edit" aspectratio="f"/>
                      </v:shape>
                      <v:shape id="_x0000_s1026" o:spid="_x0000_s1026" o:spt="32" type="#_x0000_t32" style="position:absolute;left:4866005;top:3370580;height:0;width:1019175;" filled="f" stroked="t" coordsize="21600,21600" o:gfxdata="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EGb8H2AAA&#10;AAYBAAAPAAAAAAAAAAEAIAAAACIAAABkcnMvZG93bnJldi54bWxQSwECFAAUAAAACACHTuJAM5UA&#10;rh4CAAAEBAAADgAAAAAAAAABACAAAAAnAQAAZHJzL2Uyb0RvYy54bWxQSwUGAAAAAAYABgBZAQAA&#10;twUAAAAA&#10;">
                        <v:fill on="f" focussize="0,0"/>
                        <v:stroke color="#000000 [3213]" joinstyle="round" endarrow="block"/>
                        <v:imagedata o:title=""/>
                        <o:lock v:ext="edit" aspectratio="f"/>
                      </v:shape>
                      <w10:wrap type="none"/>
                      <w10:anchorlock/>
                    </v:group>
                  </w:pict>
                </mc:Fallback>
              </mc:AlternateContent>
            </w:r>
          </w:p>
          <w:p w14:paraId="50A2490E">
            <w:pPr>
              <w:pStyle w:val="32"/>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jc w:val="center"/>
              <w:textAlignment w:val="auto"/>
              <w:outlineLvl w:val="9"/>
              <w:rPr>
                <w:rFonts w:hint="eastAsia" w:ascii="Times New Roman" w:hAnsi="Times New Roman" w:cs="Times New Roman" w:eastAsiaTheme="minorEastAsia"/>
                <w:b/>
                <w:color w:val="auto"/>
                <w:kern w:val="2"/>
                <w:sz w:val="24"/>
                <w:szCs w:val="24"/>
                <w:highlight w:val="none"/>
                <w:lang w:val="en-US" w:eastAsia="zh-CN" w:bidi="ar-SA"/>
              </w:rPr>
            </w:pPr>
            <w:r>
              <w:rPr>
                <w:rFonts w:hint="eastAsia" w:ascii="Times New Roman" w:hAnsi="Times New Roman" w:cs="Times New Roman" w:eastAsiaTheme="minorEastAsia"/>
                <w:color w:val="auto"/>
                <w:sz w:val="24"/>
                <w:szCs w:val="24"/>
                <w:highlight w:val="none"/>
                <w:lang w:val="en-US" w:eastAsia="zh-CN"/>
              </w:rPr>
              <w:t>图5  项目废气收集、治理、排放示意图</w:t>
            </w:r>
          </w:p>
          <w:p w14:paraId="0A5AF3EF">
            <w:pPr>
              <w:pStyle w:val="46"/>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eastAsia" w:ascii="Times New Roman" w:hAnsi="Arial Unicode MS" w:eastAsia="宋体" w:cs="Times New Roman"/>
                <w:b/>
                <w:color w:val="auto"/>
                <w:kern w:val="2"/>
                <w:sz w:val="24"/>
                <w:szCs w:val="24"/>
                <w:lang w:val="en-US" w:eastAsia="zh-CN" w:bidi="ar-SA"/>
              </w:rPr>
            </w:pPr>
            <w:r>
              <w:rPr>
                <w:rFonts w:hint="eastAsia" w:ascii="Times New Roman" w:hAnsi="Arial Unicode MS" w:eastAsia="宋体" w:cs="Times New Roman"/>
                <w:b/>
                <w:color w:val="auto"/>
                <w:kern w:val="2"/>
                <w:sz w:val="24"/>
                <w:szCs w:val="24"/>
                <w:lang w:val="en-US" w:eastAsia="zh-CN" w:bidi="ar-SA"/>
              </w:rPr>
              <w:t>废气污染物排放口及排放标准一览表</w:t>
            </w:r>
          </w:p>
          <w:tbl>
            <w:tblPr>
              <w:tblStyle w:val="25"/>
              <w:tblW w:w="13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86"/>
              <w:gridCol w:w="1370"/>
              <w:gridCol w:w="1455"/>
              <w:gridCol w:w="1044"/>
              <w:gridCol w:w="936"/>
              <w:gridCol w:w="1113"/>
              <w:gridCol w:w="1278"/>
              <w:gridCol w:w="1217"/>
              <w:gridCol w:w="652"/>
              <w:gridCol w:w="909"/>
              <w:gridCol w:w="1036"/>
              <w:gridCol w:w="1028"/>
              <w:gridCol w:w="995"/>
            </w:tblGrid>
            <w:tr w14:paraId="1BA1A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1496" w:type="dxa"/>
                  <w:gridSpan w:val="11"/>
                  <w:vAlign w:val="center"/>
                </w:tcPr>
                <w:p w14:paraId="6D6471F7">
                  <w:pPr>
                    <w:tabs>
                      <w:tab w:val="left" w:pos="1980"/>
                    </w:tabs>
                    <w:jc w:val="center"/>
                    <w:rPr>
                      <w:b/>
                      <w:bCs/>
                      <w:color w:val="auto"/>
                      <w:spacing w:val="0"/>
                      <w:kern w:val="0"/>
                      <w:szCs w:val="21"/>
                    </w:rPr>
                  </w:pPr>
                  <w:r>
                    <w:rPr>
                      <w:rFonts w:hint="eastAsia"/>
                      <w:b/>
                      <w:bCs/>
                      <w:color w:val="auto"/>
                      <w:spacing w:val="0"/>
                      <w:kern w:val="0"/>
                      <w:szCs w:val="21"/>
                    </w:rPr>
                    <w:t>排放口</w:t>
                  </w:r>
                </w:p>
              </w:tc>
              <w:tc>
                <w:tcPr>
                  <w:tcW w:w="2023" w:type="dxa"/>
                  <w:gridSpan w:val="2"/>
                  <w:vAlign w:val="center"/>
                </w:tcPr>
                <w:p w14:paraId="0FD10A68">
                  <w:pPr>
                    <w:tabs>
                      <w:tab w:val="left" w:pos="1980"/>
                    </w:tabs>
                    <w:jc w:val="center"/>
                    <w:rPr>
                      <w:b/>
                      <w:bCs/>
                      <w:color w:val="auto"/>
                      <w:spacing w:val="0"/>
                      <w:kern w:val="0"/>
                      <w:szCs w:val="21"/>
                    </w:rPr>
                  </w:pPr>
                  <w:r>
                    <w:rPr>
                      <w:rFonts w:hint="eastAsia"/>
                      <w:b/>
                      <w:bCs/>
                      <w:color w:val="auto"/>
                      <w:spacing w:val="0"/>
                      <w:kern w:val="0"/>
                      <w:szCs w:val="21"/>
                    </w:rPr>
                    <w:t>排放标准</w:t>
                  </w:r>
                </w:p>
              </w:tc>
            </w:tr>
            <w:tr w14:paraId="6A2AB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86" w:type="dxa"/>
                  <w:vMerge w:val="restart"/>
                  <w:vAlign w:val="center"/>
                </w:tcPr>
                <w:p w14:paraId="029FAE11">
                  <w:pPr>
                    <w:tabs>
                      <w:tab w:val="left" w:pos="1980"/>
                    </w:tabs>
                    <w:jc w:val="center"/>
                    <w:rPr>
                      <w:b/>
                      <w:bCs/>
                      <w:color w:val="auto"/>
                      <w:spacing w:val="0"/>
                      <w:kern w:val="0"/>
                      <w:szCs w:val="21"/>
                    </w:rPr>
                  </w:pPr>
                  <w:r>
                    <w:rPr>
                      <w:rFonts w:hint="eastAsia"/>
                      <w:b/>
                      <w:bCs/>
                      <w:color w:val="auto"/>
                      <w:spacing w:val="0"/>
                      <w:kern w:val="0"/>
                      <w:szCs w:val="21"/>
                    </w:rPr>
                    <w:t>排放方式</w:t>
                  </w:r>
                </w:p>
              </w:tc>
              <w:tc>
                <w:tcPr>
                  <w:tcW w:w="1370" w:type="dxa"/>
                  <w:vMerge w:val="restart"/>
                  <w:vAlign w:val="center"/>
                </w:tcPr>
                <w:p w14:paraId="1D46067E">
                  <w:pPr>
                    <w:jc w:val="center"/>
                    <w:rPr>
                      <w:b/>
                      <w:bCs/>
                      <w:color w:val="auto"/>
                      <w:spacing w:val="0"/>
                      <w:kern w:val="0"/>
                      <w:szCs w:val="21"/>
                    </w:rPr>
                  </w:pPr>
                  <w:r>
                    <w:rPr>
                      <w:rFonts w:hint="eastAsia"/>
                      <w:b/>
                      <w:bCs/>
                      <w:snapToGrid w:val="0"/>
                      <w:color w:val="auto"/>
                      <w:spacing w:val="0"/>
                      <w:kern w:val="0"/>
                      <w:szCs w:val="21"/>
                    </w:rPr>
                    <w:t>产排污环节</w:t>
                  </w:r>
                </w:p>
              </w:tc>
              <w:tc>
                <w:tcPr>
                  <w:tcW w:w="1455" w:type="dxa"/>
                  <w:vMerge w:val="restart"/>
                  <w:vAlign w:val="center"/>
                </w:tcPr>
                <w:p w14:paraId="6BB99BA2">
                  <w:pPr>
                    <w:jc w:val="center"/>
                    <w:rPr>
                      <w:b/>
                      <w:bCs/>
                      <w:color w:val="auto"/>
                      <w:spacing w:val="0"/>
                      <w:kern w:val="0"/>
                      <w:szCs w:val="21"/>
                    </w:rPr>
                  </w:pPr>
                  <w:r>
                    <w:rPr>
                      <w:b/>
                      <w:bCs/>
                      <w:snapToGrid w:val="0"/>
                      <w:color w:val="auto"/>
                      <w:spacing w:val="0"/>
                      <w:kern w:val="0"/>
                      <w:szCs w:val="21"/>
                    </w:rPr>
                    <w:t>污染物</w:t>
                  </w:r>
                </w:p>
              </w:tc>
              <w:tc>
                <w:tcPr>
                  <w:tcW w:w="1044" w:type="dxa"/>
                  <w:vMerge w:val="restart"/>
                  <w:vAlign w:val="center"/>
                </w:tcPr>
                <w:p w14:paraId="6B666240">
                  <w:pPr>
                    <w:tabs>
                      <w:tab w:val="left" w:pos="1980"/>
                    </w:tabs>
                    <w:jc w:val="center"/>
                    <w:rPr>
                      <w:b/>
                      <w:bCs/>
                      <w:color w:val="auto"/>
                      <w:spacing w:val="0"/>
                      <w:kern w:val="0"/>
                      <w:szCs w:val="21"/>
                    </w:rPr>
                  </w:pPr>
                  <w:r>
                    <w:rPr>
                      <w:b/>
                      <w:bCs/>
                      <w:color w:val="auto"/>
                      <w:spacing w:val="0"/>
                      <w:kern w:val="0"/>
                      <w:szCs w:val="21"/>
                    </w:rPr>
                    <w:t>编号</w:t>
                  </w:r>
                </w:p>
              </w:tc>
              <w:tc>
                <w:tcPr>
                  <w:tcW w:w="936" w:type="dxa"/>
                  <w:vMerge w:val="restart"/>
                  <w:vAlign w:val="center"/>
                </w:tcPr>
                <w:p w14:paraId="35486C5C">
                  <w:pPr>
                    <w:tabs>
                      <w:tab w:val="left" w:pos="1980"/>
                    </w:tabs>
                    <w:jc w:val="center"/>
                    <w:rPr>
                      <w:b/>
                      <w:bCs/>
                      <w:color w:val="auto"/>
                      <w:spacing w:val="0"/>
                      <w:kern w:val="0"/>
                      <w:szCs w:val="21"/>
                    </w:rPr>
                  </w:pPr>
                  <w:r>
                    <w:rPr>
                      <w:b/>
                      <w:bCs/>
                      <w:color w:val="auto"/>
                      <w:spacing w:val="0"/>
                      <w:kern w:val="0"/>
                      <w:szCs w:val="21"/>
                    </w:rPr>
                    <w:t>名称</w:t>
                  </w:r>
                </w:p>
              </w:tc>
              <w:tc>
                <w:tcPr>
                  <w:tcW w:w="1113" w:type="dxa"/>
                  <w:vMerge w:val="restart"/>
                  <w:vAlign w:val="center"/>
                </w:tcPr>
                <w:p w14:paraId="1A379F78">
                  <w:pPr>
                    <w:tabs>
                      <w:tab w:val="left" w:pos="1980"/>
                    </w:tabs>
                    <w:jc w:val="center"/>
                    <w:rPr>
                      <w:b/>
                      <w:bCs/>
                      <w:color w:val="auto"/>
                      <w:spacing w:val="0"/>
                      <w:kern w:val="0"/>
                      <w:szCs w:val="21"/>
                    </w:rPr>
                  </w:pPr>
                  <w:r>
                    <w:rPr>
                      <w:rFonts w:hint="eastAsia"/>
                      <w:b/>
                      <w:bCs/>
                      <w:color w:val="auto"/>
                      <w:spacing w:val="0"/>
                      <w:kern w:val="0"/>
                      <w:szCs w:val="21"/>
                    </w:rPr>
                    <w:t>类型</w:t>
                  </w:r>
                </w:p>
              </w:tc>
              <w:tc>
                <w:tcPr>
                  <w:tcW w:w="2495" w:type="dxa"/>
                  <w:gridSpan w:val="2"/>
                  <w:vAlign w:val="center"/>
                </w:tcPr>
                <w:p w14:paraId="0F1A8EE3">
                  <w:pPr>
                    <w:tabs>
                      <w:tab w:val="left" w:pos="1980"/>
                    </w:tabs>
                    <w:jc w:val="center"/>
                    <w:rPr>
                      <w:b/>
                      <w:bCs/>
                      <w:color w:val="auto"/>
                      <w:spacing w:val="0"/>
                      <w:kern w:val="0"/>
                      <w:szCs w:val="21"/>
                    </w:rPr>
                  </w:pPr>
                  <w:r>
                    <w:rPr>
                      <w:b/>
                      <w:bCs/>
                      <w:color w:val="auto"/>
                      <w:spacing w:val="0"/>
                      <w:kern w:val="0"/>
                      <w:szCs w:val="21"/>
                    </w:rPr>
                    <w:t>地理坐标</w:t>
                  </w:r>
                </w:p>
              </w:tc>
              <w:tc>
                <w:tcPr>
                  <w:tcW w:w="652" w:type="dxa"/>
                  <w:vMerge w:val="restart"/>
                  <w:vAlign w:val="center"/>
                </w:tcPr>
                <w:p w14:paraId="6C980DE7">
                  <w:pPr>
                    <w:tabs>
                      <w:tab w:val="left" w:pos="1980"/>
                    </w:tabs>
                    <w:jc w:val="center"/>
                    <w:rPr>
                      <w:b/>
                      <w:bCs/>
                      <w:color w:val="auto"/>
                      <w:spacing w:val="0"/>
                      <w:kern w:val="0"/>
                      <w:szCs w:val="21"/>
                    </w:rPr>
                  </w:pPr>
                  <w:r>
                    <w:rPr>
                      <w:b/>
                      <w:bCs/>
                      <w:color w:val="auto"/>
                      <w:spacing w:val="0"/>
                      <w:kern w:val="0"/>
                      <w:szCs w:val="21"/>
                    </w:rPr>
                    <w:t>高度</w:t>
                  </w:r>
                </w:p>
              </w:tc>
              <w:tc>
                <w:tcPr>
                  <w:tcW w:w="909" w:type="dxa"/>
                  <w:vMerge w:val="restart"/>
                  <w:vAlign w:val="center"/>
                </w:tcPr>
                <w:p w14:paraId="6E83CEAE">
                  <w:pPr>
                    <w:tabs>
                      <w:tab w:val="left" w:pos="1980"/>
                    </w:tabs>
                    <w:jc w:val="center"/>
                    <w:rPr>
                      <w:b/>
                      <w:bCs/>
                      <w:color w:val="auto"/>
                      <w:spacing w:val="0"/>
                      <w:kern w:val="0"/>
                      <w:szCs w:val="21"/>
                    </w:rPr>
                  </w:pPr>
                  <w:r>
                    <w:rPr>
                      <w:rFonts w:hint="eastAsia"/>
                      <w:b/>
                      <w:bCs/>
                      <w:color w:val="auto"/>
                      <w:spacing w:val="0"/>
                      <w:kern w:val="0"/>
                      <w:szCs w:val="21"/>
                    </w:rPr>
                    <w:t>出口</w:t>
                  </w:r>
                  <w:r>
                    <w:rPr>
                      <w:b/>
                      <w:bCs/>
                      <w:color w:val="auto"/>
                      <w:spacing w:val="0"/>
                      <w:kern w:val="0"/>
                      <w:szCs w:val="21"/>
                    </w:rPr>
                    <w:t>内径</w:t>
                  </w:r>
                </w:p>
              </w:tc>
              <w:tc>
                <w:tcPr>
                  <w:tcW w:w="1036" w:type="dxa"/>
                  <w:vMerge w:val="restart"/>
                  <w:vAlign w:val="center"/>
                </w:tcPr>
                <w:p w14:paraId="12C72EB2">
                  <w:pPr>
                    <w:tabs>
                      <w:tab w:val="left" w:pos="1980"/>
                    </w:tabs>
                    <w:jc w:val="center"/>
                    <w:rPr>
                      <w:b/>
                      <w:bCs/>
                      <w:color w:val="auto"/>
                      <w:spacing w:val="0"/>
                      <w:kern w:val="0"/>
                      <w:szCs w:val="21"/>
                    </w:rPr>
                  </w:pPr>
                  <w:r>
                    <w:rPr>
                      <w:rFonts w:hint="eastAsia"/>
                      <w:b/>
                      <w:bCs/>
                      <w:color w:val="auto"/>
                      <w:spacing w:val="0"/>
                      <w:kern w:val="0"/>
                      <w:szCs w:val="21"/>
                    </w:rPr>
                    <w:t>排气</w:t>
                  </w:r>
                  <w:r>
                    <w:rPr>
                      <w:b/>
                      <w:bCs/>
                      <w:color w:val="auto"/>
                      <w:spacing w:val="0"/>
                      <w:kern w:val="0"/>
                      <w:szCs w:val="21"/>
                    </w:rPr>
                    <w:t>温度</w:t>
                  </w:r>
                </w:p>
              </w:tc>
              <w:tc>
                <w:tcPr>
                  <w:tcW w:w="1028" w:type="dxa"/>
                  <w:vMerge w:val="restart"/>
                  <w:vAlign w:val="center"/>
                </w:tcPr>
                <w:p w14:paraId="04116869">
                  <w:pPr>
                    <w:tabs>
                      <w:tab w:val="left" w:pos="1980"/>
                    </w:tabs>
                    <w:jc w:val="center"/>
                    <w:rPr>
                      <w:b/>
                      <w:bCs/>
                      <w:color w:val="auto"/>
                      <w:spacing w:val="0"/>
                      <w:kern w:val="0"/>
                      <w:szCs w:val="21"/>
                    </w:rPr>
                  </w:pPr>
                  <w:r>
                    <w:rPr>
                      <w:rFonts w:hint="eastAsia"/>
                      <w:b/>
                      <w:bCs/>
                      <w:color w:val="auto"/>
                      <w:spacing w:val="0"/>
                      <w:kern w:val="0"/>
                      <w:szCs w:val="21"/>
                    </w:rPr>
                    <w:t>浓度限值</w:t>
                  </w:r>
                </w:p>
              </w:tc>
              <w:tc>
                <w:tcPr>
                  <w:tcW w:w="995" w:type="dxa"/>
                  <w:vMerge w:val="restart"/>
                  <w:vAlign w:val="center"/>
                </w:tcPr>
                <w:p w14:paraId="1280134A">
                  <w:pPr>
                    <w:tabs>
                      <w:tab w:val="left" w:pos="1980"/>
                    </w:tabs>
                    <w:jc w:val="center"/>
                    <w:rPr>
                      <w:b/>
                      <w:bCs/>
                      <w:color w:val="auto"/>
                      <w:spacing w:val="0"/>
                      <w:kern w:val="0"/>
                      <w:szCs w:val="21"/>
                    </w:rPr>
                  </w:pPr>
                  <w:r>
                    <w:rPr>
                      <w:rFonts w:hint="eastAsia"/>
                      <w:b/>
                      <w:bCs/>
                      <w:color w:val="auto"/>
                      <w:spacing w:val="0"/>
                      <w:kern w:val="0"/>
                      <w:szCs w:val="21"/>
                    </w:rPr>
                    <w:t>速率限值</w:t>
                  </w:r>
                </w:p>
              </w:tc>
            </w:tr>
            <w:tr w14:paraId="18BE9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86" w:type="dxa"/>
                  <w:vMerge w:val="continue"/>
                  <w:vAlign w:val="center"/>
                </w:tcPr>
                <w:p w14:paraId="17A07891">
                  <w:pPr>
                    <w:tabs>
                      <w:tab w:val="left" w:pos="1980"/>
                    </w:tabs>
                    <w:jc w:val="center"/>
                    <w:rPr>
                      <w:color w:val="auto"/>
                      <w:spacing w:val="0"/>
                      <w:kern w:val="0"/>
                      <w:szCs w:val="21"/>
                    </w:rPr>
                  </w:pPr>
                </w:p>
              </w:tc>
              <w:tc>
                <w:tcPr>
                  <w:tcW w:w="1370" w:type="dxa"/>
                  <w:vMerge w:val="continue"/>
                  <w:vAlign w:val="center"/>
                </w:tcPr>
                <w:p w14:paraId="701483D9">
                  <w:pPr>
                    <w:tabs>
                      <w:tab w:val="left" w:pos="1980"/>
                    </w:tabs>
                    <w:jc w:val="center"/>
                    <w:rPr>
                      <w:color w:val="auto"/>
                      <w:spacing w:val="0"/>
                      <w:kern w:val="0"/>
                      <w:szCs w:val="21"/>
                    </w:rPr>
                  </w:pPr>
                </w:p>
              </w:tc>
              <w:tc>
                <w:tcPr>
                  <w:tcW w:w="1455" w:type="dxa"/>
                  <w:vMerge w:val="continue"/>
                  <w:vAlign w:val="center"/>
                </w:tcPr>
                <w:p w14:paraId="19D0298F">
                  <w:pPr>
                    <w:tabs>
                      <w:tab w:val="left" w:pos="1980"/>
                    </w:tabs>
                    <w:jc w:val="center"/>
                    <w:rPr>
                      <w:color w:val="auto"/>
                      <w:spacing w:val="0"/>
                      <w:kern w:val="0"/>
                      <w:szCs w:val="21"/>
                    </w:rPr>
                  </w:pPr>
                </w:p>
              </w:tc>
              <w:tc>
                <w:tcPr>
                  <w:tcW w:w="1044" w:type="dxa"/>
                  <w:vMerge w:val="continue"/>
                  <w:vAlign w:val="center"/>
                </w:tcPr>
                <w:p w14:paraId="5EB01431">
                  <w:pPr>
                    <w:tabs>
                      <w:tab w:val="left" w:pos="1980"/>
                    </w:tabs>
                    <w:jc w:val="center"/>
                    <w:rPr>
                      <w:color w:val="auto"/>
                      <w:spacing w:val="0"/>
                      <w:kern w:val="0"/>
                      <w:szCs w:val="21"/>
                    </w:rPr>
                  </w:pPr>
                </w:p>
              </w:tc>
              <w:tc>
                <w:tcPr>
                  <w:tcW w:w="936" w:type="dxa"/>
                  <w:vMerge w:val="continue"/>
                  <w:vAlign w:val="center"/>
                </w:tcPr>
                <w:p w14:paraId="28B4EB76">
                  <w:pPr>
                    <w:tabs>
                      <w:tab w:val="left" w:pos="1980"/>
                    </w:tabs>
                    <w:jc w:val="center"/>
                    <w:rPr>
                      <w:color w:val="auto"/>
                      <w:spacing w:val="0"/>
                      <w:kern w:val="0"/>
                      <w:szCs w:val="21"/>
                    </w:rPr>
                  </w:pPr>
                </w:p>
              </w:tc>
              <w:tc>
                <w:tcPr>
                  <w:tcW w:w="1113" w:type="dxa"/>
                  <w:vMerge w:val="continue"/>
                  <w:vAlign w:val="center"/>
                </w:tcPr>
                <w:p w14:paraId="0E218D8C">
                  <w:pPr>
                    <w:tabs>
                      <w:tab w:val="left" w:pos="1980"/>
                    </w:tabs>
                    <w:jc w:val="center"/>
                    <w:rPr>
                      <w:color w:val="auto"/>
                      <w:spacing w:val="0"/>
                      <w:kern w:val="0"/>
                      <w:szCs w:val="21"/>
                    </w:rPr>
                  </w:pPr>
                </w:p>
              </w:tc>
              <w:tc>
                <w:tcPr>
                  <w:tcW w:w="1278" w:type="dxa"/>
                  <w:vAlign w:val="center"/>
                </w:tcPr>
                <w:p w14:paraId="3E9F8254">
                  <w:pPr>
                    <w:jc w:val="center"/>
                    <w:rPr>
                      <w:b/>
                      <w:bCs/>
                      <w:color w:val="auto"/>
                      <w:spacing w:val="0"/>
                      <w:kern w:val="0"/>
                      <w:szCs w:val="21"/>
                    </w:rPr>
                  </w:pPr>
                  <w:r>
                    <w:rPr>
                      <w:b/>
                      <w:bCs/>
                      <w:color w:val="auto"/>
                      <w:spacing w:val="0"/>
                      <w:kern w:val="0"/>
                    </w:rPr>
                    <w:t>经度</w:t>
                  </w:r>
                </w:p>
              </w:tc>
              <w:tc>
                <w:tcPr>
                  <w:tcW w:w="1217" w:type="dxa"/>
                  <w:vAlign w:val="center"/>
                </w:tcPr>
                <w:p w14:paraId="08466133">
                  <w:pPr>
                    <w:jc w:val="center"/>
                    <w:rPr>
                      <w:b/>
                      <w:bCs/>
                      <w:color w:val="auto"/>
                      <w:spacing w:val="0"/>
                      <w:kern w:val="0"/>
                      <w:szCs w:val="21"/>
                    </w:rPr>
                  </w:pPr>
                  <w:r>
                    <w:rPr>
                      <w:b/>
                      <w:bCs/>
                      <w:color w:val="auto"/>
                      <w:spacing w:val="0"/>
                      <w:kern w:val="0"/>
                    </w:rPr>
                    <w:t>纬度</w:t>
                  </w:r>
                </w:p>
              </w:tc>
              <w:tc>
                <w:tcPr>
                  <w:tcW w:w="652" w:type="dxa"/>
                  <w:vMerge w:val="continue"/>
                  <w:vAlign w:val="center"/>
                </w:tcPr>
                <w:p w14:paraId="71F1313B">
                  <w:pPr>
                    <w:tabs>
                      <w:tab w:val="left" w:pos="1980"/>
                    </w:tabs>
                    <w:jc w:val="center"/>
                    <w:rPr>
                      <w:color w:val="auto"/>
                      <w:spacing w:val="0"/>
                      <w:kern w:val="0"/>
                      <w:szCs w:val="21"/>
                    </w:rPr>
                  </w:pPr>
                </w:p>
              </w:tc>
              <w:tc>
                <w:tcPr>
                  <w:tcW w:w="909" w:type="dxa"/>
                  <w:vMerge w:val="continue"/>
                  <w:vAlign w:val="center"/>
                </w:tcPr>
                <w:p w14:paraId="52125D7C">
                  <w:pPr>
                    <w:tabs>
                      <w:tab w:val="left" w:pos="1980"/>
                    </w:tabs>
                    <w:jc w:val="center"/>
                    <w:rPr>
                      <w:color w:val="auto"/>
                      <w:spacing w:val="0"/>
                      <w:kern w:val="0"/>
                      <w:szCs w:val="21"/>
                    </w:rPr>
                  </w:pPr>
                </w:p>
              </w:tc>
              <w:tc>
                <w:tcPr>
                  <w:tcW w:w="1036" w:type="dxa"/>
                  <w:vMerge w:val="continue"/>
                  <w:vAlign w:val="center"/>
                </w:tcPr>
                <w:p w14:paraId="13443F93">
                  <w:pPr>
                    <w:tabs>
                      <w:tab w:val="left" w:pos="1980"/>
                    </w:tabs>
                    <w:jc w:val="center"/>
                    <w:rPr>
                      <w:color w:val="auto"/>
                      <w:spacing w:val="0"/>
                      <w:kern w:val="0"/>
                      <w:szCs w:val="21"/>
                    </w:rPr>
                  </w:pPr>
                </w:p>
              </w:tc>
              <w:tc>
                <w:tcPr>
                  <w:tcW w:w="1028" w:type="dxa"/>
                  <w:vMerge w:val="continue"/>
                  <w:vAlign w:val="center"/>
                </w:tcPr>
                <w:p w14:paraId="56557426">
                  <w:pPr>
                    <w:tabs>
                      <w:tab w:val="left" w:pos="1980"/>
                    </w:tabs>
                    <w:jc w:val="center"/>
                    <w:rPr>
                      <w:color w:val="auto"/>
                      <w:spacing w:val="0"/>
                      <w:kern w:val="0"/>
                      <w:szCs w:val="21"/>
                    </w:rPr>
                  </w:pPr>
                </w:p>
              </w:tc>
              <w:tc>
                <w:tcPr>
                  <w:tcW w:w="995" w:type="dxa"/>
                  <w:vMerge w:val="continue"/>
                  <w:vAlign w:val="center"/>
                </w:tcPr>
                <w:p w14:paraId="10AD6CC3">
                  <w:pPr>
                    <w:tabs>
                      <w:tab w:val="left" w:pos="1980"/>
                    </w:tabs>
                    <w:jc w:val="center"/>
                    <w:rPr>
                      <w:color w:val="auto"/>
                      <w:spacing w:val="0"/>
                      <w:kern w:val="0"/>
                      <w:szCs w:val="21"/>
                    </w:rPr>
                  </w:pPr>
                </w:p>
              </w:tc>
            </w:tr>
            <w:tr w14:paraId="0F4DD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86" w:type="dxa"/>
                  <w:vMerge w:val="restart"/>
                  <w:vAlign w:val="center"/>
                </w:tcPr>
                <w:p w14:paraId="21B20402">
                  <w:pPr>
                    <w:jc w:val="center"/>
                    <w:rPr>
                      <w:color w:val="auto"/>
                      <w:spacing w:val="0"/>
                      <w:kern w:val="0"/>
                      <w:szCs w:val="21"/>
                    </w:rPr>
                  </w:pPr>
                  <w:r>
                    <w:rPr>
                      <w:rFonts w:hint="eastAsia"/>
                      <w:snapToGrid w:val="0"/>
                      <w:color w:val="auto"/>
                      <w:spacing w:val="0"/>
                      <w:kern w:val="0"/>
                      <w:szCs w:val="21"/>
                    </w:rPr>
                    <w:t>有组织</w:t>
                  </w:r>
                </w:p>
              </w:tc>
              <w:tc>
                <w:tcPr>
                  <w:tcW w:w="1370" w:type="dxa"/>
                  <w:vAlign w:val="center"/>
                </w:tcPr>
                <w:p w14:paraId="587B9708">
                  <w:pPr>
                    <w:adjustRightInd w:val="0"/>
                    <w:snapToGrid w:val="0"/>
                    <w:jc w:val="center"/>
                    <w:rPr>
                      <w:b/>
                      <w:bCs/>
                      <w:color w:val="auto"/>
                      <w:spacing w:val="0"/>
                      <w:kern w:val="0"/>
                      <w:szCs w:val="21"/>
                      <w:u w:val="single"/>
                    </w:rPr>
                  </w:pPr>
                  <w:r>
                    <w:rPr>
                      <w:rFonts w:hint="eastAsia"/>
                      <w:b/>
                      <w:bCs/>
                      <w:color w:val="auto"/>
                      <w:spacing w:val="0"/>
                      <w:kern w:val="0"/>
                      <w:szCs w:val="21"/>
                      <w:u w:val="single"/>
                    </w:rPr>
                    <w:t>一车间木</w:t>
                  </w:r>
                  <w:r>
                    <w:rPr>
                      <w:rFonts w:hint="eastAsia"/>
                      <w:b/>
                      <w:bCs/>
                      <w:color w:val="auto"/>
                      <w:spacing w:val="0"/>
                      <w:kern w:val="0"/>
                      <w:szCs w:val="21"/>
                      <w:u w:val="single"/>
                      <w:lang w:val="en-US" w:eastAsia="zh-CN"/>
                    </w:rPr>
                    <w:t>加</w:t>
                  </w:r>
                  <w:r>
                    <w:rPr>
                      <w:rFonts w:hint="eastAsia"/>
                      <w:b/>
                      <w:bCs/>
                      <w:color w:val="auto"/>
                      <w:spacing w:val="0"/>
                      <w:kern w:val="0"/>
                      <w:szCs w:val="21"/>
                      <w:u w:val="single"/>
                    </w:rPr>
                    <w:t>工、砂光、打磨</w:t>
                  </w:r>
                </w:p>
              </w:tc>
              <w:tc>
                <w:tcPr>
                  <w:tcW w:w="1455" w:type="dxa"/>
                  <w:vAlign w:val="center"/>
                </w:tcPr>
                <w:p w14:paraId="28D58F72">
                  <w:pPr>
                    <w:jc w:val="center"/>
                    <w:rPr>
                      <w:color w:val="auto"/>
                      <w:spacing w:val="0"/>
                      <w:kern w:val="0"/>
                      <w:szCs w:val="21"/>
                    </w:rPr>
                  </w:pPr>
                  <w:r>
                    <w:rPr>
                      <w:rFonts w:hint="eastAsia"/>
                      <w:snapToGrid w:val="0"/>
                      <w:color w:val="auto"/>
                      <w:spacing w:val="0"/>
                      <w:kern w:val="0"/>
                      <w:szCs w:val="21"/>
                    </w:rPr>
                    <w:t>颗粒物</w:t>
                  </w:r>
                </w:p>
              </w:tc>
              <w:tc>
                <w:tcPr>
                  <w:tcW w:w="1044" w:type="dxa"/>
                  <w:vAlign w:val="center"/>
                </w:tcPr>
                <w:p w14:paraId="16B47D8F">
                  <w:pPr>
                    <w:tabs>
                      <w:tab w:val="left" w:pos="1980"/>
                    </w:tabs>
                    <w:jc w:val="center"/>
                    <w:rPr>
                      <w:color w:val="auto"/>
                      <w:spacing w:val="0"/>
                      <w:kern w:val="0"/>
                      <w:szCs w:val="21"/>
                    </w:rPr>
                  </w:pPr>
                  <w:r>
                    <w:rPr>
                      <w:color w:val="auto"/>
                      <w:spacing w:val="0"/>
                      <w:kern w:val="0"/>
                      <w:szCs w:val="21"/>
                    </w:rPr>
                    <w:t>DA001</w:t>
                  </w:r>
                </w:p>
              </w:tc>
              <w:tc>
                <w:tcPr>
                  <w:tcW w:w="936" w:type="dxa"/>
                  <w:vMerge w:val="restart"/>
                  <w:vAlign w:val="center"/>
                </w:tcPr>
                <w:p w14:paraId="522C31E0">
                  <w:pPr>
                    <w:tabs>
                      <w:tab w:val="left" w:pos="1980"/>
                    </w:tabs>
                    <w:jc w:val="center"/>
                    <w:rPr>
                      <w:color w:val="auto"/>
                      <w:spacing w:val="0"/>
                      <w:kern w:val="0"/>
                      <w:szCs w:val="21"/>
                    </w:rPr>
                  </w:pPr>
                  <w:r>
                    <w:rPr>
                      <w:rFonts w:hint="eastAsia"/>
                      <w:color w:val="auto"/>
                      <w:spacing w:val="0"/>
                      <w:kern w:val="0"/>
                      <w:szCs w:val="21"/>
                    </w:rPr>
                    <w:t>生产</w:t>
                  </w:r>
                  <w:r>
                    <w:rPr>
                      <w:color w:val="auto"/>
                      <w:spacing w:val="0"/>
                      <w:kern w:val="0"/>
                      <w:szCs w:val="21"/>
                    </w:rPr>
                    <w:t>废气排放口</w:t>
                  </w:r>
                </w:p>
              </w:tc>
              <w:tc>
                <w:tcPr>
                  <w:tcW w:w="1113" w:type="dxa"/>
                  <w:vAlign w:val="center"/>
                </w:tcPr>
                <w:p w14:paraId="20E414D8">
                  <w:pPr>
                    <w:tabs>
                      <w:tab w:val="left" w:pos="1980"/>
                    </w:tabs>
                    <w:jc w:val="center"/>
                    <w:rPr>
                      <w:rFonts w:hint="eastAsia"/>
                      <w:color w:val="auto"/>
                      <w:spacing w:val="0"/>
                      <w:kern w:val="0"/>
                      <w:szCs w:val="21"/>
                    </w:rPr>
                  </w:pPr>
                  <w:r>
                    <w:rPr>
                      <w:color w:val="auto"/>
                      <w:spacing w:val="0"/>
                      <w:kern w:val="0"/>
                      <w:szCs w:val="21"/>
                    </w:rPr>
                    <w:t>一般排放口</w:t>
                  </w:r>
                </w:p>
              </w:tc>
              <w:tc>
                <w:tcPr>
                  <w:tcW w:w="1278" w:type="dxa"/>
                  <w:vAlign w:val="center"/>
                </w:tcPr>
                <w:p w14:paraId="15AFABC4">
                  <w:pPr>
                    <w:jc w:val="center"/>
                    <w:rPr>
                      <w:color w:val="auto"/>
                      <w:spacing w:val="0"/>
                      <w:kern w:val="0"/>
                      <w:szCs w:val="21"/>
                    </w:rPr>
                  </w:pPr>
                  <w:r>
                    <w:rPr>
                      <w:color w:val="auto"/>
                      <w:spacing w:val="0"/>
                      <w:kern w:val="0"/>
                      <w:szCs w:val="21"/>
                    </w:rPr>
                    <w:t>115.12166769</w:t>
                  </w:r>
                </w:p>
              </w:tc>
              <w:tc>
                <w:tcPr>
                  <w:tcW w:w="1217" w:type="dxa"/>
                  <w:vAlign w:val="center"/>
                </w:tcPr>
                <w:p w14:paraId="00185909">
                  <w:pPr>
                    <w:jc w:val="center"/>
                    <w:rPr>
                      <w:color w:val="auto"/>
                      <w:spacing w:val="0"/>
                      <w:kern w:val="0"/>
                      <w:szCs w:val="21"/>
                    </w:rPr>
                  </w:pPr>
                  <w:r>
                    <w:rPr>
                      <w:color w:val="auto"/>
                      <w:spacing w:val="0"/>
                      <w:kern w:val="0"/>
                      <w:szCs w:val="21"/>
                    </w:rPr>
                    <w:t>35.85864864</w:t>
                  </w:r>
                </w:p>
              </w:tc>
              <w:tc>
                <w:tcPr>
                  <w:tcW w:w="652" w:type="dxa"/>
                  <w:vAlign w:val="center"/>
                </w:tcPr>
                <w:p w14:paraId="0E50F2D6">
                  <w:pPr>
                    <w:tabs>
                      <w:tab w:val="left" w:pos="1980"/>
                    </w:tabs>
                    <w:jc w:val="center"/>
                    <w:rPr>
                      <w:color w:val="auto"/>
                      <w:spacing w:val="0"/>
                      <w:kern w:val="0"/>
                      <w:szCs w:val="21"/>
                    </w:rPr>
                  </w:pPr>
                  <w:r>
                    <w:rPr>
                      <w:color w:val="auto"/>
                      <w:spacing w:val="0"/>
                      <w:kern w:val="0"/>
                      <w:szCs w:val="21"/>
                    </w:rPr>
                    <w:t>15m</w:t>
                  </w:r>
                </w:p>
              </w:tc>
              <w:tc>
                <w:tcPr>
                  <w:tcW w:w="909" w:type="dxa"/>
                  <w:vAlign w:val="center"/>
                </w:tcPr>
                <w:p w14:paraId="329B89DE">
                  <w:pPr>
                    <w:tabs>
                      <w:tab w:val="left" w:pos="1980"/>
                    </w:tabs>
                    <w:jc w:val="center"/>
                    <w:rPr>
                      <w:color w:val="auto"/>
                      <w:spacing w:val="0"/>
                      <w:kern w:val="0"/>
                      <w:szCs w:val="21"/>
                    </w:rPr>
                  </w:pPr>
                  <w:r>
                    <w:rPr>
                      <w:rFonts w:hint="eastAsia"/>
                      <w:b/>
                      <w:bCs/>
                      <w:color w:val="auto"/>
                      <w:spacing w:val="0"/>
                      <w:kern w:val="0"/>
                      <w:szCs w:val="21"/>
                      <w:u w:val="single"/>
                      <w:lang w:val="en-US" w:eastAsia="zh-CN"/>
                    </w:rPr>
                    <w:t>0.50</w:t>
                  </w:r>
                  <w:r>
                    <w:rPr>
                      <w:b/>
                      <w:bCs/>
                      <w:color w:val="auto"/>
                      <w:spacing w:val="0"/>
                      <w:kern w:val="0"/>
                      <w:szCs w:val="21"/>
                      <w:u w:val="single"/>
                    </w:rPr>
                    <w:t>m</w:t>
                  </w:r>
                </w:p>
              </w:tc>
              <w:tc>
                <w:tcPr>
                  <w:tcW w:w="1036" w:type="dxa"/>
                  <w:vAlign w:val="center"/>
                </w:tcPr>
                <w:p w14:paraId="124EFD13">
                  <w:pPr>
                    <w:tabs>
                      <w:tab w:val="left" w:pos="1980"/>
                    </w:tabs>
                    <w:jc w:val="center"/>
                    <w:rPr>
                      <w:color w:val="auto"/>
                      <w:spacing w:val="0"/>
                      <w:kern w:val="0"/>
                      <w:szCs w:val="21"/>
                    </w:rPr>
                  </w:pPr>
                  <w:r>
                    <w:rPr>
                      <w:color w:val="auto"/>
                      <w:spacing w:val="0"/>
                      <w:kern w:val="0"/>
                      <w:szCs w:val="21"/>
                    </w:rPr>
                    <w:t>25℃</w:t>
                  </w:r>
                </w:p>
              </w:tc>
              <w:tc>
                <w:tcPr>
                  <w:tcW w:w="1028" w:type="dxa"/>
                  <w:vAlign w:val="center"/>
                </w:tcPr>
                <w:p w14:paraId="65373C96">
                  <w:pPr>
                    <w:tabs>
                      <w:tab w:val="left" w:pos="1980"/>
                    </w:tabs>
                    <w:jc w:val="center"/>
                    <w:rPr>
                      <w:color w:val="auto"/>
                      <w:spacing w:val="0"/>
                      <w:kern w:val="0"/>
                      <w:szCs w:val="21"/>
                    </w:rPr>
                  </w:pPr>
                  <w:r>
                    <w:rPr>
                      <w:rFonts w:hint="eastAsia"/>
                      <w:color w:val="auto"/>
                      <w:spacing w:val="0"/>
                      <w:kern w:val="0"/>
                      <w:szCs w:val="21"/>
                    </w:rPr>
                    <w:t>10</w:t>
                  </w:r>
                </w:p>
              </w:tc>
              <w:tc>
                <w:tcPr>
                  <w:tcW w:w="995" w:type="dxa"/>
                  <w:vAlign w:val="center"/>
                </w:tcPr>
                <w:p w14:paraId="70DAB90F">
                  <w:pPr>
                    <w:tabs>
                      <w:tab w:val="left" w:pos="1980"/>
                    </w:tabs>
                    <w:jc w:val="center"/>
                    <w:rPr>
                      <w:color w:val="auto"/>
                      <w:spacing w:val="0"/>
                      <w:kern w:val="0"/>
                      <w:szCs w:val="21"/>
                    </w:rPr>
                  </w:pPr>
                  <w:r>
                    <w:rPr>
                      <w:rFonts w:hint="eastAsia"/>
                      <w:color w:val="auto"/>
                      <w:spacing w:val="0"/>
                      <w:kern w:val="0"/>
                      <w:szCs w:val="21"/>
                    </w:rPr>
                    <w:t>3.5</w:t>
                  </w:r>
                </w:p>
              </w:tc>
            </w:tr>
            <w:tr w14:paraId="7B108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86" w:type="dxa"/>
                  <w:vMerge w:val="continue"/>
                  <w:vAlign w:val="center"/>
                </w:tcPr>
                <w:p w14:paraId="2857436F">
                  <w:pPr>
                    <w:jc w:val="center"/>
                    <w:rPr>
                      <w:color w:val="auto"/>
                      <w:spacing w:val="0"/>
                      <w:kern w:val="0"/>
                      <w:szCs w:val="21"/>
                    </w:rPr>
                  </w:pPr>
                </w:p>
              </w:tc>
              <w:tc>
                <w:tcPr>
                  <w:tcW w:w="1370" w:type="dxa"/>
                  <w:tcBorders>
                    <w:bottom w:val="single" w:color="000000" w:sz="4" w:space="0"/>
                  </w:tcBorders>
                  <w:vAlign w:val="center"/>
                </w:tcPr>
                <w:p w14:paraId="3B0CA210">
                  <w:pPr>
                    <w:adjustRightInd w:val="0"/>
                    <w:snapToGrid w:val="0"/>
                    <w:jc w:val="center"/>
                    <w:rPr>
                      <w:b/>
                      <w:bCs/>
                      <w:color w:val="auto"/>
                      <w:spacing w:val="0"/>
                      <w:kern w:val="0"/>
                      <w:szCs w:val="21"/>
                      <w:u w:val="single"/>
                    </w:rPr>
                  </w:pPr>
                  <w:r>
                    <w:rPr>
                      <w:rFonts w:hint="eastAsia"/>
                      <w:b/>
                      <w:bCs/>
                      <w:color w:val="auto"/>
                      <w:spacing w:val="0"/>
                      <w:kern w:val="0"/>
                      <w:szCs w:val="21"/>
                      <w:u w:val="single"/>
                    </w:rPr>
                    <w:t>二车间砂光</w:t>
                  </w:r>
                </w:p>
              </w:tc>
              <w:tc>
                <w:tcPr>
                  <w:tcW w:w="1455" w:type="dxa"/>
                  <w:tcBorders>
                    <w:bottom w:val="single" w:color="000000" w:sz="4" w:space="0"/>
                  </w:tcBorders>
                  <w:vAlign w:val="center"/>
                </w:tcPr>
                <w:p w14:paraId="7CAC5436">
                  <w:pPr>
                    <w:adjustRightInd w:val="0"/>
                    <w:snapToGrid w:val="0"/>
                    <w:jc w:val="center"/>
                    <w:rPr>
                      <w:color w:val="auto"/>
                      <w:spacing w:val="0"/>
                      <w:kern w:val="0"/>
                      <w:szCs w:val="21"/>
                    </w:rPr>
                  </w:pPr>
                  <w:r>
                    <w:rPr>
                      <w:color w:val="auto"/>
                      <w:spacing w:val="0"/>
                      <w:szCs w:val="21"/>
                    </w:rPr>
                    <w:t>颗粒物</w:t>
                  </w:r>
                </w:p>
              </w:tc>
              <w:tc>
                <w:tcPr>
                  <w:tcW w:w="1044" w:type="dxa"/>
                  <w:tcBorders>
                    <w:bottom w:val="single" w:color="000000" w:sz="4" w:space="0"/>
                  </w:tcBorders>
                  <w:vAlign w:val="center"/>
                </w:tcPr>
                <w:p w14:paraId="1540CB2D">
                  <w:pPr>
                    <w:tabs>
                      <w:tab w:val="left" w:pos="1980"/>
                    </w:tabs>
                    <w:jc w:val="center"/>
                    <w:rPr>
                      <w:color w:val="auto"/>
                      <w:spacing w:val="0"/>
                      <w:kern w:val="0"/>
                      <w:szCs w:val="21"/>
                    </w:rPr>
                  </w:pPr>
                  <w:r>
                    <w:rPr>
                      <w:color w:val="auto"/>
                      <w:spacing w:val="0"/>
                      <w:kern w:val="0"/>
                      <w:szCs w:val="21"/>
                    </w:rPr>
                    <w:t>DA002</w:t>
                  </w:r>
                </w:p>
              </w:tc>
              <w:tc>
                <w:tcPr>
                  <w:tcW w:w="936" w:type="dxa"/>
                  <w:vMerge w:val="continue"/>
                  <w:vAlign w:val="center"/>
                </w:tcPr>
                <w:p w14:paraId="06E15D91">
                  <w:pPr>
                    <w:jc w:val="center"/>
                    <w:rPr>
                      <w:color w:val="auto"/>
                      <w:spacing w:val="0"/>
                      <w:kern w:val="0"/>
                      <w:szCs w:val="21"/>
                    </w:rPr>
                  </w:pPr>
                </w:p>
              </w:tc>
              <w:tc>
                <w:tcPr>
                  <w:tcW w:w="1113" w:type="dxa"/>
                  <w:tcBorders>
                    <w:bottom w:val="single" w:color="000000" w:sz="4" w:space="0"/>
                  </w:tcBorders>
                  <w:vAlign w:val="center"/>
                </w:tcPr>
                <w:p w14:paraId="77A3D797">
                  <w:pPr>
                    <w:tabs>
                      <w:tab w:val="left" w:pos="1980"/>
                    </w:tabs>
                    <w:jc w:val="center"/>
                    <w:rPr>
                      <w:rFonts w:hint="eastAsia"/>
                      <w:color w:val="auto"/>
                      <w:spacing w:val="0"/>
                      <w:kern w:val="0"/>
                      <w:szCs w:val="21"/>
                    </w:rPr>
                  </w:pPr>
                  <w:r>
                    <w:rPr>
                      <w:color w:val="auto"/>
                      <w:spacing w:val="0"/>
                      <w:kern w:val="0"/>
                      <w:szCs w:val="21"/>
                    </w:rPr>
                    <w:t>一般排放口</w:t>
                  </w:r>
                </w:p>
              </w:tc>
              <w:tc>
                <w:tcPr>
                  <w:tcW w:w="1278" w:type="dxa"/>
                  <w:tcBorders>
                    <w:bottom w:val="single" w:color="000000" w:sz="4" w:space="0"/>
                  </w:tcBorders>
                  <w:vAlign w:val="center"/>
                </w:tcPr>
                <w:p w14:paraId="5E5E39E8">
                  <w:pPr>
                    <w:tabs>
                      <w:tab w:val="left" w:pos="1980"/>
                    </w:tabs>
                    <w:jc w:val="center"/>
                    <w:rPr>
                      <w:color w:val="auto"/>
                      <w:spacing w:val="0"/>
                      <w:kern w:val="0"/>
                      <w:szCs w:val="21"/>
                    </w:rPr>
                  </w:pPr>
                  <w:r>
                    <w:rPr>
                      <w:color w:val="auto"/>
                      <w:spacing w:val="0"/>
                      <w:kern w:val="0"/>
                      <w:szCs w:val="21"/>
                    </w:rPr>
                    <w:t>115.12138365</w:t>
                  </w:r>
                </w:p>
              </w:tc>
              <w:tc>
                <w:tcPr>
                  <w:tcW w:w="1217" w:type="dxa"/>
                  <w:tcBorders>
                    <w:bottom w:val="single" w:color="000000" w:sz="4" w:space="0"/>
                  </w:tcBorders>
                  <w:vAlign w:val="center"/>
                </w:tcPr>
                <w:p w14:paraId="5197E65D">
                  <w:pPr>
                    <w:tabs>
                      <w:tab w:val="left" w:pos="1980"/>
                    </w:tabs>
                    <w:jc w:val="center"/>
                    <w:rPr>
                      <w:color w:val="auto"/>
                      <w:spacing w:val="0"/>
                      <w:kern w:val="0"/>
                      <w:szCs w:val="21"/>
                    </w:rPr>
                  </w:pPr>
                  <w:r>
                    <w:rPr>
                      <w:color w:val="auto"/>
                      <w:spacing w:val="0"/>
                      <w:kern w:val="0"/>
                      <w:szCs w:val="21"/>
                    </w:rPr>
                    <w:t>35.85930118</w:t>
                  </w:r>
                </w:p>
              </w:tc>
              <w:tc>
                <w:tcPr>
                  <w:tcW w:w="652" w:type="dxa"/>
                  <w:tcBorders>
                    <w:bottom w:val="single" w:color="000000" w:sz="4" w:space="0"/>
                  </w:tcBorders>
                  <w:vAlign w:val="center"/>
                </w:tcPr>
                <w:p w14:paraId="42461447">
                  <w:pPr>
                    <w:tabs>
                      <w:tab w:val="left" w:pos="1980"/>
                    </w:tabs>
                    <w:jc w:val="center"/>
                    <w:rPr>
                      <w:color w:val="auto"/>
                      <w:spacing w:val="0"/>
                      <w:kern w:val="0"/>
                      <w:szCs w:val="21"/>
                    </w:rPr>
                  </w:pPr>
                  <w:r>
                    <w:rPr>
                      <w:color w:val="auto"/>
                      <w:spacing w:val="0"/>
                      <w:kern w:val="0"/>
                      <w:szCs w:val="21"/>
                    </w:rPr>
                    <w:t>15m</w:t>
                  </w:r>
                </w:p>
              </w:tc>
              <w:tc>
                <w:tcPr>
                  <w:tcW w:w="909" w:type="dxa"/>
                  <w:tcBorders>
                    <w:bottom w:val="single" w:color="000000" w:sz="4" w:space="0"/>
                  </w:tcBorders>
                  <w:vAlign w:val="center"/>
                </w:tcPr>
                <w:p w14:paraId="736FF2CD">
                  <w:pPr>
                    <w:tabs>
                      <w:tab w:val="left" w:pos="1980"/>
                    </w:tabs>
                    <w:jc w:val="center"/>
                    <w:rPr>
                      <w:color w:val="auto"/>
                      <w:spacing w:val="0"/>
                      <w:kern w:val="0"/>
                      <w:szCs w:val="21"/>
                    </w:rPr>
                  </w:pPr>
                  <w:r>
                    <w:rPr>
                      <w:rFonts w:hint="eastAsia"/>
                      <w:color w:val="auto"/>
                      <w:spacing w:val="0"/>
                      <w:kern w:val="0"/>
                      <w:szCs w:val="21"/>
                      <w:lang w:val="en-US" w:eastAsia="zh-CN"/>
                    </w:rPr>
                    <w:t>0.20</w:t>
                  </w:r>
                  <w:r>
                    <w:rPr>
                      <w:color w:val="auto"/>
                      <w:spacing w:val="0"/>
                      <w:kern w:val="0"/>
                      <w:szCs w:val="21"/>
                    </w:rPr>
                    <w:t>m</w:t>
                  </w:r>
                </w:p>
              </w:tc>
              <w:tc>
                <w:tcPr>
                  <w:tcW w:w="1036" w:type="dxa"/>
                  <w:tcBorders>
                    <w:bottom w:val="single" w:color="000000" w:sz="4" w:space="0"/>
                  </w:tcBorders>
                  <w:vAlign w:val="center"/>
                </w:tcPr>
                <w:p w14:paraId="29509CBE">
                  <w:pPr>
                    <w:tabs>
                      <w:tab w:val="left" w:pos="1980"/>
                    </w:tabs>
                    <w:jc w:val="center"/>
                    <w:rPr>
                      <w:color w:val="auto"/>
                      <w:spacing w:val="0"/>
                      <w:kern w:val="0"/>
                      <w:szCs w:val="21"/>
                    </w:rPr>
                  </w:pPr>
                  <w:r>
                    <w:rPr>
                      <w:color w:val="auto"/>
                      <w:spacing w:val="0"/>
                      <w:kern w:val="0"/>
                      <w:szCs w:val="21"/>
                    </w:rPr>
                    <w:t>25℃</w:t>
                  </w:r>
                </w:p>
              </w:tc>
              <w:tc>
                <w:tcPr>
                  <w:tcW w:w="1028" w:type="dxa"/>
                  <w:tcBorders>
                    <w:bottom w:val="single" w:color="000000" w:sz="4" w:space="0"/>
                  </w:tcBorders>
                  <w:vAlign w:val="center"/>
                </w:tcPr>
                <w:p w14:paraId="64AF5010">
                  <w:pPr>
                    <w:tabs>
                      <w:tab w:val="left" w:pos="1980"/>
                    </w:tabs>
                    <w:jc w:val="center"/>
                    <w:rPr>
                      <w:color w:val="auto"/>
                      <w:spacing w:val="0"/>
                      <w:kern w:val="0"/>
                      <w:szCs w:val="21"/>
                    </w:rPr>
                  </w:pPr>
                  <w:r>
                    <w:rPr>
                      <w:rFonts w:hint="eastAsia"/>
                      <w:color w:val="auto"/>
                      <w:spacing w:val="0"/>
                      <w:kern w:val="0"/>
                      <w:szCs w:val="21"/>
                    </w:rPr>
                    <w:t>10</w:t>
                  </w:r>
                </w:p>
              </w:tc>
              <w:tc>
                <w:tcPr>
                  <w:tcW w:w="995" w:type="dxa"/>
                  <w:tcBorders>
                    <w:bottom w:val="single" w:color="000000" w:sz="4" w:space="0"/>
                  </w:tcBorders>
                  <w:vAlign w:val="center"/>
                </w:tcPr>
                <w:p w14:paraId="32843CD0">
                  <w:pPr>
                    <w:tabs>
                      <w:tab w:val="left" w:pos="1980"/>
                    </w:tabs>
                    <w:jc w:val="center"/>
                    <w:rPr>
                      <w:color w:val="auto"/>
                      <w:spacing w:val="0"/>
                      <w:kern w:val="0"/>
                      <w:szCs w:val="21"/>
                    </w:rPr>
                  </w:pPr>
                  <w:r>
                    <w:rPr>
                      <w:rFonts w:hint="eastAsia"/>
                      <w:color w:val="auto"/>
                      <w:spacing w:val="0"/>
                      <w:kern w:val="0"/>
                      <w:szCs w:val="21"/>
                    </w:rPr>
                    <w:t>3.5</w:t>
                  </w:r>
                </w:p>
              </w:tc>
            </w:tr>
            <w:tr w14:paraId="3B9F1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86" w:type="dxa"/>
                  <w:vMerge w:val="continue"/>
                  <w:vAlign w:val="center"/>
                </w:tcPr>
                <w:p w14:paraId="731929A4">
                  <w:pPr>
                    <w:jc w:val="center"/>
                    <w:rPr>
                      <w:color w:val="auto"/>
                      <w:spacing w:val="0"/>
                      <w:kern w:val="0"/>
                      <w:szCs w:val="21"/>
                    </w:rPr>
                  </w:pPr>
                </w:p>
              </w:tc>
              <w:tc>
                <w:tcPr>
                  <w:tcW w:w="1370" w:type="dxa"/>
                  <w:tcBorders>
                    <w:bottom w:val="single" w:color="000000" w:sz="4" w:space="0"/>
                  </w:tcBorders>
                  <w:vAlign w:val="center"/>
                </w:tcPr>
                <w:p w14:paraId="0852E760">
                  <w:pPr>
                    <w:adjustRightInd w:val="0"/>
                    <w:snapToGrid w:val="0"/>
                    <w:jc w:val="center"/>
                    <w:rPr>
                      <w:rFonts w:hint="eastAsia"/>
                      <w:b/>
                      <w:bCs/>
                      <w:color w:val="auto"/>
                      <w:spacing w:val="0"/>
                      <w:szCs w:val="21"/>
                      <w:u w:val="single"/>
                    </w:rPr>
                  </w:pPr>
                  <w:r>
                    <w:rPr>
                      <w:rFonts w:hint="eastAsia"/>
                      <w:b/>
                      <w:bCs/>
                      <w:color w:val="auto"/>
                      <w:spacing w:val="0"/>
                      <w:kern w:val="0"/>
                      <w:szCs w:val="21"/>
                      <w:u w:val="single"/>
                    </w:rPr>
                    <w:t>三车间</w:t>
                  </w:r>
                  <w:r>
                    <w:rPr>
                      <w:rFonts w:hint="eastAsia"/>
                      <w:b/>
                      <w:bCs/>
                      <w:color w:val="auto"/>
                      <w:spacing w:val="0"/>
                      <w:kern w:val="0"/>
                      <w:szCs w:val="21"/>
                      <w:u w:val="single"/>
                      <w:lang w:val="en-US" w:eastAsia="zh-CN"/>
                    </w:rPr>
                    <w:t>木加工、</w:t>
                  </w:r>
                  <w:r>
                    <w:rPr>
                      <w:rFonts w:hint="eastAsia"/>
                      <w:b/>
                      <w:bCs/>
                      <w:color w:val="auto"/>
                      <w:spacing w:val="0"/>
                      <w:kern w:val="0"/>
                      <w:szCs w:val="21"/>
                      <w:u w:val="single"/>
                    </w:rPr>
                    <w:t>砂光</w:t>
                  </w:r>
                </w:p>
              </w:tc>
              <w:tc>
                <w:tcPr>
                  <w:tcW w:w="1455" w:type="dxa"/>
                  <w:tcBorders>
                    <w:bottom w:val="single" w:color="000000" w:sz="4" w:space="0"/>
                  </w:tcBorders>
                  <w:vAlign w:val="center"/>
                </w:tcPr>
                <w:p w14:paraId="78B176EA">
                  <w:pPr>
                    <w:adjustRightInd w:val="0"/>
                    <w:snapToGrid w:val="0"/>
                    <w:jc w:val="center"/>
                    <w:rPr>
                      <w:color w:val="auto"/>
                      <w:spacing w:val="0"/>
                      <w:szCs w:val="21"/>
                    </w:rPr>
                  </w:pPr>
                  <w:r>
                    <w:rPr>
                      <w:color w:val="auto"/>
                      <w:spacing w:val="0"/>
                      <w:szCs w:val="21"/>
                    </w:rPr>
                    <w:t>颗粒物</w:t>
                  </w:r>
                </w:p>
              </w:tc>
              <w:tc>
                <w:tcPr>
                  <w:tcW w:w="1044" w:type="dxa"/>
                  <w:tcBorders>
                    <w:bottom w:val="single" w:color="000000" w:sz="4" w:space="0"/>
                  </w:tcBorders>
                  <w:vAlign w:val="center"/>
                </w:tcPr>
                <w:p w14:paraId="54BBD322">
                  <w:pPr>
                    <w:tabs>
                      <w:tab w:val="left" w:pos="1980"/>
                    </w:tabs>
                    <w:jc w:val="center"/>
                    <w:rPr>
                      <w:color w:val="auto"/>
                      <w:spacing w:val="0"/>
                      <w:kern w:val="0"/>
                      <w:szCs w:val="21"/>
                    </w:rPr>
                  </w:pPr>
                  <w:r>
                    <w:rPr>
                      <w:color w:val="auto"/>
                      <w:spacing w:val="0"/>
                      <w:kern w:val="0"/>
                      <w:szCs w:val="21"/>
                    </w:rPr>
                    <w:t>DA00</w:t>
                  </w:r>
                  <w:r>
                    <w:rPr>
                      <w:rFonts w:hint="eastAsia"/>
                      <w:color w:val="auto"/>
                      <w:spacing w:val="0"/>
                      <w:kern w:val="0"/>
                      <w:szCs w:val="21"/>
                    </w:rPr>
                    <w:t>3</w:t>
                  </w:r>
                </w:p>
              </w:tc>
              <w:tc>
                <w:tcPr>
                  <w:tcW w:w="936" w:type="dxa"/>
                  <w:vMerge w:val="continue"/>
                  <w:vAlign w:val="center"/>
                </w:tcPr>
                <w:p w14:paraId="59EF9591">
                  <w:pPr>
                    <w:jc w:val="center"/>
                    <w:rPr>
                      <w:color w:val="auto"/>
                      <w:spacing w:val="0"/>
                      <w:kern w:val="0"/>
                      <w:szCs w:val="21"/>
                    </w:rPr>
                  </w:pPr>
                </w:p>
              </w:tc>
              <w:tc>
                <w:tcPr>
                  <w:tcW w:w="1113" w:type="dxa"/>
                  <w:tcBorders>
                    <w:bottom w:val="single" w:color="000000" w:sz="4" w:space="0"/>
                  </w:tcBorders>
                  <w:vAlign w:val="center"/>
                </w:tcPr>
                <w:p w14:paraId="14E1EBE2">
                  <w:pPr>
                    <w:tabs>
                      <w:tab w:val="left" w:pos="1980"/>
                    </w:tabs>
                    <w:jc w:val="center"/>
                    <w:rPr>
                      <w:color w:val="auto"/>
                      <w:spacing w:val="0"/>
                      <w:kern w:val="0"/>
                      <w:szCs w:val="21"/>
                    </w:rPr>
                  </w:pPr>
                  <w:r>
                    <w:rPr>
                      <w:color w:val="auto"/>
                      <w:spacing w:val="0"/>
                      <w:kern w:val="0"/>
                      <w:szCs w:val="21"/>
                    </w:rPr>
                    <w:t>一般排放口</w:t>
                  </w:r>
                </w:p>
              </w:tc>
              <w:tc>
                <w:tcPr>
                  <w:tcW w:w="1278" w:type="dxa"/>
                  <w:tcBorders>
                    <w:bottom w:val="single" w:color="000000" w:sz="4" w:space="0"/>
                  </w:tcBorders>
                  <w:vAlign w:val="center"/>
                </w:tcPr>
                <w:p w14:paraId="786B6EDF">
                  <w:pPr>
                    <w:tabs>
                      <w:tab w:val="left" w:pos="1980"/>
                    </w:tabs>
                    <w:jc w:val="center"/>
                    <w:rPr>
                      <w:color w:val="auto"/>
                      <w:spacing w:val="0"/>
                      <w:kern w:val="0"/>
                      <w:szCs w:val="21"/>
                    </w:rPr>
                  </w:pPr>
                  <w:r>
                    <w:rPr>
                      <w:color w:val="auto"/>
                      <w:spacing w:val="0"/>
                      <w:kern w:val="0"/>
                      <w:szCs w:val="21"/>
                    </w:rPr>
                    <w:t>115.12157121</w:t>
                  </w:r>
                </w:p>
              </w:tc>
              <w:tc>
                <w:tcPr>
                  <w:tcW w:w="1217" w:type="dxa"/>
                  <w:tcBorders>
                    <w:bottom w:val="single" w:color="000000" w:sz="4" w:space="0"/>
                  </w:tcBorders>
                  <w:vAlign w:val="center"/>
                </w:tcPr>
                <w:p w14:paraId="039C35F4">
                  <w:pPr>
                    <w:tabs>
                      <w:tab w:val="left" w:pos="1980"/>
                    </w:tabs>
                    <w:jc w:val="center"/>
                    <w:rPr>
                      <w:color w:val="auto"/>
                      <w:spacing w:val="0"/>
                      <w:kern w:val="0"/>
                      <w:szCs w:val="21"/>
                    </w:rPr>
                  </w:pPr>
                  <w:r>
                    <w:rPr>
                      <w:color w:val="auto"/>
                      <w:spacing w:val="0"/>
                      <w:kern w:val="0"/>
                      <w:szCs w:val="21"/>
                    </w:rPr>
                    <w:t>35.85874439</w:t>
                  </w:r>
                </w:p>
              </w:tc>
              <w:tc>
                <w:tcPr>
                  <w:tcW w:w="652" w:type="dxa"/>
                  <w:tcBorders>
                    <w:bottom w:val="single" w:color="000000" w:sz="4" w:space="0"/>
                  </w:tcBorders>
                  <w:vAlign w:val="center"/>
                </w:tcPr>
                <w:p w14:paraId="021BE36F">
                  <w:pPr>
                    <w:tabs>
                      <w:tab w:val="left" w:pos="1980"/>
                    </w:tabs>
                    <w:jc w:val="center"/>
                    <w:rPr>
                      <w:color w:val="auto"/>
                      <w:spacing w:val="0"/>
                      <w:kern w:val="0"/>
                      <w:szCs w:val="21"/>
                    </w:rPr>
                  </w:pPr>
                  <w:r>
                    <w:rPr>
                      <w:color w:val="auto"/>
                      <w:spacing w:val="0"/>
                      <w:kern w:val="0"/>
                      <w:szCs w:val="21"/>
                    </w:rPr>
                    <w:t>15m</w:t>
                  </w:r>
                </w:p>
              </w:tc>
              <w:tc>
                <w:tcPr>
                  <w:tcW w:w="909" w:type="dxa"/>
                  <w:tcBorders>
                    <w:bottom w:val="single" w:color="000000" w:sz="4" w:space="0"/>
                  </w:tcBorders>
                  <w:vAlign w:val="center"/>
                </w:tcPr>
                <w:p w14:paraId="419DA3AB">
                  <w:pPr>
                    <w:tabs>
                      <w:tab w:val="left" w:pos="1980"/>
                    </w:tabs>
                    <w:jc w:val="center"/>
                    <w:rPr>
                      <w:color w:val="auto"/>
                      <w:spacing w:val="0"/>
                      <w:kern w:val="0"/>
                      <w:szCs w:val="21"/>
                    </w:rPr>
                  </w:pPr>
                  <w:r>
                    <w:rPr>
                      <w:rFonts w:hint="eastAsia"/>
                      <w:b/>
                      <w:bCs/>
                      <w:color w:val="auto"/>
                      <w:spacing w:val="0"/>
                      <w:kern w:val="0"/>
                      <w:szCs w:val="21"/>
                      <w:u w:val="single"/>
                      <w:lang w:val="en-US" w:eastAsia="zh-CN"/>
                    </w:rPr>
                    <w:t>0.40</w:t>
                  </w:r>
                  <w:r>
                    <w:rPr>
                      <w:color w:val="auto"/>
                      <w:spacing w:val="0"/>
                      <w:kern w:val="0"/>
                      <w:szCs w:val="21"/>
                    </w:rPr>
                    <w:t>m</w:t>
                  </w:r>
                </w:p>
              </w:tc>
              <w:tc>
                <w:tcPr>
                  <w:tcW w:w="1036" w:type="dxa"/>
                  <w:tcBorders>
                    <w:bottom w:val="single" w:color="000000" w:sz="4" w:space="0"/>
                  </w:tcBorders>
                  <w:vAlign w:val="center"/>
                </w:tcPr>
                <w:p w14:paraId="06E58B9B">
                  <w:pPr>
                    <w:tabs>
                      <w:tab w:val="left" w:pos="1980"/>
                    </w:tabs>
                    <w:jc w:val="center"/>
                    <w:rPr>
                      <w:color w:val="auto"/>
                      <w:spacing w:val="0"/>
                      <w:kern w:val="0"/>
                      <w:szCs w:val="21"/>
                    </w:rPr>
                  </w:pPr>
                  <w:r>
                    <w:rPr>
                      <w:color w:val="auto"/>
                      <w:spacing w:val="0"/>
                      <w:kern w:val="0"/>
                      <w:szCs w:val="21"/>
                    </w:rPr>
                    <w:t>25℃</w:t>
                  </w:r>
                </w:p>
              </w:tc>
              <w:tc>
                <w:tcPr>
                  <w:tcW w:w="1028" w:type="dxa"/>
                  <w:tcBorders>
                    <w:bottom w:val="single" w:color="000000" w:sz="4" w:space="0"/>
                  </w:tcBorders>
                  <w:vAlign w:val="center"/>
                </w:tcPr>
                <w:p w14:paraId="205C9A75">
                  <w:pPr>
                    <w:tabs>
                      <w:tab w:val="left" w:pos="1980"/>
                    </w:tabs>
                    <w:jc w:val="center"/>
                    <w:rPr>
                      <w:rFonts w:hint="eastAsia"/>
                      <w:color w:val="auto"/>
                      <w:spacing w:val="0"/>
                      <w:kern w:val="0"/>
                      <w:szCs w:val="21"/>
                    </w:rPr>
                  </w:pPr>
                  <w:r>
                    <w:rPr>
                      <w:rFonts w:hint="eastAsia"/>
                      <w:color w:val="auto"/>
                      <w:spacing w:val="0"/>
                      <w:kern w:val="0"/>
                      <w:szCs w:val="21"/>
                    </w:rPr>
                    <w:t>10</w:t>
                  </w:r>
                </w:p>
              </w:tc>
              <w:tc>
                <w:tcPr>
                  <w:tcW w:w="995" w:type="dxa"/>
                  <w:tcBorders>
                    <w:bottom w:val="single" w:color="000000" w:sz="4" w:space="0"/>
                  </w:tcBorders>
                  <w:vAlign w:val="center"/>
                </w:tcPr>
                <w:p w14:paraId="78378589">
                  <w:pPr>
                    <w:tabs>
                      <w:tab w:val="left" w:pos="1980"/>
                    </w:tabs>
                    <w:jc w:val="center"/>
                    <w:rPr>
                      <w:rFonts w:hint="eastAsia"/>
                      <w:color w:val="auto"/>
                      <w:spacing w:val="0"/>
                      <w:kern w:val="0"/>
                      <w:szCs w:val="21"/>
                    </w:rPr>
                  </w:pPr>
                  <w:r>
                    <w:rPr>
                      <w:rFonts w:hint="eastAsia"/>
                      <w:color w:val="auto"/>
                      <w:spacing w:val="0"/>
                      <w:kern w:val="0"/>
                      <w:szCs w:val="21"/>
                    </w:rPr>
                    <w:t>3.5</w:t>
                  </w:r>
                </w:p>
              </w:tc>
            </w:tr>
            <w:tr w14:paraId="514D0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86" w:type="dxa"/>
                  <w:vMerge w:val="continue"/>
                  <w:vAlign w:val="center"/>
                </w:tcPr>
                <w:p w14:paraId="32553E44">
                  <w:pPr>
                    <w:jc w:val="center"/>
                    <w:rPr>
                      <w:color w:val="auto"/>
                      <w:spacing w:val="0"/>
                      <w:kern w:val="0"/>
                      <w:szCs w:val="21"/>
                    </w:rPr>
                  </w:pPr>
                </w:p>
              </w:tc>
              <w:tc>
                <w:tcPr>
                  <w:tcW w:w="1370" w:type="dxa"/>
                  <w:vMerge w:val="restart"/>
                  <w:tcBorders>
                    <w:top w:val="single" w:color="000000" w:sz="4" w:space="0"/>
                  </w:tcBorders>
                  <w:vAlign w:val="center"/>
                </w:tcPr>
                <w:p w14:paraId="0A37DD4D">
                  <w:pPr>
                    <w:adjustRightInd w:val="0"/>
                    <w:snapToGrid w:val="0"/>
                    <w:jc w:val="center"/>
                    <w:rPr>
                      <w:rFonts w:hint="default" w:eastAsia="宋体"/>
                      <w:snapToGrid w:val="0"/>
                      <w:color w:val="auto"/>
                      <w:spacing w:val="0"/>
                      <w:kern w:val="0"/>
                      <w:szCs w:val="21"/>
                      <w:lang w:val="en-US" w:eastAsia="zh-CN"/>
                    </w:rPr>
                  </w:pPr>
                  <w:r>
                    <w:rPr>
                      <w:rFonts w:hint="eastAsia"/>
                      <w:b/>
                      <w:bCs/>
                      <w:color w:val="auto"/>
                      <w:spacing w:val="0"/>
                      <w:szCs w:val="21"/>
                      <w:u w:val="single"/>
                    </w:rPr>
                    <w:t>拼版冷压、贴皮热压、封边、</w:t>
                  </w:r>
                  <w:r>
                    <w:rPr>
                      <w:rFonts w:hint="eastAsia"/>
                      <w:b/>
                      <w:bCs/>
                      <w:color w:val="auto"/>
                      <w:spacing w:val="0"/>
                      <w:szCs w:val="21"/>
                      <w:u w:val="single"/>
                      <w:lang w:val="en-US" w:eastAsia="zh-CN"/>
                    </w:rPr>
                    <w:t>调漆、</w:t>
                  </w:r>
                  <w:r>
                    <w:rPr>
                      <w:rFonts w:hint="eastAsia"/>
                      <w:b/>
                      <w:bCs/>
                      <w:color w:val="auto"/>
                      <w:spacing w:val="0"/>
                      <w:szCs w:val="21"/>
                      <w:u w:val="single"/>
                    </w:rPr>
                    <w:t>喷漆、晾干</w:t>
                  </w:r>
                  <w:r>
                    <w:rPr>
                      <w:rFonts w:hint="eastAsia"/>
                      <w:b/>
                      <w:bCs/>
                      <w:color w:val="auto"/>
                      <w:spacing w:val="0"/>
                      <w:szCs w:val="21"/>
                      <w:u w:val="single"/>
                      <w:lang w:eastAsia="zh-CN"/>
                    </w:rPr>
                    <w:t>、</w:t>
                  </w:r>
                  <w:r>
                    <w:rPr>
                      <w:rFonts w:hint="eastAsia"/>
                      <w:b/>
                      <w:bCs/>
                      <w:color w:val="auto"/>
                      <w:spacing w:val="0"/>
                      <w:szCs w:val="21"/>
                      <w:u w:val="single"/>
                      <w:lang w:val="en-US" w:eastAsia="zh-CN"/>
                    </w:rPr>
                    <w:t>修色以及危废暂存</w:t>
                  </w:r>
                </w:p>
              </w:tc>
              <w:tc>
                <w:tcPr>
                  <w:tcW w:w="1455" w:type="dxa"/>
                  <w:tcBorders>
                    <w:top w:val="single" w:color="000000" w:sz="4" w:space="0"/>
                    <w:bottom w:val="single" w:color="000000" w:sz="4" w:space="0"/>
                  </w:tcBorders>
                  <w:vAlign w:val="center"/>
                </w:tcPr>
                <w:p w14:paraId="7BBEF7F6">
                  <w:pPr>
                    <w:adjustRightInd w:val="0"/>
                    <w:snapToGrid w:val="0"/>
                    <w:jc w:val="center"/>
                    <w:rPr>
                      <w:rFonts w:hint="eastAsia"/>
                      <w:snapToGrid w:val="0"/>
                      <w:color w:val="auto"/>
                      <w:spacing w:val="0"/>
                      <w:kern w:val="0"/>
                      <w:szCs w:val="21"/>
                    </w:rPr>
                  </w:pPr>
                  <w:r>
                    <w:rPr>
                      <w:rFonts w:hint="eastAsia"/>
                      <w:color w:val="auto"/>
                      <w:spacing w:val="0"/>
                      <w:szCs w:val="21"/>
                    </w:rPr>
                    <w:t>颗粒物</w:t>
                  </w:r>
                </w:p>
              </w:tc>
              <w:tc>
                <w:tcPr>
                  <w:tcW w:w="1044" w:type="dxa"/>
                  <w:vMerge w:val="restart"/>
                  <w:tcBorders>
                    <w:top w:val="single" w:color="000000" w:sz="4" w:space="0"/>
                  </w:tcBorders>
                  <w:vAlign w:val="center"/>
                </w:tcPr>
                <w:p w14:paraId="6266F49F">
                  <w:pPr>
                    <w:tabs>
                      <w:tab w:val="left" w:pos="1980"/>
                    </w:tabs>
                    <w:jc w:val="center"/>
                    <w:rPr>
                      <w:color w:val="auto"/>
                      <w:spacing w:val="0"/>
                      <w:kern w:val="0"/>
                      <w:szCs w:val="21"/>
                    </w:rPr>
                  </w:pPr>
                  <w:r>
                    <w:rPr>
                      <w:rFonts w:hint="eastAsia"/>
                      <w:color w:val="auto"/>
                      <w:spacing w:val="0"/>
                      <w:kern w:val="0"/>
                      <w:szCs w:val="21"/>
                    </w:rPr>
                    <w:t>DA004</w:t>
                  </w:r>
                </w:p>
              </w:tc>
              <w:tc>
                <w:tcPr>
                  <w:tcW w:w="936" w:type="dxa"/>
                  <w:vMerge w:val="continue"/>
                  <w:vAlign w:val="center"/>
                </w:tcPr>
                <w:p w14:paraId="047ADB26">
                  <w:pPr>
                    <w:jc w:val="center"/>
                    <w:rPr>
                      <w:rFonts w:hint="eastAsia"/>
                      <w:color w:val="auto"/>
                      <w:spacing w:val="0"/>
                      <w:kern w:val="0"/>
                      <w:szCs w:val="21"/>
                    </w:rPr>
                  </w:pPr>
                </w:p>
              </w:tc>
              <w:tc>
                <w:tcPr>
                  <w:tcW w:w="1113" w:type="dxa"/>
                  <w:vMerge w:val="restart"/>
                  <w:tcBorders>
                    <w:top w:val="single" w:color="000000" w:sz="4" w:space="0"/>
                  </w:tcBorders>
                  <w:vAlign w:val="center"/>
                </w:tcPr>
                <w:p w14:paraId="4F6340ED">
                  <w:pPr>
                    <w:tabs>
                      <w:tab w:val="left" w:pos="1980"/>
                    </w:tabs>
                    <w:jc w:val="center"/>
                    <w:rPr>
                      <w:color w:val="auto"/>
                      <w:spacing w:val="0"/>
                      <w:kern w:val="0"/>
                      <w:szCs w:val="21"/>
                    </w:rPr>
                  </w:pPr>
                  <w:r>
                    <w:rPr>
                      <w:color w:val="auto"/>
                      <w:spacing w:val="0"/>
                      <w:kern w:val="0"/>
                      <w:szCs w:val="21"/>
                    </w:rPr>
                    <w:t>一般排放口</w:t>
                  </w:r>
                </w:p>
              </w:tc>
              <w:tc>
                <w:tcPr>
                  <w:tcW w:w="1278" w:type="dxa"/>
                  <w:vMerge w:val="restart"/>
                  <w:tcBorders>
                    <w:top w:val="single" w:color="000000" w:sz="4" w:space="0"/>
                  </w:tcBorders>
                  <w:vAlign w:val="center"/>
                </w:tcPr>
                <w:p w14:paraId="09225BCE">
                  <w:pPr>
                    <w:tabs>
                      <w:tab w:val="left" w:pos="1980"/>
                    </w:tabs>
                    <w:jc w:val="center"/>
                    <w:rPr>
                      <w:color w:val="auto"/>
                      <w:spacing w:val="0"/>
                      <w:kern w:val="0"/>
                      <w:szCs w:val="21"/>
                    </w:rPr>
                  </w:pPr>
                  <w:r>
                    <w:rPr>
                      <w:color w:val="auto"/>
                      <w:spacing w:val="0"/>
                      <w:kern w:val="0"/>
                      <w:szCs w:val="21"/>
                    </w:rPr>
                    <w:t>115.12116642</w:t>
                  </w:r>
                </w:p>
              </w:tc>
              <w:tc>
                <w:tcPr>
                  <w:tcW w:w="1217" w:type="dxa"/>
                  <w:vMerge w:val="restart"/>
                  <w:tcBorders>
                    <w:top w:val="single" w:color="000000" w:sz="4" w:space="0"/>
                  </w:tcBorders>
                  <w:vAlign w:val="center"/>
                </w:tcPr>
                <w:p w14:paraId="5792EAE8">
                  <w:pPr>
                    <w:tabs>
                      <w:tab w:val="left" w:pos="1980"/>
                    </w:tabs>
                    <w:jc w:val="center"/>
                    <w:rPr>
                      <w:color w:val="auto"/>
                      <w:spacing w:val="0"/>
                      <w:kern w:val="0"/>
                      <w:szCs w:val="21"/>
                    </w:rPr>
                  </w:pPr>
                  <w:r>
                    <w:rPr>
                      <w:color w:val="auto"/>
                      <w:spacing w:val="0"/>
                      <w:kern w:val="0"/>
                      <w:szCs w:val="21"/>
                    </w:rPr>
                    <w:t>35.85823149</w:t>
                  </w:r>
                </w:p>
              </w:tc>
              <w:tc>
                <w:tcPr>
                  <w:tcW w:w="652" w:type="dxa"/>
                  <w:vMerge w:val="restart"/>
                  <w:tcBorders>
                    <w:top w:val="single" w:color="000000" w:sz="4" w:space="0"/>
                  </w:tcBorders>
                  <w:vAlign w:val="center"/>
                </w:tcPr>
                <w:p w14:paraId="35396CD4">
                  <w:pPr>
                    <w:jc w:val="center"/>
                    <w:rPr>
                      <w:color w:val="auto"/>
                      <w:spacing w:val="0"/>
                      <w:kern w:val="0"/>
                      <w:szCs w:val="21"/>
                    </w:rPr>
                  </w:pPr>
                  <w:r>
                    <w:rPr>
                      <w:color w:val="auto"/>
                      <w:spacing w:val="0"/>
                      <w:kern w:val="0"/>
                      <w:szCs w:val="21"/>
                    </w:rPr>
                    <w:t>15m</w:t>
                  </w:r>
                </w:p>
              </w:tc>
              <w:tc>
                <w:tcPr>
                  <w:tcW w:w="909" w:type="dxa"/>
                  <w:vMerge w:val="restart"/>
                  <w:tcBorders>
                    <w:top w:val="single" w:color="000000" w:sz="4" w:space="0"/>
                  </w:tcBorders>
                  <w:vAlign w:val="center"/>
                </w:tcPr>
                <w:p w14:paraId="2FDB18FA">
                  <w:pPr>
                    <w:jc w:val="center"/>
                    <w:rPr>
                      <w:color w:val="auto"/>
                      <w:spacing w:val="0"/>
                      <w:kern w:val="0"/>
                      <w:szCs w:val="21"/>
                    </w:rPr>
                  </w:pPr>
                  <w:r>
                    <w:rPr>
                      <w:rFonts w:hint="eastAsia"/>
                      <w:color w:val="auto"/>
                      <w:spacing w:val="0"/>
                      <w:kern w:val="0"/>
                      <w:szCs w:val="21"/>
                      <w:lang w:val="en-US" w:eastAsia="zh-CN"/>
                    </w:rPr>
                    <w:t>1.2</w:t>
                  </w:r>
                  <w:r>
                    <w:rPr>
                      <w:color w:val="auto"/>
                      <w:spacing w:val="0"/>
                      <w:kern w:val="0"/>
                      <w:szCs w:val="21"/>
                    </w:rPr>
                    <w:t>m</w:t>
                  </w:r>
                </w:p>
              </w:tc>
              <w:tc>
                <w:tcPr>
                  <w:tcW w:w="1036" w:type="dxa"/>
                  <w:vMerge w:val="restart"/>
                  <w:tcBorders>
                    <w:top w:val="single" w:color="000000" w:sz="4" w:space="0"/>
                  </w:tcBorders>
                  <w:vAlign w:val="center"/>
                </w:tcPr>
                <w:p w14:paraId="5F32CC9B">
                  <w:pPr>
                    <w:tabs>
                      <w:tab w:val="left" w:pos="1980"/>
                    </w:tabs>
                    <w:jc w:val="center"/>
                    <w:rPr>
                      <w:color w:val="auto"/>
                      <w:spacing w:val="0"/>
                      <w:kern w:val="0"/>
                      <w:szCs w:val="21"/>
                    </w:rPr>
                  </w:pPr>
                  <w:r>
                    <w:rPr>
                      <w:rFonts w:hint="eastAsia"/>
                      <w:color w:val="auto"/>
                      <w:spacing w:val="0"/>
                      <w:kern w:val="0"/>
                      <w:szCs w:val="21"/>
                      <w:lang w:val="en-US" w:eastAsia="zh-CN"/>
                    </w:rPr>
                    <w:t>30</w:t>
                  </w:r>
                  <w:r>
                    <w:rPr>
                      <w:color w:val="auto"/>
                      <w:spacing w:val="0"/>
                      <w:kern w:val="0"/>
                      <w:szCs w:val="21"/>
                    </w:rPr>
                    <w:t>℃</w:t>
                  </w:r>
                </w:p>
              </w:tc>
              <w:tc>
                <w:tcPr>
                  <w:tcW w:w="1028" w:type="dxa"/>
                  <w:tcBorders>
                    <w:top w:val="single" w:color="000000" w:sz="4" w:space="0"/>
                    <w:bottom w:val="single" w:color="000000" w:sz="4" w:space="0"/>
                  </w:tcBorders>
                  <w:vAlign w:val="center"/>
                </w:tcPr>
                <w:p w14:paraId="35DE51B0">
                  <w:pPr>
                    <w:tabs>
                      <w:tab w:val="left" w:pos="1980"/>
                    </w:tabs>
                    <w:jc w:val="center"/>
                    <w:rPr>
                      <w:color w:val="auto"/>
                      <w:spacing w:val="0"/>
                      <w:kern w:val="0"/>
                      <w:szCs w:val="21"/>
                    </w:rPr>
                  </w:pPr>
                  <w:r>
                    <w:rPr>
                      <w:rFonts w:hint="eastAsia"/>
                      <w:color w:val="auto"/>
                      <w:spacing w:val="0"/>
                      <w:kern w:val="0"/>
                      <w:szCs w:val="21"/>
                    </w:rPr>
                    <w:t>10</w:t>
                  </w:r>
                </w:p>
              </w:tc>
              <w:tc>
                <w:tcPr>
                  <w:tcW w:w="995" w:type="dxa"/>
                  <w:tcBorders>
                    <w:top w:val="single" w:color="000000" w:sz="4" w:space="0"/>
                    <w:bottom w:val="single" w:color="000000" w:sz="4" w:space="0"/>
                  </w:tcBorders>
                  <w:vAlign w:val="center"/>
                </w:tcPr>
                <w:p w14:paraId="43000FD5">
                  <w:pPr>
                    <w:tabs>
                      <w:tab w:val="left" w:pos="1980"/>
                    </w:tabs>
                    <w:jc w:val="center"/>
                    <w:rPr>
                      <w:color w:val="auto"/>
                      <w:spacing w:val="0"/>
                      <w:kern w:val="0"/>
                      <w:szCs w:val="21"/>
                    </w:rPr>
                  </w:pPr>
                  <w:r>
                    <w:rPr>
                      <w:rFonts w:hint="eastAsia"/>
                      <w:color w:val="auto"/>
                      <w:spacing w:val="0"/>
                      <w:kern w:val="0"/>
                      <w:szCs w:val="21"/>
                    </w:rPr>
                    <w:t>3.5</w:t>
                  </w:r>
                </w:p>
              </w:tc>
            </w:tr>
            <w:tr w14:paraId="5F34D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86" w:type="dxa"/>
                  <w:vMerge w:val="continue"/>
                  <w:vAlign w:val="center"/>
                </w:tcPr>
                <w:p w14:paraId="22ED66F0">
                  <w:pPr>
                    <w:jc w:val="center"/>
                    <w:rPr>
                      <w:color w:val="auto"/>
                      <w:spacing w:val="0"/>
                      <w:kern w:val="0"/>
                      <w:szCs w:val="21"/>
                    </w:rPr>
                  </w:pPr>
                </w:p>
              </w:tc>
              <w:tc>
                <w:tcPr>
                  <w:tcW w:w="1370" w:type="dxa"/>
                  <w:vMerge w:val="continue"/>
                  <w:vAlign w:val="center"/>
                </w:tcPr>
                <w:p w14:paraId="14AD7C47">
                  <w:pPr>
                    <w:adjustRightInd w:val="0"/>
                    <w:snapToGrid w:val="0"/>
                    <w:jc w:val="center"/>
                    <w:rPr>
                      <w:rFonts w:hint="eastAsia"/>
                      <w:snapToGrid w:val="0"/>
                      <w:color w:val="auto"/>
                      <w:spacing w:val="0"/>
                      <w:kern w:val="0"/>
                      <w:szCs w:val="21"/>
                    </w:rPr>
                  </w:pPr>
                </w:p>
              </w:tc>
              <w:tc>
                <w:tcPr>
                  <w:tcW w:w="1455" w:type="dxa"/>
                  <w:tcBorders>
                    <w:top w:val="single" w:color="000000" w:sz="4" w:space="0"/>
                    <w:bottom w:val="single" w:color="000000" w:sz="4" w:space="0"/>
                  </w:tcBorders>
                  <w:vAlign w:val="center"/>
                </w:tcPr>
                <w:p w14:paraId="1998C9F3">
                  <w:pPr>
                    <w:adjustRightInd w:val="0"/>
                    <w:snapToGrid w:val="0"/>
                    <w:jc w:val="center"/>
                    <w:rPr>
                      <w:rFonts w:hint="eastAsia"/>
                      <w:color w:val="auto"/>
                      <w:spacing w:val="0"/>
                      <w:szCs w:val="21"/>
                    </w:rPr>
                  </w:pPr>
                  <w:r>
                    <w:rPr>
                      <w:color w:val="auto"/>
                      <w:spacing w:val="0"/>
                      <w:szCs w:val="21"/>
                    </w:rPr>
                    <w:t>非甲烷总烃</w:t>
                  </w:r>
                </w:p>
              </w:tc>
              <w:tc>
                <w:tcPr>
                  <w:tcW w:w="1044" w:type="dxa"/>
                  <w:vMerge w:val="continue"/>
                  <w:vAlign w:val="center"/>
                </w:tcPr>
                <w:p w14:paraId="6243E210">
                  <w:pPr>
                    <w:tabs>
                      <w:tab w:val="left" w:pos="1980"/>
                    </w:tabs>
                    <w:jc w:val="center"/>
                    <w:rPr>
                      <w:color w:val="auto"/>
                      <w:spacing w:val="0"/>
                      <w:kern w:val="0"/>
                      <w:szCs w:val="21"/>
                    </w:rPr>
                  </w:pPr>
                </w:p>
              </w:tc>
              <w:tc>
                <w:tcPr>
                  <w:tcW w:w="936" w:type="dxa"/>
                  <w:vMerge w:val="continue"/>
                  <w:vAlign w:val="center"/>
                </w:tcPr>
                <w:p w14:paraId="6C4EF80E">
                  <w:pPr>
                    <w:jc w:val="center"/>
                    <w:rPr>
                      <w:rFonts w:hint="eastAsia"/>
                      <w:color w:val="auto"/>
                      <w:spacing w:val="0"/>
                      <w:kern w:val="0"/>
                      <w:szCs w:val="21"/>
                    </w:rPr>
                  </w:pPr>
                </w:p>
              </w:tc>
              <w:tc>
                <w:tcPr>
                  <w:tcW w:w="1113" w:type="dxa"/>
                  <w:vMerge w:val="continue"/>
                  <w:vAlign w:val="center"/>
                </w:tcPr>
                <w:p w14:paraId="63D05BF2">
                  <w:pPr>
                    <w:tabs>
                      <w:tab w:val="left" w:pos="1980"/>
                    </w:tabs>
                    <w:jc w:val="center"/>
                    <w:rPr>
                      <w:color w:val="auto"/>
                      <w:spacing w:val="0"/>
                      <w:kern w:val="0"/>
                      <w:szCs w:val="21"/>
                    </w:rPr>
                  </w:pPr>
                </w:p>
              </w:tc>
              <w:tc>
                <w:tcPr>
                  <w:tcW w:w="1278" w:type="dxa"/>
                  <w:vMerge w:val="continue"/>
                  <w:vAlign w:val="center"/>
                </w:tcPr>
                <w:p w14:paraId="71B728F1">
                  <w:pPr>
                    <w:tabs>
                      <w:tab w:val="left" w:pos="1980"/>
                    </w:tabs>
                    <w:jc w:val="center"/>
                    <w:rPr>
                      <w:color w:val="auto"/>
                      <w:spacing w:val="0"/>
                      <w:kern w:val="0"/>
                      <w:szCs w:val="21"/>
                    </w:rPr>
                  </w:pPr>
                </w:p>
              </w:tc>
              <w:tc>
                <w:tcPr>
                  <w:tcW w:w="1217" w:type="dxa"/>
                  <w:vMerge w:val="continue"/>
                  <w:vAlign w:val="center"/>
                </w:tcPr>
                <w:p w14:paraId="68AC3C28">
                  <w:pPr>
                    <w:tabs>
                      <w:tab w:val="left" w:pos="1980"/>
                    </w:tabs>
                    <w:jc w:val="center"/>
                    <w:rPr>
                      <w:color w:val="auto"/>
                      <w:spacing w:val="0"/>
                      <w:kern w:val="0"/>
                      <w:szCs w:val="21"/>
                    </w:rPr>
                  </w:pPr>
                </w:p>
              </w:tc>
              <w:tc>
                <w:tcPr>
                  <w:tcW w:w="652" w:type="dxa"/>
                  <w:vMerge w:val="continue"/>
                  <w:vAlign w:val="center"/>
                </w:tcPr>
                <w:p w14:paraId="64B09A8B">
                  <w:pPr>
                    <w:tabs>
                      <w:tab w:val="left" w:pos="1980"/>
                    </w:tabs>
                    <w:jc w:val="center"/>
                    <w:rPr>
                      <w:color w:val="auto"/>
                      <w:spacing w:val="0"/>
                      <w:kern w:val="0"/>
                      <w:szCs w:val="21"/>
                    </w:rPr>
                  </w:pPr>
                </w:p>
              </w:tc>
              <w:tc>
                <w:tcPr>
                  <w:tcW w:w="909" w:type="dxa"/>
                  <w:vMerge w:val="continue"/>
                  <w:vAlign w:val="center"/>
                </w:tcPr>
                <w:p w14:paraId="142A9A4D">
                  <w:pPr>
                    <w:tabs>
                      <w:tab w:val="left" w:pos="1980"/>
                    </w:tabs>
                    <w:jc w:val="center"/>
                    <w:rPr>
                      <w:color w:val="auto"/>
                      <w:spacing w:val="0"/>
                      <w:kern w:val="0"/>
                      <w:szCs w:val="21"/>
                    </w:rPr>
                  </w:pPr>
                </w:p>
              </w:tc>
              <w:tc>
                <w:tcPr>
                  <w:tcW w:w="1036" w:type="dxa"/>
                  <w:vMerge w:val="continue"/>
                  <w:vAlign w:val="center"/>
                </w:tcPr>
                <w:p w14:paraId="31F3E3CF">
                  <w:pPr>
                    <w:tabs>
                      <w:tab w:val="left" w:pos="1980"/>
                    </w:tabs>
                    <w:jc w:val="center"/>
                    <w:rPr>
                      <w:color w:val="auto"/>
                      <w:spacing w:val="0"/>
                      <w:kern w:val="0"/>
                      <w:szCs w:val="21"/>
                    </w:rPr>
                  </w:pPr>
                </w:p>
              </w:tc>
              <w:tc>
                <w:tcPr>
                  <w:tcW w:w="1028" w:type="dxa"/>
                  <w:tcBorders>
                    <w:top w:val="single" w:color="000000" w:sz="4" w:space="0"/>
                    <w:bottom w:val="single" w:color="000000" w:sz="4" w:space="0"/>
                  </w:tcBorders>
                  <w:vAlign w:val="center"/>
                </w:tcPr>
                <w:p w14:paraId="4796228B">
                  <w:pPr>
                    <w:tabs>
                      <w:tab w:val="left" w:pos="1980"/>
                    </w:tabs>
                    <w:jc w:val="center"/>
                    <w:rPr>
                      <w:color w:val="auto"/>
                      <w:spacing w:val="0"/>
                      <w:kern w:val="0"/>
                      <w:szCs w:val="21"/>
                    </w:rPr>
                  </w:pPr>
                  <w:r>
                    <w:rPr>
                      <w:rFonts w:hint="eastAsia"/>
                      <w:color w:val="auto"/>
                      <w:spacing w:val="0"/>
                      <w:kern w:val="0"/>
                      <w:szCs w:val="21"/>
                    </w:rPr>
                    <w:t>20</w:t>
                  </w:r>
                </w:p>
              </w:tc>
              <w:tc>
                <w:tcPr>
                  <w:tcW w:w="995" w:type="dxa"/>
                  <w:tcBorders>
                    <w:top w:val="single" w:color="000000" w:sz="4" w:space="0"/>
                    <w:bottom w:val="single" w:color="000000" w:sz="4" w:space="0"/>
                  </w:tcBorders>
                  <w:vAlign w:val="center"/>
                </w:tcPr>
                <w:p w14:paraId="1BA558B6">
                  <w:pPr>
                    <w:jc w:val="center"/>
                    <w:rPr>
                      <w:rFonts w:hint="eastAsia"/>
                      <w:color w:val="auto"/>
                      <w:spacing w:val="0"/>
                      <w:kern w:val="0"/>
                      <w:szCs w:val="21"/>
                    </w:rPr>
                  </w:pPr>
                  <w:r>
                    <w:rPr>
                      <w:rFonts w:hint="eastAsia"/>
                      <w:color w:val="auto"/>
                      <w:spacing w:val="0"/>
                      <w:kern w:val="0"/>
                      <w:szCs w:val="21"/>
                    </w:rPr>
                    <w:t>/</w:t>
                  </w:r>
                </w:p>
              </w:tc>
            </w:tr>
          </w:tbl>
          <w:p w14:paraId="3BA7A198">
            <w:pPr>
              <w:snapToGrid w:val="0"/>
              <w:spacing w:line="360" w:lineRule="auto"/>
              <w:rPr>
                <w:rFonts w:hint="eastAsia" w:ascii="宋体" w:hAnsi="宋体" w:cs="宋体"/>
                <w:bCs/>
                <w:color w:val="auto"/>
                <w:spacing w:val="-10"/>
                <w:sz w:val="24"/>
              </w:rPr>
            </w:pPr>
          </w:p>
        </w:tc>
      </w:tr>
    </w:tbl>
    <w:p w14:paraId="2FCDC5EA">
      <w:pPr>
        <w:adjustRightInd w:val="0"/>
        <w:snapToGrid w:val="0"/>
        <w:spacing w:line="360" w:lineRule="auto"/>
        <w:rPr>
          <w:rFonts w:hint="eastAsia" w:ascii="宋体" w:cs="宋体"/>
          <w:b/>
          <w:color w:val="auto"/>
          <w:kern w:val="0"/>
          <w:sz w:val="28"/>
          <w:szCs w:val="28"/>
        </w:rPr>
        <w:sectPr>
          <w:pgSz w:w="16838" w:h="11905" w:orient="landscape"/>
          <w:pgMar w:top="1417" w:right="1417" w:bottom="1417" w:left="1417" w:header="851" w:footer="1077" w:gutter="0"/>
          <w:pgNumType w:fmt="decimal"/>
          <w:cols w:space="720" w:num="1"/>
          <w:docGrid w:linePitch="312" w:charSpace="0"/>
        </w:sectPr>
      </w:pPr>
    </w:p>
    <w:tbl>
      <w:tblPr>
        <w:tblStyle w:val="25"/>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4"/>
        <w:gridCol w:w="8833"/>
      </w:tblGrid>
      <w:tr w14:paraId="0ED57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8" w:hRule="atLeast"/>
        </w:trPr>
        <w:tc>
          <w:tcPr>
            <w:tcW w:w="454" w:type="dxa"/>
            <w:vAlign w:val="center"/>
          </w:tcPr>
          <w:p w14:paraId="46E055BA">
            <w:pPr>
              <w:adjustRightInd w:val="0"/>
              <w:snapToGrid w:val="0"/>
              <w:jc w:val="center"/>
              <w:rPr>
                <w:b/>
                <w:color w:val="auto"/>
                <w:sz w:val="24"/>
              </w:rPr>
            </w:pPr>
            <w:r>
              <w:rPr>
                <w:b/>
                <w:color w:val="auto"/>
                <w:sz w:val="24"/>
              </w:rPr>
              <w:t>运营</w:t>
            </w:r>
          </w:p>
          <w:p w14:paraId="1CFCAA38">
            <w:pPr>
              <w:adjustRightInd w:val="0"/>
              <w:snapToGrid w:val="0"/>
              <w:jc w:val="center"/>
              <w:rPr>
                <w:b/>
                <w:color w:val="auto"/>
                <w:sz w:val="24"/>
              </w:rPr>
            </w:pPr>
            <w:r>
              <w:rPr>
                <w:b/>
                <w:color w:val="auto"/>
                <w:sz w:val="24"/>
              </w:rPr>
              <w:t>期环</w:t>
            </w:r>
          </w:p>
          <w:p w14:paraId="6EA758EE">
            <w:pPr>
              <w:adjustRightInd w:val="0"/>
              <w:snapToGrid w:val="0"/>
              <w:jc w:val="center"/>
              <w:rPr>
                <w:b/>
                <w:color w:val="auto"/>
                <w:sz w:val="24"/>
              </w:rPr>
            </w:pPr>
            <w:r>
              <w:rPr>
                <w:b/>
                <w:color w:val="auto"/>
                <w:sz w:val="24"/>
              </w:rPr>
              <w:t>境影</w:t>
            </w:r>
          </w:p>
          <w:p w14:paraId="1DD95853">
            <w:pPr>
              <w:adjustRightInd w:val="0"/>
              <w:snapToGrid w:val="0"/>
              <w:jc w:val="center"/>
              <w:rPr>
                <w:b/>
                <w:color w:val="auto"/>
                <w:sz w:val="24"/>
              </w:rPr>
            </w:pPr>
            <w:r>
              <w:rPr>
                <w:b/>
                <w:color w:val="auto"/>
                <w:sz w:val="24"/>
              </w:rPr>
              <w:t>响和</w:t>
            </w:r>
          </w:p>
          <w:p w14:paraId="3A2E5BE5">
            <w:pPr>
              <w:adjustRightInd w:val="0"/>
              <w:snapToGrid w:val="0"/>
              <w:jc w:val="center"/>
              <w:rPr>
                <w:b/>
                <w:color w:val="auto"/>
                <w:sz w:val="24"/>
              </w:rPr>
            </w:pPr>
            <w:r>
              <w:rPr>
                <w:b/>
                <w:color w:val="auto"/>
                <w:sz w:val="24"/>
              </w:rPr>
              <w:t>保护</w:t>
            </w:r>
          </w:p>
          <w:p w14:paraId="7E364E4B">
            <w:pPr>
              <w:adjustRightInd w:val="0"/>
              <w:snapToGrid w:val="0"/>
              <w:jc w:val="center"/>
              <w:rPr>
                <w:rFonts w:hint="eastAsia"/>
                <w:color w:val="auto"/>
              </w:rPr>
            </w:pPr>
            <w:r>
              <w:rPr>
                <w:b/>
                <w:color w:val="auto"/>
                <w:sz w:val="24"/>
              </w:rPr>
              <w:t>措施</w:t>
            </w:r>
          </w:p>
        </w:tc>
        <w:tc>
          <w:tcPr>
            <w:tcW w:w="8833" w:type="dxa"/>
            <w:vAlign w:val="center"/>
          </w:tcPr>
          <w:p w14:paraId="5DBE3301">
            <w:pPr>
              <w:spacing w:line="360" w:lineRule="auto"/>
              <w:rPr>
                <w:b/>
                <w:bCs/>
                <w:color w:val="auto"/>
                <w:sz w:val="24"/>
              </w:rPr>
            </w:pPr>
            <w:r>
              <w:rPr>
                <w:b/>
                <w:bCs/>
                <w:color w:val="auto"/>
                <w:sz w:val="24"/>
              </w:rPr>
              <w:t>1.2废气源强核算过程</w:t>
            </w:r>
          </w:p>
          <w:p w14:paraId="4977FE39">
            <w:pPr>
              <w:spacing w:line="360" w:lineRule="auto"/>
              <w:ind w:firstLine="480" w:firstLineChars="200"/>
              <w:rPr>
                <w:color w:val="auto"/>
                <w:sz w:val="24"/>
              </w:rPr>
            </w:pPr>
            <w:r>
              <w:rPr>
                <w:rFonts w:hint="eastAsia"/>
                <w:color w:val="auto"/>
                <w:sz w:val="24"/>
              </w:rPr>
              <w:t>本项目生产废气主要为</w:t>
            </w:r>
            <w:r>
              <w:rPr>
                <w:rFonts w:hint="eastAsia"/>
                <w:color w:val="auto"/>
                <w:sz w:val="24"/>
                <w:lang w:val="en-US" w:eastAsia="zh-CN"/>
              </w:rPr>
              <w:t>开料</w:t>
            </w:r>
            <w:r>
              <w:rPr>
                <w:rFonts w:hint="eastAsia"/>
                <w:color w:val="auto"/>
                <w:sz w:val="24"/>
              </w:rPr>
              <w:t>、砂光、打磨</w:t>
            </w:r>
            <w:r>
              <w:rPr>
                <w:rFonts w:hint="eastAsia"/>
                <w:color w:val="auto"/>
                <w:sz w:val="24"/>
                <w:lang w:eastAsia="zh-CN"/>
              </w:rPr>
              <w:t>、</w:t>
            </w:r>
            <w:r>
              <w:rPr>
                <w:rFonts w:hint="eastAsia"/>
                <w:b/>
                <w:bCs/>
                <w:color w:val="auto"/>
                <w:sz w:val="24"/>
                <w:u w:val="single"/>
                <w:lang w:val="en-US" w:eastAsia="zh-CN"/>
              </w:rPr>
              <w:t>油磨</w:t>
            </w:r>
            <w:r>
              <w:rPr>
                <w:rFonts w:hint="eastAsia"/>
                <w:color w:val="auto"/>
                <w:sz w:val="24"/>
              </w:rPr>
              <w:t>等过程产生的粉尘，</w:t>
            </w:r>
            <w:r>
              <w:rPr>
                <w:rFonts w:hint="eastAsia"/>
                <w:b/>
                <w:bCs/>
                <w:color w:val="auto"/>
                <w:sz w:val="24"/>
                <w:u w:val="single"/>
              </w:rPr>
              <w:t>拼板</w:t>
            </w:r>
            <w:r>
              <w:rPr>
                <w:rFonts w:hint="eastAsia"/>
                <w:b/>
                <w:bCs/>
                <w:color w:val="auto"/>
                <w:sz w:val="24"/>
                <w:u w:val="single"/>
                <w:lang w:val="en-US" w:eastAsia="zh-CN"/>
              </w:rPr>
              <w:t>冷压、贴皮</w:t>
            </w:r>
            <w:r>
              <w:rPr>
                <w:rFonts w:hint="eastAsia"/>
                <w:b/>
                <w:bCs/>
                <w:color w:val="auto"/>
                <w:sz w:val="24"/>
                <w:u w:val="single"/>
              </w:rPr>
              <w:t>热压、</w:t>
            </w:r>
            <w:r>
              <w:rPr>
                <w:rFonts w:hint="eastAsia"/>
                <w:b/>
                <w:bCs/>
                <w:color w:val="auto"/>
                <w:sz w:val="24"/>
                <w:u w:val="single"/>
                <w:lang w:val="en-US" w:eastAsia="zh-CN"/>
              </w:rPr>
              <w:t>封边</w:t>
            </w:r>
            <w:r>
              <w:rPr>
                <w:rFonts w:hint="eastAsia"/>
                <w:color w:val="auto"/>
                <w:sz w:val="24"/>
              </w:rPr>
              <w:t>过程产生的非甲烷总烃，调漆、喷漆、晾干</w:t>
            </w:r>
            <w:r>
              <w:rPr>
                <w:rFonts w:hint="eastAsia"/>
                <w:color w:val="auto"/>
                <w:sz w:val="24"/>
                <w:lang w:eastAsia="zh-CN"/>
              </w:rPr>
              <w:t>、</w:t>
            </w:r>
            <w:r>
              <w:rPr>
                <w:rFonts w:hint="eastAsia"/>
                <w:b/>
                <w:bCs/>
                <w:color w:val="auto"/>
                <w:sz w:val="24"/>
                <w:u w:val="single"/>
                <w:lang w:val="en-US" w:eastAsia="zh-CN"/>
              </w:rPr>
              <w:t>修色</w:t>
            </w:r>
            <w:r>
              <w:rPr>
                <w:rFonts w:hint="eastAsia"/>
                <w:color w:val="auto"/>
                <w:sz w:val="24"/>
              </w:rPr>
              <w:t>过程产生的非甲烷总烃、甲苯、二甲苯</w:t>
            </w:r>
            <w:r>
              <w:rPr>
                <w:color w:val="auto"/>
                <w:sz w:val="24"/>
              </w:rPr>
              <w:t>。</w:t>
            </w:r>
          </w:p>
          <w:p w14:paraId="0F88A67B">
            <w:pPr>
              <w:spacing w:line="360" w:lineRule="auto"/>
              <w:rPr>
                <w:b/>
                <w:bCs/>
                <w:color w:val="auto"/>
                <w:sz w:val="24"/>
              </w:rPr>
            </w:pPr>
            <w:r>
              <w:rPr>
                <w:rFonts w:hint="eastAsia"/>
                <w:b/>
                <w:bCs/>
                <w:color w:val="auto"/>
                <w:sz w:val="24"/>
              </w:rPr>
              <w:t>1.2.1粉尘</w:t>
            </w:r>
          </w:p>
          <w:p w14:paraId="159CFDE7">
            <w:pPr>
              <w:spacing w:line="360" w:lineRule="auto"/>
              <w:ind w:firstLine="482" w:firstLineChars="200"/>
              <w:rPr>
                <w:rFonts w:hint="default" w:eastAsia="宋体"/>
                <w:b/>
                <w:bCs w:val="0"/>
                <w:color w:val="auto"/>
                <w:sz w:val="24"/>
                <w:u w:val="single"/>
                <w:lang w:val="en-US" w:eastAsia="zh-CN"/>
              </w:rPr>
            </w:pPr>
            <w:r>
              <w:rPr>
                <w:rFonts w:hint="eastAsia"/>
                <w:b/>
                <w:bCs w:val="0"/>
                <w:color w:val="auto"/>
                <w:sz w:val="24"/>
                <w:u w:val="single"/>
                <w:lang w:val="en-US" w:eastAsia="zh-CN"/>
              </w:rPr>
              <w:t>①木加工粉尘</w:t>
            </w:r>
          </w:p>
          <w:p w14:paraId="6BBC1250">
            <w:pPr>
              <w:spacing w:line="360" w:lineRule="auto"/>
              <w:ind w:firstLine="480" w:firstLineChars="200"/>
              <w:rPr>
                <w:rFonts w:hint="eastAsia"/>
                <w:color w:val="auto"/>
                <w:sz w:val="24"/>
                <w:lang w:eastAsia="zh-CN"/>
              </w:rPr>
            </w:pPr>
            <w:r>
              <w:rPr>
                <w:rFonts w:hint="eastAsia"/>
                <w:bCs/>
                <w:color w:val="auto"/>
                <w:sz w:val="24"/>
              </w:rPr>
              <w:t>根据《第二次全国污染源普查系数手册》中“</w:t>
            </w:r>
            <w:r>
              <w:rPr>
                <w:bCs/>
                <w:color w:val="auto"/>
                <w:sz w:val="24"/>
              </w:rPr>
              <w:t>211木质家具制造行业系数手册</w:t>
            </w:r>
            <w:r>
              <w:rPr>
                <w:rFonts w:hint="eastAsia"/>
                <w:bCs/>
                <w:color w:val="auto"/>
                <w:sz w:val="24"/>
              </w:rPr>
              <w:t>（2019年4月）”</w:t>
            </w:r>
            <w:r>
              <w:rPr>
                <w:rFonts w:hint="eastAsia"/>
                <w:color w:val="auto"/>
                <w:sz w:val="24"/>
              </w:rPr>
              <w:t>中“木质家具制造下料工序颗粒物产污系数”，产污系数为150g/m</w:t>
            </w:r>
            <w:r>
              <w:rPr>
                <w:rFonts w:hint="eastAsia"/>
                <w:color w:val="auto"/>
                <w:sz w:val="24"/>
                <w:vertAlign w:val="superscript"/>
              </w:rPr>
              <w:t>3</w:t>
            </w:r>
            <w:r>
              <w:rPr>
                <w:rFonts w:hint="eastAsia"/>
                <w:color w:val="auto"/>
                <w:sz w:val="24"/>
              </w:rPr>
              <w:t>-原料</w:t>
            </w:r>
            <w:r>
              <w:rPr>
                <w:rFonts w:hint="eastAsia"/>
                <w:color w:val="auto"/>
                <w:sz w:val="24"/>
                <w:lang w:eastAsia="zh-CN"/>
              </w:rPr>
              <w:t>。</w:t>
            </w:r>
          </w:p>
          <w:p w14:paraId="291DAFAD">
            <w:pPr>
              <w:spacing w:line="360" w:lineRule="auto"/>
              <w:ind w:firstLine="482" w:firstLineChars="200"/>
              <w:rPr>
                <w:rFonts w:hint="eastAsia" w:eastAsia="宋体"/>
                <w:b/>
                <w:bCs w:val="0"/>
                <w:color w:val="auto"/>
                <w:sz w:val="24"/>
                <w:u w:val="single"/>
                <w:lang w:eastAsia="zh-CN"/>
              </w:rPr>
            </w:pPr>
            <w:r>
              <w:rPr>
                <w:rFonts w:hint="eastAsia"/>
                <w:b/>
                <w:bCs w:val="0"/>
                <w:color w:val="auto"/>
                <w:sz w:val="24"/>
                <w:u w:val="single"/>
              </w:rPr>
              <w:t>项目</w:t>
            </w:r>
            <w:r>
              <w:rPr>
                <w:rFonts w:hint="eastAsia"/>
                <w:b/>
                <w:bCs w:val="0"/>
                <w:color w:val="auto"/>
                <w:sz w:val="24"/>
                <w:u w:val="single"/>
                <w:lang w:val="en-US" w:eastAsia="zh-CN"/>
              </w:rPr>
              <w:t>一车间</w:t>
            </w:r>
            <w:r>
              <w:rPr>
                <w:rFonts w:hint="eastAsia"/>
                <w:b/>
                <w:bCs w:val="0"/>
                <w:color w:val="auto"/>
                <w:sz w:val="24"/>
                <w:u w:val="single"/>
              </w:rPr>
              <w:t>涉及开料、</w:t>
            </w:r>
            <w:r>
              <w:rPr>
                <w:rFonts w:hint="eastAsia"/>
                <w:b/>
                <w:bCs w:val="0"/>
                <w:color w:val="auto"/>
                <w:sz w:val="24"/>
                <w:u w:val="single"/>
                <w:lang w:val="en-US" w:eastAsia="zh-CN"/>
              </w:rPr>
              <w:t>铣型、排钻、打孔</w:t>
            </w:r>
            <w:r>
              <w:rPr>
                <w:rFonts w:hint="eastAsia"/>
                <w:b/>
                <w:bCs w:val="0"/>
                <w:color w:val="auto"/>
                <w:sz w:val="24"/>
                <w:u w:val="single"/>
              </w:rPr>
              <w:t>等工序</w:t>
            </w:r>
            <w:r>
              <w:rPr>
                <w:rFonts w:hint="eastAsia"/>
                <w:b/>
                <w:bCs w:val="0"/>
                <w:color w:val="auto"/>
                <w:sz w:val="24"/>
                <w:u w:val="single"/>
                <w:lang w:eastAsia="zh-CN"/>
              </w:rPr>
              <w:t xml:space="preserve">，木加工综合产尘系数为 </w:t>
            </w:r>
            <w:r>
              <w:rPr>
                <w:rFonts w:hint="eastAsia"/>
                <w:b/>
                <w:bCs w:val="0"/>
                <w:color w:val="auto"/>
                <w:sz w:val="24"/>
                <w:u w:val="single"/>
                <w:lang w:val="en-US" w:eastAsia="zh-CN"/>
              </w:rPr>
              <w:t>0.6</w:t>
            </w:r>
            <w:r>
              <w:rPr>
                <w:rFonts w:hint="eastAsia"/>
                <w:b/>
                <w:bCs w:val="0"/>
                <w:color w:val="auto"/>
                <w:sz w:val="24"/>
                <w:u w:val="single"/>
                <w:lang w:eastAsia="zh-CN"/>
              </w:rPr>
              <w:t>kg/m</w:t>
            </w:r>
            <w:r>
              <w:rPr>
                <w:rFonts w:hint="eastAsia"/>
                <w:b/>
                <w:bCs w:val="0"/>
                <w:color w:val="auto"/>
                <w:sz w:val="24"/>
                <w:u w:val="single"/>
                <w:vertAlign w:val="superscript"/>
                <w:lang w:eastAsia="zh-CN"/>
              </w:rPr>
              <w:t>3</w:t>
            </w:r>
            <w:r>
              <w:rPr>
                <w:rFonts w:hint="eastAsia"/>
                <w:b/>
                <w:bCs w:val="0"/>
                <w:color w:val="auto"/>
                <w:sz w:val="24"/>
                <w:u w:val="single"/>
                <w:lang w:eastAsia="zh-CN"/>
              </w:rPr>
              <w:t>原料（按</w:t>
            </w:r>
            <w:r>
              <w:rPr>
                <w:rFonts w:hint="eastAsia"/>
                <w:b/>
                <w:bCs w:val="0"/>
                <w:color w:val="auto"/>
                <w:sz w:val="24"/>
                <w:u w:val="single"/>
                <w:lang w:val="en-US" w:eastAsia="zh-CN"/>
              </w:rPr>
              <w:t>四</w:t>
            </w:r>
            <w:r>
              <w:rPr>
                <w:rFonts w:hint="eastAsia"/>
                <w:b/>
                <w:bCs w:val="0"/>
                <w:color w:val="auto"/>
                <w:sz w:val="24"/>
                <w:u w:val="single"/>
                <w:lang w:eastAsia="zh-CN"/>
              </w:rPr>
              <w:t>道工序计算）</w:t>
            </w:r>
            <w:r>
              <w:rPr>
                <w:rFonts w:hint="eastAsia"/>
                <w:b/>
                <w:bCs w:val="0"/>
                <w:color w:val="auto"/>
                <w:sz w:val="24"/>
                <w:u w:val="single"/>
              </w:rPr>
              <w:t>。</w:t>
            </w:r>
            <w:r>
              <w:rPr>
                <w:b/>
                <w:bCs w:val="0"/>
                <w:color w:val="auto"/>
                <w:sz w:val="24"/>
                <w:u w:val="single"/>
              </w:rPr>
              <w:t>本项目</w:t>
            </w:r>
            <w:r>
              <w:rPr>
                <w:rFonts w:hint="eastAsia"/>
                <w:b/>
                <w:bCs w:val="0"/>
                <w:color w:val="auto"/>
                <w:sz w:val="24"/>
                <w:u w:val="single"/>
              </w:rPr>
              <w:t>一车间</w:t>
            </w:r>
            <w:r>
              <w:rPr>
                <w:b/>
                <w:bCs w:val="0"/>
                <w:color w:val="auto"/>
                <w:sz w:val="24"/>
                <w:u w:val="single"/>
              </w:rPr>
              <w:t>使用木料</w:t>
            </w:r>
            <w:r>
              <w:rPr>
                <w:rFonts w:hint="eastAsia"/>
                <w:b/>
                <w:bCs w:val="0"/>
                <w:color w:val="auto"/>
                <w:sz w:val="24"/>
                <w:u w:val="single"/>
              </w:rPr>
              <w:t>为800</w:t>
            </w:r>
            <w:r>
              <w:rPr>
                <w:b/>
                <w:bCs w:val="0"/>
                <w:color w:val="auto"/>
                <w:sz w:val="24"/>
                <w:u w:val="single"/>
              </w:rPr>
              <w:t>m</w:t>
            </w:r>
            <w:r>
              <w:rPr>
                <w:b/>
                <w:bCs w:val="0"/>
                <w:color w:val="auto"/>
                <w:sz w:val="24"/>
                <w:u w:val="single"/>
                <w:vertAlign w:val="superscript"/>
              </w:rPr>
              <w:t>3</w:t>
            </w:r>
            <w:r>
              <w:rPr>
                <w:b/>
                <w:bCs w:val="0"/>
                <w:color w:val="auto"/>
                <w:sz w:val="24"/>
                <w:u w:val="single"/>
              </w:rPr>
              <w:t>/a，</w:t>
            </w:r>
            <w:r>
              <w:rPr>
                <w:rFonts w:hint="eastAsia"/>
                <w:b/>
                <w:bCs w:val="0"/>
                <w:color w:val="auto"/>
                <w:sz w:val="24"/>
                <w:u w:val="single"/>
              </w:rPr>
              <w:t>工作时间：300d/a、8h/d，颗粒物产生量</w:t>
            </w:r>
            <w:r>
              <w:rPr>
                <w:rFonts w:hint="eastAsia"/>
                <w:b/>
                <w:bCs w:val="0"/>
                <w:color w:val="auto"/>
                <w:sz w:val="24"/>
                <w:u w:val="single"/>
                <w:lang w:val="en-US" w:eastAsia="zh-CN"/>
              </w:rPr>
              <w:t>0.48</w:t>
            </w:r>
            <w:r>
              <w:rPr>
                <w:rFonts w:hint="eastAsia"/>
                <w:b/>
                <w:bCs w:val="0"/>
                <w:color w:val="auto"/>
                <w:sz w:val="24"/>
                <w:u w:val="single"/>
              </w:rPr>
              <w:t>t/a。为降低车间粉尘无组织排放量，评价要求建设单位在每处产尘设备处设置集气罩，集尘后经负压引风通道引至车间外中央除尘器处理后通过15m高排气筒</w:t>
            </w:r>
            <w:r>
              <w:rPr>
                <w:rFonts w:hint="eastAsia"/>
                <w:b/>
                <w:bCs w:val="0"/>
                <w:color w:val="auto"/>
                <w:sz w:val="24"/>
                <w:u w:val="single"/>
                <w:lang w:eastAsia="zh-CN"/>
              </w:rPr>
              <w:t>（</w:t>
            </w:r>
            <w:r>
              <w:rPr>
                <w:rFonts w:hint="eastAsia"/>
                <w:b/>
                <w:bCs w:val="0"/>
                <w:color w:val="auto"/>
                <w:sz w:val="24"/>
                <w:u w:val="single"/>
                <w:lang w:val="en-US" w:eastAsia="zh-CN"/>
              </w:rPr>
              <w:t>DA001</w:t>
            </w:r>
            <w:r>
              <w:rPr>
                <w:rFonts w:hint="eastAsia"/>
                <w:b/>
                <w:bCs w:val="0"/>
                <w:color w:val="auto"/>
                <w:sz w:val="24"/>
                <w:u w:val="single"/>
                <w:lang w:eastAsia="zh-CN"/>
              </w:rPr>
              <w:t>）</w:t>
            </w:r>
            <w:r>
              <w:rPr>
                <w:rFonts w:hint="eastAsia"/>
                <w:b/>
                <w:bCs w:val="0"/>
                <w:color w:val="auto"/>
                <w:sz w:val="24"/>
                <w:u w:val="single"/>
              </w:rPr>
              <w:t>排放。车间内集气罩收集效率以90%计，除尘效率以9</w:t>
            </w:r>
            <w:r>
              <w:rPr>
                <w:rFonts w:hint="eastAsia"/>
                <w:b/>
                <w:bCs w:val="0"/>
                <w:color w:val="auto"/>
                <w:sz w:val="24"/>
                <w:u w:val="single"/>
                <w:lang w:val="en-US" w:eastAsia="zh-CN"/>
              </w:rPr>
              <w:t>9%计</w:t>
            </w:r>
            <w:r>
              <w:rPr>
                <w:rFonts w:hint="eastAsia"/>
                <w:b/>
                <w:bCs w:val="0"/>
                <w:color w:val="auto"/>
                <w:sz w:val="24"/>
                <w:u w:val="single"/>
              </w:rPr>
              <w:t>（根据《废气处理工程技术手册》P201）</w:t>
            </w:r>
            <w:r>
              <w:rPr>
                <w:rFonts w:hint="eastAsia"/>
                <w:b/>
                <w:bCs w:val="0"/>
                <w:color w:val="auto"/>
                <w:sz w:val="24"/>
                <w:u w:val="single"/>
                <w:lang w:eastAsia="zh-CN"/>
              </w:rPr>
              <w:t>，</w:t>
            </w:r>
            <w:r>
              <w:rPr>
                <w:rFonts w:hint="eastAsia"/>
                <w:b/>
                <w:bCs w:val="0"/>
                <w:color w:val="auto"/>
                <w:sz w:val="24"/>
                <w:u w:val="single"/>
              </w:rPr>
              <w:t>则</w:t>
            </w:r>
            <w:r>
              <w:rPr>
                <w:rFonts w:hint="eastAsia"/>
                <w:b/>
                <w:bCs w:val="0"/>
                <w:color w:val="auto"/>
                <w:sz w:val="24"/>
                <w:u w:val="single"/>
                <w:lang w:val="en-US" w:eastAsia="zh-CN"/>
              </w:rPr>
              <w:t>一车间木加工</w:t>
            </w:r>
            <w:r>
              <w:rPr>
                <w:rFonts w:hint="eastAsia"/>
                <w:b/>
                <w:bCs w:val="0"/>
                <w:color w:val="auto"/>
                <w:sz w:val="24"/>
                <w:u w:val="single"/>
              </w:rPr>
              <w:t>有组织粉尘产生量</w:t>
            </w:r>
            <w:r>
              <w:rPr>
                <w:rFonts w:hint="eastAsia"/>
                <w:b/>
                <w:bCs w:val="0"/>
                <w:color w:val="auto"/>
                <w:sz w:val="24"/>
                <w:u w:val="single"/>
                <w:lang w:val="en-US" w:eastAsia="zh-CN"/>
              </w:rPr>
              <w:t>0.432</w:t>
            </w:r>
            <w:r>
              <w:rPr>
                <w:rFonts w:hint="eastAsia"/>
                <w:b/>
                <w:bCs w:val="0"/>
                <w:color w:val="auto"/>
                <w:sz w:val="24"/>
                <w:u w:val="single"/>
              </w:rPr>
              <w:t>t/a（折合</w:t>
            </w:r>
            <w:r>
              <w:rPr>
                <w:rFonts w:hint="eastAsia"/>
                <w:b/>
                <w:bCs w:val="0"/>
                <w:color w:val="auto"/>
                <w:sz w:val="24"/>
                <w:u w:val="single"/>
                <w:lang w:val="en-US" w:eastAsia="zh-CN"/>
              </w:rPr>
              <w:t>0.18</w:t>
            </w:r>
            <w:r>
              <w:rPr>
                <w:rFonts w:hint="eastAsia"/>
                <w:b/>
                <w:bCs w:val="0"/>
                <w:color w:val="auto"/>
                <w:sz w:val="24"/>
                <w:u w:val="single"/>
              </w:rPr>
              <w:t>kg/h），有组织粉尘排放量</w:t>
            </w:r>
            <w:r>
              <w:rPr>
                <w:rFonts w:hint="eastAsia"/>
                <w:b/>
                <w:bCs w:val="0"/>
                <w:color w:val="auto"/>
                <w:sz w:val="24"/>
                <w:u w:val="single"/>
                <w:lang w:val="en-US" w:eastAsia="zh-CN"/>
              </w:rPr>
              <w:t>0.0043</w:t>
            </w:r>
            <w:r>
              <w:rPr>
                <w:rFonts w:hint="eastAsia"/>
                <w:b/>
                <w:bCs w:val="0"/>
                <w:color w:val="auto"/>
                <w:sz w:val="24"/>
                <w:u w:val="single"/>
              </w:rPr>
              <w:t>t/a（折合</w:t>
            </w:r>
            <w:r>
              <w:rPr>
                <w:rFonts w:hint="eastAsia"/>
                <w:b/>
                <w:bCs w:val="0"/>
                <w:color w:val="auto"/>
                <w:sz w:val="24"/>
                <w:u w:val="single"/>
                <w:lang w:val="en-US" w:eastAsia="zh-CN"/>
              </w:rPr>
              <w:t>0.0018</w:t>
            </w:r>
            <w:r>
              <w:rPr>
                <w:rFonts w:hint="eastAsia"/>
                <w:b/>
                <w:bCs w:val="0"/>
                <w:color w:val="auto"/>
                <w:sz w:val="24"/>
                <w:u w:val="single"/>
              </w:rPr>
              <w:t>kg/h）；</w:t>
            </w:r>
            <w:r>
              <w:rPr>
                <w:rFonts w:hint="eastAsia"/>
                <w:b/>
                <w:bCs w:val="0"/>
                <w:color w:val="auto"/>
                <w:sz w:val="24"/>
                <w:u w:val="single"/>
                <w:lang w:val="en-US" w:eastAsia="zh-CN"/>
              </w:rPr>
              <w:t>一</w:t>
            </w:r>
            <w:r>
              <w:rPr>
                <w:rFonts w:hint="eastAsia"/>
                <w:b/>
                <w:bCs w:val="0"/>
                <w:color w:val="auto"/>
                <w:sz w:val="24"/>
                <w:u w:val="single"/>
              </w:rPr>
              <w:t>车间</w:t>
            </w:r>
            <w:r>
              <w:rPr>
                <w:rFonts w:hint="eastAsia"/>
                <w:b/>
                <w:bCs w:val="0"/>
                <w:color w:val="auto"/>
                <w:sz w:val="24"/>
                <w:u w:val="single"/>
                <w:lang w:val="en-US" w:eastAsia="zh-CN"/>
              </w:rPr>
              <w:t>木加工</w:t>
            </w:r>
            <w:r>
              <w:rPr>
                <w:rFonts w:hint="eastAsia"/>
                <w:b/>
                <w:bCs w:val="0"/>
                <w:color w:val="auto"/>
                <w:sz w:val="24"/>
                <w:u w:val="single"/>
              </w:rPr>
              <w:t>无组织粉尘排放量约</w:t>
            </w:r>
            <w:r>
              <w:rPr>
                <w:rFonts w:hint="eastAsia"/>
                <w:b/>
                <w:bCs w:val="0"/>
                <w:color w:val="auto"/>
                <w:sz w:val="24"/>
                <w:u w:val="single"/>
                <w:lang w:val="en-US" w:eastAsia="zh-CN"/>
              </w:rPr>
              <w:t>0.048</w:t>
            </w:r>
            <w:r>
              <w:rPr>
                <w:rFonts w:hint="eastAsia"/>
                <w:b/>
                <w:bCs w:val="0"/>
                <w:color w:val="auto"/>
                <w:sz w:val="24"/>
                <w:u w:val="single"/>
              </w:rPr>
              <w:t>t/a（折合</w:t>
            </w:r>
            <w:r>
              <w:rPr>
                <w:rFonts w:hint="eastAsia"/>
                <w:b/>
                <w:bCs w:val="0"/>
                <w:color w:val="auto"/>
                <w:sz w:val="24"/>
                <w:u w:val="single"/>
                <w:lang w:val="en-US" w:eastAsia="zh-CN"/>
              </w:rPr>
              <w:t>0.02</w:t>
            </w:r>
            <w:r>
              <w:rPr>
                <w:rFonts w:hint="eastAsia"/>
                <w:b/>
                <w:bCs w:val="0"/>
                <w:color w:val="auto"/>
                <w:sz w:val="24"/>
                <w:u w:val="single"/>
              </w:rPr>
              <w:t>kg/h）</w:t>
            </w:r>
            <w:r>
              <w:rPr>
                <w:rFonts w:hint="eastAsia"/>
                <w:b/>
                <w:bCs w:val="0"/>
                <w:color w:val="auto"/>
                <w:sz w:val="24"/>
                <w:u w:val="single"/>
                <w:lang w:eastAsia="zh-CN"/>
              </w:rPr>
              <w:t>。</w:t>
            </w:r>
          </w:p>
          <w:p w14:paraId="6A56C112">
            <w:pPr>
              <w:spacing w:line="360" w:lineRule="auto"/>
              <w:ind w:firstLine="482" w:firstLineChars="200"/>
              <w:rPr>
                <w:rFonts w:hint="eastAsia"/>
                <w:b/>
                <w:bCs w:val="0"/>
                <w:color w:val="auto"/>
                <w:sz w:val="24"/>
                <w:u w:val="single"/>
                <w:lang w:eastAsia="zh-CN"/>
              </w:rPr>
            </w:pPr>
            <w:r>
              <w:rPr>
                <w:rFonts w:hint="eastAsia"/>
                <w:b/>
                <w:bCs w:val="0"/>
                <w:color w:val="auto"/>
                <w:sz w:val="24"/>
                <w:u w:val="single"/>
              </w:rPr>
              <w:t>项目</w:t>
            </w:r>
            <w:r>
              <w:rPr>
                <w:rFonts w:hint="eastAsia"/>
                <w:b/>
                <w:bCs w:val="0"/>
                <w:color w:val="auto"/>
                <w:sz w:val="24"/>
                <w:u w:val="single"/>
                <w:lang w:val="en-US" w:eastAsia="zh-CN"/>
              </w:rPr>
              <w:t>二车间不</w:t>
            </w:r>
            <w:r>
              <w:rPr>
                <w:rFonts w:hint="eastAsia"/>
                <w:b/>
                <w:bCs w:val="0"/>
                <w:color w:val="auto"/>
                <w:sz w:val="24"/>
                <w:u w:val="single"/>
              </w:rPr>
              <w:t>涉及开料、</w:t>
            </w:r>
            <w:r>
              <w:rPr>
                <w:rFonts w:hint="eastAsia"/>
                <w:b/>
                <w:bCs w:val="0"/>
                <w:color w:val="auto"/>
                <w:sz w:val="24"/>
                <w:u w:val="single"/>
                <w:lang w:val="en-US" w:eastAsia="zh-CN"/>
              </w:rPr>
              <w:t>铣型、排钻、打孔</w:t>
            </w:r>
            <w:r>
              <w:rPr>
                <w:rFonts w:hint="eastAsia"/>
                <w:b/>
                <w:bCs w:val="0"/>
                <w:color w:val="auto"/>
                <w:sz w:val="24"/>
                <w:u w:val="single"/>
              </w:rPr>
              <w:t>等工序</w:t>
            </w:r>
            <w:r>
              <w:rPr>
                <w:rFonts w:hint="eastAsia"/>
                <w:b/>
                <w:bCs w:val="0"/>
                <w:color w:val="auto"/>
                <w:sz w:val="24"/>
                <w:u w:val="single"/>
                <w:lang w:eastAsia="zh-CN"/>
              </w:rPr>
              <w:t>。</w:t>
            </w:r>
          </w:p>
          <w:p w14:paraId="67DB2F1D">
            <w:pPr>
              <w:spacing w:line="360" w:lineRule="auto"/>
              <w:ind w:firstLine="482" w:firstLineChars="200"/>
              <w:rPr>
                <w:b/>
                <w:bCs w:val="0"/>
                <w:color w:val="auto"/>
                <w:sz w:val="24"/>
                <w:u w:val="single"/>
              </w:rPr>
            </w:pPr>
            <w:r>
              <w:rPr>
                <w:rFonts w:hint="eastAsia"/>
                <w:b/>
                <w:bCs w:val="0"/>
                <w:color w:val="auto"/>
                <w:sz w:val="24"/>
                <w:u w:val="single"/>
              </w:rPr>
              <w:t>项目</w:t>
            </w:r>
            <w:r>
              <w:rPr>
                <w:rFonts w:hint="eastAsia"/>
                <w:b/>
                <w:bCs w:val="0"/>
                <w:color w:val="auto"/>
                <w:sz w:val="24"/>
                <w:u w:val="single"/>
                <w:lang w:val="en-US" w:eastAsia="zh-CN"/>
              </w:rPr>
              <w:t>三车间</w:t>
            </w:r>
            <w:r>
              <w:rPr>
                <w:rFonts w:hint="eastAsia"/>
                <w:b/>
                <w:bCs w:val="0"/>
                <w:color w:val="auto"/>
                <w:sz w:val="24"/>
                <w:u w:val="single"/>
              </w:rPr>
              <w:t>涉及开料工序</w:t>
            </w:r>
            <w:r>
              <w:rPr>
                <w:rFonts w:hint="eastAsia"/>
                <w:b/>
                <w:bCs w:val="0"/>
                <w:color w:val="auto"/>
                <w:sz w:val="24"/>
                <w:u w:val="single"/>
                <w:lang w:eastAsia="zh-CN"/>
              </w:rPr>
              <w:t>，木加工综合产尘系数为</w:t>
            </w:r>
            <w:r>
              <w:rPr>
                <w:rFonts w:hint="eastAsia"/>
                <w:b/>
                <w:bCs w:val="0"/>
                <w:color w:val="auto"/>
                <w:sz w:val="24"/>
                <w:u w:val="single"/>
                <w:lang w:val="en-US" w:eastAsia="zh-CN"/>
              </w:rPr>
              <w:t>0.15</w:t>
            </w:r>
            <w:r>
              <w:rPr>
                <w:rFonts w:hint="eastAsia"/>
                <w:b/>
                <w:bCs w:val="0"/>
                <w:color w:val="auto"/>
                <w:sz w:val="24"/>
                <w:u w:val="single"/>
                <w:lang w:eastAsia="zh-CN"/>
              </w:rPr>
              <w:t>kg/m</w:t>
            </w:r>
            <w:r>
              <w:rPr>
                <w:rFonts w:hint="eastAsia"/>
                <w:b/>
                <w:bCs w:val="0"/>
                <w:color w:val="auto"/>
                <w:sz w:val="24"/>
                <w:u w:val="single"/>
                <w:vertAlign w:val="superscript"/>
                <w:lang w:eastAsia="zh-CN"/>
              </w:rPr>
              <w:t>3</w:t>
            </w:r>
            <w:r>
              <w:rPr>
                <w:rFonts w:hint="eastAsia"/>
                <w:b/>
                <w:bCs w:val="0"/>
                <w:color w:val="auto"/>
                <w:sz w:val="24"/>
                <w:u w:val="single"/>
                <w:lang w:eastAsia="zh-CN"/>
              </w:rPr>
              <w:t>原料</w:t>
            </w:r>
            <w:r>
              <w:rPr>
                <w:rFonts w:hint="eastAsia"/>
                <w:b/>
                <w:bCs w:val="0"/>
                <w:color w:val="auto"/>
                <w:sz w:val="24"/>
                <w:u w:val="single"/>
              </w:rPr>
              <w:t>。</w:t>
            </w:r>
            <w:r>
              <w:rPr>
                <w:b/>
                <w:bCs w:val="0"/>
                <w:color w:val="auto"/>
                <w:sz w:val="24"/>
                <w:u w:val="single"/>
              </w:rPr>
              <w:t>本项目</w:t>
            </w:r>
            <w:r>
              <w:rPr>
                <w:rFonts w:hint="eastAsia"/>
                <w:b/>
                <w:bCs w:val="0"/>
                <w:color w:val="auto"/>
                <w:sz w:val="24"/>
                <w:u w:val="single"/>
                <w:lang w:val="en-US" w:eastAsia="zh-CN"/>
              </w:rPr>
              <w:t>三</w:t>
            </w:r>
            <w:r>
              <w:rPr>
                <w:rFonts w:hint="eastAsia"/>
                <w:b/>
                <w:bCs w:val="0"/>
                <w:color w:val="auto"/>
                <w:sz w:val="24"/>
                <w:u w:val="single"/>
              </w:rPr>
              <w:t>车间</w:t>
            </w:r>
            <w:r>
              <w:rPr>
                <w:b/>
                <w:bCs w:val="0"/>
                <w:color w:val="auto"/>
                <w:sz w:val="24"/>
                <w:u w:val="single"/>
              </w:rPr>
              <w:t>使用木料</w:t>
            </w:r>
            <w:r>
              <w:rPr>
                <w:rFonts w:hint="eastAsia"/>
                <w:b/>
                <w:bCs w:val="0"/>
                <w:color w:val="auto"/>
                <w:sz w:val="24"/>
                <w:u w:val="single"/>
              </w:rPr>
              <w:t>为</w:t>
            </w:r>
            <w:r>
              <w:rPr>
                <w:rFonts w:hint="eastAsia"/>
                <w:b/>
                <w:bCs w:val="0"/>
                <w:color w:val="auto"/>
                <w:sz w:val="24"/>
                <w:u w:val="single"/>
                <w:lang w:val="en-US" w:eastAsia="zh-CN"/>
              </w:rPr>
              <w:t>3</w:t>
            </w:r>
            <w:r>
              <w:rPr>
                <w:rFonts w:hint="eastAsia"/>
                <w:b/>
                <w:bCs w:val="0"/>
                <w:color w:val="auto"/>
                <w:sz w:val="24"/>
                <w:u w:val="single"/>
              </w:rPr>
              <w:t>00</w:t>
            </w:r>
            <w:r>
              <w:rPr>
                <w:b/>
                <w:bCs w:val="0"/>
                <w:color w:val="auto"/>
                <w:sz w:val="24"/>
                <w:u w:val="single"/>
              </w:rPr>
              <w:t>m</w:t>
            </w:r>
            <w:r>
              <w:rPr>
                <w:b/>
                <w:bCs w:val="0"/>
                <w:color w:val="auto"/>
                <w:sz w:val="24"/>
                <w:u w:val="single"/>
                <w:vertAlign w:val="superscript"/>
              </w:rPr>
              <w:t>3</w:t>
            </w:r>
            <w:r>
              <w:rPr>
                <w:b/>
                <w:bCs w:val="0"/>
                <w:color w:val="auto"/>
                <w:sz w:val="24"/>
                <w:u w:val="single"/>
              </w:rPr>
              <w:t>/a，</w:t>
            </w:r>
            <w:r>
              <w:rPr>
                <w:rFonts w:hint="eastAsia"/>
                <w:b/>
                <w:bCs w:val="0"/>
                <w:color w:val="auto"/>
                <w:sz w:val="24"/>
                <w:u w:val="single"/>
              </w:rPr>
              <w:t xml:space="preserve">工作时间：300d/a、8h/d，颗粒物产生量 </w:t>
            </w:r>
            <w:r>
              <w:rPr>
                <w:rFonts w:hint="eastAsia"/>
                <w:b/>
                <w:bCs w:val="0"/>
                <w:color w:val="auto"/>
                <w:sz w:val="24"/>
                <w:u w:val="single"/>
                <w:lang w:val="en-US" w:eastAsia="zh-CN"/>
              </w:rPr>
              <w:t>0.045</w:t>
            </w:r>
            <w:r>
              <w:rPr>
                <w:rFonts w:hint="eastAsia"/>
                <w:b/>
                <w:bCs w:val="0"/>
                <w:color w:val="auto"/>
                <w:sz w:val="24"/>
                <w:u w:val="single"/>
              </w:rPr>
              <w:t>t/a。为降低车间粉尘无组织排放量，评价要求建设单位在每处产尘设备处设置集气罩，集尘后经负压引风通道引至车间外中央除尘器处理后通过15m高排气筒</w:t>
            </w:r>
            <w:r>
              <w:rPr>
                <w:rFonts w:hint="eastAsia"/>
                <w:b/>
                <w:bCs w:val="0"/>
                <w:color w:val="auto"/>
                <w:sz w:val="24"/>
                <w:u w:val="single"/>
                <w:lang w:eastAsia="zh-CN"/>
              </w:rPr>
              <w:t>（</w:t>
            </w:r>
            <w:r>
              <w:rPr>
                <w:rFonts w:hint="eastAsia"/>
                <w:b/>
                <w:bCs w:val="0"/>
                <w:color w:val="auto"/>
                <w:sz w:val="24"/>
                <w:u w:val="single"/>
                <w:lang w:val="en-US" w:eastAsia="zh-CN"/>
              </w:rPr>
              <w:t>DA003</w:t>
            </w:r>
            <w:r>
              <w:rPr>
                <w:rFonts w:hint="eastAsia"/>
                <w:b/>
                <w:bCs w:val="0"/>
                <w:color w:val="auto"/>
                <w:sz w:val="24"/>
                <w:u w:val="single"/>
                <w:lang w:eastAsia="zh-CN"/>
              </w:rPr>
              <w:t>）</w:t>
            </w:r>
            <w:r>
              <w:rPr>
                <w:rFonts w:hint="eastAsia"/>
                <w:b/>
                <w:bCs w:val="0"/>
                <w:color w:val="auto"/>
                <w:sz w:val="24"/>
                <w:u w:val="single"/>
              </w:rPr>
              <w:t>排放。车间内集气罩收集效率以90%计，除尘效率以9</w:t>
            </w:r>
            <w:r>
              <w:rPr>
                <w:rFonts w:hint="eastAsia"/>
                <w:b/>
                <w:bCs w:val="0"/>
                <w:color w:val="auto"/>
                <w:sz w:val="24"/>
                <w:u w:val="single"/>
                <w:lang w:val="en-US" w:eastAsia="zh-CN"/>
              </w:rPr>
              <w:t>9%计</w:t>
            </w:r>
            <w:r>
              <w:rPr>
                <w:rFonts w:hint="eastAsia"/>
                <w:b/>
                <w:bCs w:val="0"/>
                <w:color w:val="auto"/>
                <w:sz w:val="24"/>
                <w:u w:val="single"/>
              </w:rPr>
              <w:t>（根据《废气处理工程技术手册》P201）</w:t>
            </w:r>
            <w:r>
              <w:rPr>
                <w:rFonts w:hint="eastAsia"/>
                <w:b/>
                <w:bCs w:val="0"/>
                <w:color w:val="auto"/>
                <w:sz w:val="24"/>
                <w:u w:val="single"/>
                <w:lang w:eastAsia="zh-CN"/>
              </w:rPr>
              <w:t>，</w:t>
            </w:r>
            <w:r>
              <w:rPr>
                <w:rFonts w:hint="eastAsia"/>
                <w:b/>
                <w:bCs w:val="0"/>
                <w:color w:val="auto"/>
                <w:sz w:val="24"/>
                <w:u w:val="single"/>
              </w:rPr>
              <w:t>则</w:t>
            </w:r>
            <w:r>
              <w:rPr>
                <w:rFonts w:hint="eastAsia"/>
                <w:b/>
                <w:bCs w:val="0"/>
                <w:color w:val="auto"/>
                <w:sz w:val="24"/>
                <w:u w:val="single"/>
                <w:lang w:val="en-US" w:eastAsia="zh-CN"/>
              </w:rPr>
              <w:t>三车间木加工</w:t>
            </w:r>
            <w:r>
              <w:rPr>
                <w:rFonts w:hint="eastAsia"/>
                <w:b/>
                <w:bCs w:val="0"/>
                <w:color w:val="auto"/>
                <w:sz w:val="24"/>
                <w:u w:val="single"/>
              </w:rPr>
              <w:t xml:space="preserve">有组织粉尘产生量 </w:t>
            </w:r>
            <w:r>
              <w:rPr>
                <w:rFonts w:hint="eastAsia"/>
                <w:b/>
                <w:bCs w:val="0"/>
                <w:color w:val="auto"/>
                <w:sz w:val="24"/>
                <w:u w:val="single"/>
                <w:lang w:val="en-US" w:eastAsia="zh-CN"/>
              </w:rPr>
              <w:t>0.0405</w:t>
            </w:r>
            <w:r>
              <w:rPr>
                <w:rFonts w:hint="eastAsia"/>
                <w:b/>
                <w:bCs w:val="0"/>
                <w:color w:val="auto"/>
                <w:sz w:val="24"/>
                <w:u w:val="single"/>
              </w:rPr>
              <w:t>t/a（折合</w:t>
            </w:r>
            <w:r>
              <w:rPr>
                <w:rFonts w:hint="eastAsia"/>
                <w:b/>
                <w:bCs w:val="0"/>
                <w:color w:val="auto"/>
                <w:sz w:val="24"/>
                <w:u w:val="single"/>
                <w:lang w:val="en-US" w:eastAsia="zh-CN"/>
              </w:rPr>
              <w:t>0.0169</w:t>
            </w:r>
            <w:r>
              <w:rPr>
                <w:rFonts w:hint="eastAsia"/>
                <w:b/>
                <w:bCs w:val="0"/>
                <w:color w:val="auto"/>
                <w:sz w:val="24"/>
                <w:u w:val="single"/>
              </w:rPr>
              <w:t>kg/h），有组织粉尘排放量</w:t>
            </w:r>
            <w:r>
              <w:rPr>
                <w:rFonts w:hint="eastAsia"/>
                <w:b/>
                <w:bCs w:val="0"/>
                <w:color w:val="auto"/>
                <w:sz w:val="24"/>
                <w:u w:val="single"/>
                <w:lang w:val="en-US" w:eastAsia="zh-CN"/>
              </w:rPr>
              <w:t>0.0004</w:t>
            </w:r>
            <w:r>
              <w:rPr>
                <w:rFonts w:hint="eastAsia"/>
                <w:b/>
                <w:bCs w:val="0"/>
                <w:color w:val="auto"/>
                <w:sz w:val="24"/>
                <w:u w:val="single"/>
              </w:rPr>
              <w:t>t/a（折合</w:t>
            </w:r>
            <w:r>
              <w:rPr>
                <w:rFonts w:hint="eastAsia"/>
                <w:b/>
                <w:bCs w:val="0"/>
                <w:color w:val="auto"/>
                <w:sz w:val="24"/>
                <w:u w:val="single"/>
                <w:lang w:val="en-US" w:eastAsia="zh-CN"/>
              </w:rPr>
              <w:t>0.0002</w:t>
            </w:r>
            <w:r>
              <w:rPr>
                <w:rFonts w:hint="eastAsia"/>
                <w:b/>
                <w:bCs w:val="0"/>
                <w:color w:val="auto"/>
                <w:sz w:val="24"/>
                <w:u w:val="single"/>
              </w:rPr>
              <w:t>kg/h）；</w:t>
            </w:r>
            <w:r>
              <w:rPr>
                <w:rFonts w:hint="eastAsia"/>
                <w:b/>
                <w:bCs w:val="0"/>
                <w:color w:val="auto"/>
                <w:sz w:val="24"/>
                <w:u w:val="single"/>
                <w:lang w:val="en-US" w:eastAsia="zh-CN"/>
              </w:rPr>
              <w:t>三</w:t>
            </w:r>
            <w:r>
              <w:rPr>
                <w:rFonts w:hint="eastAsia"/>
                <w:b/>
                <w:bCs w:val="0"/>
                <w:color w:val="auto"/>
                <w:sz w:val="24"/>
                <w:u w:val="single"/>
              </w:rPr>
              <w:t>车间</w:t>
            </w:r>
            <w:r>
              <w:rPr>
                <w:rFonts w:hint="eastAsia"/>
                <w:b/>
                <w:bCs w:val="0"/>
                <w:color w:val="auto"/>
                <w:sz w:val="24"/>
                <w:u w:val="single"/>
                <w:lang w:val="en-US" w:eastAsia="zh-CN"/>
              </w:rPr>
              <w:t>木加工</w:t>
            </w:r>
            <w:r>
              <w:rPr>
                <w:rFonts w:hint="eastAsia"/>
                <w:b/>
                <w:bCs w:val="0"/>
                <w:color w:val="auto"/>
                <w:sz w:val="24"/>
                <w:u w:val="single"/>
              </w:rPr>
              <w:t>无组织粉尘排放量约</w:t>
            </w:r>
            <w:r>
              <w:rPr>
                <w:rFonts w:hint="eastAsia"/>
                <w:b/>
                <w:bCs w:val="0"/>
                <w:color w:val="auto"/>
                <w:sz w:val="24"/>
                <w:u w:val="single"/>
                <w:lang w:val="en-US" w:eastAsia="zh-CN"/>
              </w:rPr>
              <w:t>0.0045</w:t>
            </w:r>
            <w:r>
              <w:rPr>
                <w:rFonts w:hint="eastAsia"/>
                <w:b/>
                <w:bCs w:val="0"/>
                <w:color w:val="auto"/>
                <w:sz w:val="24"/>
                <w:u w:val="single"/>
              </w:rPr>
              <w:t>t/a（折合</w:t>
            </w:r>
            <w:r>
              <w:rPr>
                <w:rFonts w:hint="eastAsia"/>
                <w:b/>
                <w:bCs w:val="0"/>
                <w:color w:val="auto"/>
                <w:sz w:val="24"/>
                <w:u w:val="single"/>
                <w:lang w:val="en-US" w:eastAsia="zh-CN"/>
              </w:rPr>
              <w:t>0.0019</w:t>
            </w:r>
            <w:r>
              <w:rPr>
                <w:rFonts w:hint="eastAsia"/>
                <w:b/>
                <w:bCs w:val="0"/>
                <w:color w:val="auto"/>
                <w:sz w:val="24"/>
                <w:u w:val="single"/>
              </w:rPr>
              <w:t>kg/h）</w:t>
            </w:r>
            <w:r>
              <w:rPr>
                <w:rFonts w:hint="eastAsia"/>
                <w:b/>
                <w:bCs w:val="0"/>
                <w:color w:val="auto"/>
                <w:sz w:val="24"/>
                <w:u w:val="single"/>
                <w:lang w:eastAsia="zh-CN"/>
              </w:rPr>
              <w:t>。</w:t>
            </w:r>
          </w:p>
          <w:p w14:paraId="1CB2A47F">
            <w:pPr>
              <w:spacing w:line="360" w:lineRule="auto"/>
              <w:ind w:firstLine="482" w:firstLineChars="200"/>
              <w:rPr>
                <w:rFonts w:hint="eastAsia"/>
                <w:b/>
                <w:bCs w:val="0"/>
                <w:color w:val="auto"/>
                <w:sz w:val="24"/>
                <w:u w:val="single"/>
                <w:lang w:val="en-US" w:eastAsia="zh-CN"/>
              </w:rPr>
            </w:pPr>
            <w:r>
              <w:rPr>
                <w:rFonts w:hint="eastAsia"/>
                <w:b/>
                <w:bCs w:val="0"/>
                <w:color w:val="auto"/>
                <w:sz w:val="24"/>
                <w:u w:val="single"/>
                <w:lang w:val="en-US" w:eastAsia="zh-CN"/>
              </w:rPr>
              <w:t>②打磨粉尘</w:t>
            </w:r>
          </w:p>
          <w:p w14:paraId="7064F63F">
            <w:pPr>
              <w:spacing w:line="360" w:lineRule="auto"/>
              <w:ind w:firstLine="480" w:firstLineChars="200"/>
              <w:rPr>
                <w:rFonts w:hint="eastAsia"/>
                <w:bCs/>
                <w:color w:val="auto"/>
                <w:sz w:val="24"/>
                <w:lang w:eastAsia="zh-CN"/>
              </w:rPr>
            </w:pPr>
            <w:r>
              <w:rPr>
                <w:rFonts w:hint="eastAsia"/>
                <w:bCs/>
                <w:color w:val="auto"/>
                <w:sz w:val="24"/>
                <w:lang w:val="en-US" w:eastAsia="zh-CN"/>
              </w:rPr>
              <w:t>根据</w:t>
            </w:r>
            <w:r>
              <w:rPr>
                <w:rFonts w:hint="eastAsia"/>
                <w:bCs/>
                <w:color w:val="auto"/>
                <w:sz w:val="24"/>
              </w:rPr>
              <w:t>《第二次全国污染源普查系数手册》中“</w:t>
            </w:r>
            <w:r>
              <w:rPr>
                <w:bCs/>
                <w:color w:val="auto"/>
                <w:sz w:val="24"/>
              </w:rPr>
              <w:t>211木质家具制造行业系数手册</w:t>
            </w:r>
            <w:r>
              <w:rPr>
                <w:rFonts w:hint="eastAsia"/>
                <w:bCs/>
                <w:color w:val="auto"/>
                <w:sz w:val="24"/>
              </w:rPr>
              <w:t>（2019年4月）”中表面光滑处理环节颗粒物产污系数23.5g/m</w:t>
            </w:r>
            <w:r>
              <w:rPr>
                <w:rFonts w:hint="eastAsia"/>
                <w:bCs/>
                <w:color w:val="auto"/>
                <w:sz w:val="24"/>
                <w:vertAlign w:val="superscript"/>
              </w:rPr>
              <w:t>2</w:t>
            </w:r>
            <w:r>
              <w:rPr>
                <w:rFonts w:hint="eastAsia"/>
                <w:bCs/>
                <w:color w:val="auto"/>
                <w:sz w:val="24"/>
              </w:rPr>
              <w:t>产品</w:t>
            </w:r>
            <w:r>
              <w:rPr>
                <w:rFonts w:hint="eastAsia"/>
                <w:bCs/>
                <w:color w:val="auto"/>
                <w:sz w:val="24"/>
                <w:lang w:eastAsia="zh-CN"/>
              </w:rPr>
              <w:t>。</w:t>
            </w:r>
          </w:p>
          <w:p w14:paraId="2C86950F">
            <w:pPr>
              <w:spacing w:line="360" w:lineRule="auto"/>
              <w:ind w:firstLine="482" w:firstLineChars="200"/>
              <w:rPr>
                <w:rFonts w:hint="eastAsia"/>
                <w:b/>
                <w:bCs w:val="0"/>
                <w:color w:val="auto"/>
                <w:sz w:val="24"/>
                <w:u w:val="single"/>
                <w:lang w:eastAsia="zh-CN"/>
              </w:rPr>
            </w:pPr>
            <w:r>
              <w:rPr>
                <w:rFonts w:hint="eastAsia"/>
                <w:b/>
                <w:bCs w:val="0"/>
                <w:color w:val="auto"/>
                <w:kern w:val="0"/>
                <w:sz w:val="24"/>
                <w:u w:val="single"/>
              </w:rPr>
              <w:t>本项目</w:t>
            </w:r>
            <w:r>
              <w:rPr>
                <w:rFonts w:hint="eastAsia"/>
                <w:b/>
                <w:bCs w:val="0"/>
                <w:color w:val="auto"/>
                <w:sz w:val="24"/>
                <w:u w:val="single"/>
                <w:lang w:val="en-US" w:eastAsia="zh-CN"/>
              </w:rPr>
              <w:t>一车间</w:t>
            </w:r>
            <w:r>
              <w:rPr>
                <w:rFonts w:hint="eastAsia"/>
                <w:b/>
                <w:bCs w:val="0"/>
                <w:color w:val="auto"/>
                <w:sz w:val="24"/>
                <w:u w:val="single"/>
              </w:rPr>
              <w:t>涉及</w:t>
            </w:r>
            <w:r>
              <w:rPr>
                <w:rFonts w:hint="eastAsia"/>
                <w:b/>
                <w:bCs w:val="0"/>
                <w:color w:val="auto"/>
                <w:sz w:val="24"/>
                <w:u w:val="single"/>
                <w:lang w:val="en-US" w:eastAsia="zh-CN"/>
              </w:rPr>
              <w:t>砂光、打磨</w:t>
            </w:r>
            <w:r>
              <w:rPr>
                <w:rFonts w:hint="eastAsia"/>
                <w:b/>
                <w:bCs w:val="0"/>
                <w:color w:val="auto"/>
                <w:sz w:val="24"/>
                <w:u w:val="single"/>
              </w:rPr>
              <w:t>工序</w:t>
            </w:r>
            <w:r>
              <w:rPr>
                <w:rFonts w:hint="eastAsia"/>
                <w:b/>
                <w:bCs w:val="0"/>
                <w:color w:val="auto"/>
                <w:sz w:val="24"/>
                <w:u w:val="single"/>
                <w:lang w:eastAsia="zh-CN"/>
              </w:rPr>
              <w:t>，</w:t>
            </w:r>
            <w:r>
              <w:rPr>
                <w:b/>
                <w:bCs w:val="0"/>
                <w:color w:val="auto"/>
                <w:kern w:val="0"/>
                <w:sz w:val="24"/>
                <w:u w:val="single"/>
              </w:rPr>
              <w:t>产品处理面积</w:t>
            </w:r>
            <w:r>
              <w:rPr>
                <w:rFonts w:hint="eastAsia"/>
                <w:b/>
                <w:bCs w:val="0"/>
                <w:color w:val="auto"/>
                <w:kern w:val="0"/>
                <w:sz w:val="24"/>
                <w:highlight w:val="none"/>
                <w:u w:val="single"/>
              </w:rPr>
              <w:t>40000</w:t>
            </w:r>
            <w:r>
              <w:rPr>
                <w:b/>
                <w:bCs w:val="0"/>
                <w:color w:val="auto"/>
                <w:kern w:val="0"/>
                <w:sz w:val="24"/>
                <w:highlight w:val="none"/>
                <w:u w:val="single"/>
              </w:rPr>
              <w:t>m</w:t>
            </w:r>
            <w:r>
              <w:rPr>
                <w:b/>
                <w:bCs w:val="0"/>
                <w:color w:val="auto"/>
                <w:kern w:val="0"/>
                <w:sz w:val="24"/>
                <w:highlight w:val="none"/>
                <w:u w:val="single"/>
                <w:vertAlign w:val="superscript"/>
              </w:rPr>
              <w:t>2</w:t>
            </w:r>
            <w:r>
              <w:rPr>
                <w:b/>
                <w:bCs w:val="0"/>
                <w:color w:val="auto"/>
                <w:kern w:val="0"/>
                <w:sz w:val="24"/>
                <w:highlight w:val="none"/>
                <w:u w:val="single"/>
              </w:rPr>
              <w:t>/a</w:t>
            </w:r>
            <w:r>
              <w:rPr>
                <w:rFonts w:hint="eastAsia"/>
                <w:b/>
                <w:bCs w:val="0"/>
                <w:color w:val="auto"/>
                <w:kern w:val="0"/>
                <w:sz w:val="24"/>
                <w:highlight w:val="none"/>
                <w:u w:val="single"/>
                <w:lang w:eastAsia="zh-CN"/>
              </w:rPr>
              <w:t>，</w:t>
            </w:r>
            <w:r>
              <w:rPr>
                <w:rFonts w:hint="eastAsia"/>
                <w:b/>
                <w:bCs w:val="0"/>
                <w:color w:val="auto"/>
                <w:sz w:val="24"/>
                <w:u w:val="single"/>
              </w:rPr>
              <w:t>工作时间：300d/a、8h/d，颗粒物产生量</w:t>
            </w:r>
            <w:r>
              <w:rPr>
                <w:rFonts w:hint="eastAsia"/>
                <w:b/>
                <w:bCs w:val="0"/>
                <w:color w:val="auto"/>
                <w:sz w:val="24"/>
                <w:u w:val="single"/>
                <w:lang w:val="en-US" w:eastAsia="zh-CN"/>
              </w:rPr>
              <w:t>1.88</w:t>
            </w:r>
            <w:r>
              <w:rPr>
                <w:rFonts w:hint="eastAsia"/>
                <w:b/>
                <w:bCs w:val="0"/>
                <w:color w:val="auto"/>
                <w:sz w:val="24"/>
                <w:u w:val="single"/>
              </w:rPr>
              <w:t>t/a。为降低车间粉尘无组织排放量，评价要求建设单位在每处产尘设备处设置集气罩，集尘后经负压引风通道引至车间外中央除尘器处理后通过15m高排气筒</w:t>
            </w:r>
            <w:r>
              <w:rPr>
                <w:rFonts w:hint="eastAsia"/>
                <w:b/>
                <w:bCs w:val="0"/>
                <w:color w:val="auto"/>
                <w:sz w:val="24"/>
                <w:u w:val="single"/>
                <w:lang w:eastAsia="zh-CN"/>
              </w:rPr>
              <w:t>（</w:t>
            </w:r>
            <w:r>
              <w:rPr>
                <w:rFonts w:hint="eastAsia"/>
                <w:b/>
                <w:bCs w:val="0"/>
                <w:color w:val="auto"/>
                <w:sz w:val="24"/>
                <w:u w:val="single"/>
                <w:lang w:val="en-US" w:eastAsia="zh-CN"/>
              </w:rPr>
              <w:t>DA001</w:t>
            </w:r>
            <w:r>
              <w:rPr>
                <w:rFonts w:hint="eastAsia"/>
                <w:b/>
                <w:bCs w:val="0"/>
                <w:color w:val="auto"/>
                <w:sz w:val="24"/>
                <w:u w:val="single"/>
                <w:lang w:eastAsia="zh-CN"/>
              </w:rPr>
              <w:t>）</w:t>
            </w:r>
            <w:r>
              <w:rPr>
                <w:rFonts w:hint="eastAsia"/>
                <w:b/>
                <w:bCs w:val="0"/>
                <w:color w:val="auto"/>
                <w:sz w:val="24"/>
                <w:u w:val="single"/>
              </w:rPr>
              <w:t>排放。车间内集气罩收集效率以90%计，除尘效率以9</w:t>
            </w:r>
            <w:r>
              <w:rPr>
                <w:rFonts w:hint="eastAsia"/>
                <w:b/>
                <w:bCs w:val="0"/>
                <w:color w:val="auto"/>
                <w:sz w:val="24"/>
                <w:u w:val="single"/>
                <w:lang w:val="en-US" w:eastAsia="zh-CN"/>
              </w:rPr>
              <w:t>9%计</w:t>
            </w:r>
            <w:r>
              <w:rPr>
                <w:rFonts w:hint="eastAsia"/>
                <w:b/>
                <w:bCs w:val="0"/>
                <w:color w:val="auto"/>
                <w:sz w:val="24"/>
                <w:u w:val="single"/>
              </w:rPr>
              <w:t>（根据《废气处理工程技术手册》P201）</w:t>
            </w:r>
            <w:r>
              <w:rPr>
                <w:rFonts w:hint="eastAsia"/>
                <w:b/>
                <w:bCs w:val="0"/>
                <w:color w:val="auto"/>
                <w:sz w:val="24"/>
                <w:u w:val="single"/>
                <w:lang w:eastAsia="zh-CN"/>
              </w:rPr>
              <w:t>，</w:t>
            </w:r>
            <w:r>
              <w:rPr>
                <w:rFonts w:hint="eastAsia"/>
                <w:b/>
                <w:bCs w:val="0"/>
                <w:color w:val="auto"/>
                <w:sz w:val="24"/>
                <w:u w:val="single"/>
              </w:rPr>
              <w:t>则</w:t>
            </w:r>
            <w:r>
              <w:rPr>
                <w:rFonts w:hint="eastAsia"/>
                <w:b/>
                <w:bCs w:val="0"/>
                <w:color w:val="auto"/>
                <w:sz w:val="24"/>
                <w:u w:val="single"/>
                <w:lang w:val="en-US" w:eastAsia="zh-CN"/>
              </w:rPr>
              <w:t>一车间打磨</w:t>
            </w:r>
            <w:r>
              <w:rPr>
                <w:rFonts w:hint="eastAsia"/>
                <w:b/>
                <w:bCs w:val="0"/>
                <w:color w:val="auto"/>
                <w:sz w:val="24"/>
                <w:u w:val="single"/>
              </w:rPr>
              <w:t>有组织粉尘产生量</w:t>
            </w:r>
            <w:r>
              <w:rPr>
                <w:rFonts w:hint="eastAsia"/>
                <w:b/>
                <w:bCs w:val="0"/>
                <w:color w:val="auto"/>
                <w:sz w:val="24"/>
                <w:u w:val="single"/>
                <w:lang w:val="en-US" w:eastAsia="zh-CN"/>
              </w:rPr>
              <w:t>1.692</w:t>
            </w:r>
            <w:r>
              <w:rPr>
                <w:rFonts w:hint="eastAsia"/>
                <w:b/>
                <w:bCs w:val="0"/>
                <w:color w:val="auto"/>
                <w:sz w:val="24"/>
                <w:u w:val="single"/>
              </w:rPr>
              <w:t>t/a（折合</w:t>
            </w:r>
            <w:r>
              <w:rPr>
                <w:rFonts w:hint="eastAsia"/>
                <w:b/>
                <w:bCs w:val="0"/>
                <w:color w:val="auto"/>
                <w:sz w:val="24"/>
                <w:u w:val="single"/>
                <w:lang w:val="en-US" w:eastAsia="zh-CN"/>
              </w:rPr>
              <w:t>0.705</w:t>
            </w:r>
            <w:r>
              <w:rPr>
                <w:rFonts w:hint="eastAsia"/>
                <w:b/>
                <w:bCs w:val="0"/>
                <w:color w:val="auto"/>
                <w:sz w:val="24"/>
                <w:u w:val="single"/>
              </w:rPr>
              <w:t>kg/h），有组织粉尘排放量</w:t>
            </w:r>
            <w:r>
              <w:rPr>
                <w:rFonts w:hint="eastAsia"/>
                <w:b/>
                <w:bCs w:val="0"/>
                <w:color w:val="auto"/>
                <w:sz w:val="24"/>
                <w:u w:val="single"/>
                <w:lang w:val="en-US" w:eastAsia="zh-CN"/>
              </w:rPr>
              <w:t>0.0169</w:t>
            </w:r>
            <w:r>
              <w:rPr>
                <w:rFonts w:hint="eastAsia"/>
                <w:b/>
                <w:bCs w:val="0"/>
                <w:color w:val="auto"/>
                <w:sz w:val="24"/>
                <w:u w:val="single"/>
              </w:rPr>
              <w:t>t/a（折合</w:t>
            </w:r>
            <w:r>
              <w:rPr>
                <w:rFonts w:hint="eastAsia"/>
                <w:b/>
                <w:bCs w:val="0"/>
                <w:color w:val="auto"/>
                <w:sz w:val="24"/>
                <w:u w:val="single"/>
                <w:lang w:val="en-US" w:eastAsia="zh-CN"/>
              </w:rPr>
              <w:t>0.0070</w:t>
            </w:r>
            <w:r>
              <w:rPr>
                <w:rFonts w:hint="eastAsia"/>
                <w:b/>
                <w:bCs w:val="0"/>
                <w:color w:val="auto"/>
                <w:sz w:val="24"/>
                <w:u w:val="single"/>
              </w:rPr>
              <w:t>kg/h）；</w:t>
            </w:r>
            <w:r>
              <w:rPr>
                <w:rFonts w:hint="eastAsia"/>
                <w:b/>
                <w:bCs w:val="0"/>
                <w:color w:val="auto"/>
                <w:sz w:val="24"/>
                <w:u w:val="single"/>
                <w:lang w:val="en-US" w:eastAsia="zh-CN"/>
              </w:rPr>
              <w:t>一</w:t>
            </w:r>
            <w:r>
              <w:rPr>
                <w:rFonts w:hint="eastAsia"/>
                <w:b/>
                <w:bCs w:val="0"/>
                <w:color w:val="auto"/>
                <w:sz w:val="24"/>
                <w:u w:val="single"/>
              </w:rPr>
              <w:t>车间</w:t>
            </w:r>
            <w:r>
              <w:rPr>
                <w:rFonts w:hint="eastAsia"/>
                <w:b/>
                <w:bCs w:val="0"/>
                <w:color w:val="auto"/>
                <w:sz w:val="24"/>
                <w:u w:val="single"/>
                <w:lang w:val="en-US" w:eastAsia="zh-CN"/>
              </w:rPr>
              <w:t>打磨</w:t>
            </w:r>
            <w:r>
              <w:rPr>
                <w:rFonts w:hint="eastAsia"/>
                <w:b/>
                <w:bCs w:val="0"/>
                <w:color w:val="auto"/>
                <w:sz w:val="24"/>
                <w:u w:val="single"/>
              </w:rPr>
              <w:t>无组织粉尘排放量约</w:t>
            </w:r>
            <w:r>
              <w:rPr>
                <w:rFonts w:hint="eastAsia"/>
                <w:b/>
                <w:bCs w:val="0"/>
                <w:color w:val="auto"/>
                <w:sz w:val="24"/>
                <w:u w:val="single"/>
                <w:lang w:val="en-US" w:eastAsia="zh-CN"/>
              </w:rPr>
              <w:t>0.188</w:t>
            </w:r>
            <w:r>
              <w:rPr>
                <w:rFonts w:hint="eastAsia"/>
                <w:b/>
                <w:bCs w:val="0"/>
                <w:color w:val="auto"/>
                <w:sz w:val="24"/>
                <w:u w:val="single"/>
              </w:rPr>
              <w:t>t/a（折合</w:t>
            </w:r>
            <w:r>
              <w:rPr>
                <w:rFonts w:hint="eastAsia"/>
                <w:b/>
                <w:bCs w:val="0"/>
                <w:color w:val="auto"/>
                <w:sz w:val="24"/>
                <w:u w:val="single"/>
                <w:lang w:val="en-US" w:eastAsia="zh-CN"/>
              </w:rPr>
              <w:t>0.0783</w:t>
            </w:r>
            <w:r>
              <w:rPr>
                <w:rFonts w:hint="eastAsia"/>
                <w:b/>
                <w:bCs w:val="0"/>
                <w:color w:val="auto"/>
                <w:sz w:val="24"/>
                <w:u w:val="single"/>
              </w:rPr>
              <w:t>kg/h）</w:t>
            </w:r>
            <w:r>
              <w:rPr>
                <w:rFonts w:hint="eastAsia"/>
                <w:b/>
                <w:bCs w:val="0"/>
                <w:color w:val="auto"/>
                <w:sz w:val="24"/>
                <w:u w:val="single"/>
                <w:lang w:eastAsia="zh-CN"/>
              </w:rPr>
              <w:t>。</w:t>
            </w:r>
          </w:p>
          <w:p w14:paraId="05B734CA">
            <w:pPr>
              <w:spacing w:line="360" w:lineRule="auto"/>
              <w:ind w:firstLine="482" w:firstLineChars="200"/>
              <w:rPr>
                <w:rFonts w:hint="eastAsia"/>
                <w:b/>
                <w:bCs w:val="0"/>
                <w:color w:val="auto"/>
                <w:sz w:val="24"/>
                <w:u w:val="single"/>
                <w:lang w:eastAsia="zh-CN"/>
              </w:rPr>
            </w:pPr>
            <w:r>
              <w:rPr>
                <w:rFonts w:hint="eastAsia"/>
                <w:b/>
                <w:bCs w:val="0"/>
                <w:color w:val="auto"/>
                <w:kern w:val="0"/>
                <w:sz w:val="24"/>
                <w:u w:val="single"/>
              </w:rPr>
              <w:t>本项目</w:t>
            </w:r>
            <w:r>
              <w:rPr>
                <w:rFonts w:hint="eastAsia"/>
                <w:b/>
                <w:bCs w:val="0"/>
                <w:color w:val="auto"/>
                <w:sz w:val="24"/>
                <w:u w:val="single"/>
                <w:lang w:val="en-US" w:eastAsia="zh-CN"/>
              </w:rPr>
              <w:t>二车间</w:t>
            </w:r>
            <w:r>
              <w:rPr>
                <w:rFonts w:hint="eastAsia"/>
                <w:b/>
                <w:bCs w:val="0"/>
                <w:color w:val="auto"/>
                <w:sz w:val="24"/>
                <w:u w:val="single"/>
              </w:rPr>
              <w:t>涉及</w:t>
            </w:r>
            <w:r>
              <w:rPr>
                <w:rFonts w:hint="eastAsia"/>
                <w:b/>
                <w:bCs w:val="0"/>
                <w:color w:val="auto"/>
                <w:sz w:val="24"/>
                <w:u w:val="single"/>
                <w:lang w:val="en-US" w:eastAsia="zh-CN"/>
              </w:rPr>
              <w:t>砂光</w:t>
            </w:r>
            <w:r>
              <w:rPr>
                <w:rFonts w:hint="eastAsia"/>
                <w:b/>
                <w:bCs w:val="0"/>
                <w:color w:val="auto"/>
                <w:sz w:val="24"/>
                <w:u w:val="single"/>
              </w:rPr>
              <w:t>工序</w:t>
            </w:r>
            <w:r>
              <w:rPr>
                <w:rFonts w:hint="eastAsia"/>
                <w:b/>
                <w:bCs w:val="0"/>
                <w:color w:val="auto"/>
                <w:sz w:val="24"/>
                <w:u w:val="single"/>
                <w:lang w:eastAsia="zh-CN"/>
              </w:rPr>
              <w:t>，</w:t>
            </w:r>
            <w:r>
              <w:rPr>
                <w:b/>
                <w:bCs w:val="0"/>
                <w:color w:val="auto"/>
                <w:kern w:val="0"/>
                <w:sz w:val="24"/>
                <w:u w:val="single"/>
              </w:rPr>
              <w:t>产品处理面积</w:t>
            </w:r>
            <w:r>
              <w:rPr>
                <w:rFonts w:hint="eastAsia"/>
                <w:b/>
                <w:bCs w:val="0"/>
                <w:color w:val="auto"/>
                <w:kern w:val="0"/>
                <w:sz w:val="24"/>
                <w:highlight w:val="none"/>
                <w:u w:val="single"/>
              </w:rPr>
              <w:t>12500</w:t>
            </w:r>
            <w:r>
              <w:rPr>
                <w:b/>
                <w:bCs w:val="0"/>
                <w:color w:val="auto"/>
                <w:kern w:val="0"/>
                <w:sz w:val="24"/>
                <w:highlight w:val="none"/>
                <w:u w:val="single"/>
              </w:rPr>
              <w:t>m</w:t>
            </w:r>
            <w:r>
              <w:rPr>
                <w:b/>
                <w:bCs w:val="0"/>
                <w:color w:val="auto"/>
                <w:kern w:val="0"/>
                <w:sz w:val="24"/>
                <w:highlight w:val="none"/>
                <w:u w:val="single"/>
                <w:vertAlign w:val="superscript"/>
              </w:rPr>
              <w:t>2</w:t>
            </w:r>
            <w:r>
              <w:rPr>
                <w:b/>
                <w:bCs w:val="0"/>
                <w:color w:val="auto"/>
                <w:kern w:val="0"/>
                <w:sz w:val="24"/>
                <w:highlight w:val="none"/>
                <w:u w:val="single"/>
              </w:rPr>
              <w:t>/a</w:t>
            </w:r>
            <w:r>
              <w:rPr>
                <w:rFonts w:hint="eastAsia"/>
                <w:b/>
                <w:bCs w:val="0"/>
                <w:color w:val="auto"/>
                <w:kern w:val="0"/>
                <w:sz w:val="24"/>
                <w:highlight w:val="none"/>
                <w:u w:val="single"/>
                <w:lang w:eastAsia="zh-CN"/>
              </w:rPr>
              <w:t>，</w:t>
            </w:r>
            <w:r>
              <w:rPr>
                <w:rFonts w:hint="eastAsia"/>
                <w:b/>
                <w:bCs w:val="0"/>
                <w:color w:val="auto"/>
                <w:sz w:val="24"/>
                <w:u w:val="single"/>
              </w:rPr>
              <w:t>工作时间：300d/a、8h/d，颗粒物产生量</w:t>
            </w:r>
            <w:r>
              <w:rPr>
                <w:rFonts w:hint="eastAsia"/>
                <w:b/>
                <w:bCs w:val="0"/>
                <w:color w:val="auto"/>
                <w:sz w:val="24"/>
                <w:u w:val="single"/>
                <w:lang w:val="en-US" w:eastAsia="zh-CN"/>
              </w:rPr>
              <w:t>0.2938</w:t>
            </w:r>
            <w:r>
              <w:rPr>
                <w:rFonts w:hint="eastAsia"/>
                <w:b/>
                <w:bCs w:val="0"/>
                <w:color w:val="auto"/>
                <w:sz w:val="24"/>
                <w:u w:val="single"/>
              </w:rPr>
              <w:t>t/a。为降低车间粉尘无组织排放量，评价要求建设单位在每处产尘设备处设置集气罩，集尘后经负压引风通道引至车间外中央除尘器处理后通过15m高排气筒</w:t>
            </w:r>
            <w:r>
              <w:rPr>
                <w:rFonts w:hint="eastAsia"/>
                <w:b/>
                <w:bCs w:val="0"/>
                <w:color w:val="auto"/>
                <w:sz w:val="24"/>
                <w:u w:val="single"/>
                <w:lang w:eastAsia="zh-CN"/>
              </w:rPr>
              <w:t>（</w:t>
            </w:r>
            <w:r>
              <w:rPr>
                <w:rFonts w:hint="eastAsia"/>
                <w:b/>
                <w:bCs w:val="0"/>
                <w:color w:val="auto"/>
                <w:sz w:val="24"/>
                <w:u w:val="single"/>
                <w:lang w:val="en-US" w:eastAsia="zh-CN"/>
              </w:rPr>
              <w:t>DA002</w:t>
            </w:r>
            <w:r>
              <w:rPr>
                <w:rFonts w:hint="eastAsia"/>
                <w:b/>
                <w:bCs w:val="0"/>
                <w:color w:val="auto"/>
                <w:sz w:val="24"/>
                <w:u w:val="single"/>
                <w:lang w:eastAsia="zh-CN"/>
              </w:rPr>
              <w:t>）</w:t>
            </w:r>
            <w:r>
              <w:rPr>
                <w:rFonts w:hint="eastAsia"/>
                <w:b/>
                <w:bCs w:val="0"/>
                <w:color w:val="auto"/>
                <w:sz w:val="24"/>
                <w:u w:val="single"/>
              </w:rPr>
              <w:t>排放。车间内集气罩收集效率以90%计，除尘效率以9</w:t>
            </w:r>
            <w:r>
              <w:rPr>
                <w:rFonts w:hint="eastAsia"/>
                <w:b/>
                <w:bCs w:val="0"/>
                <w:color w:val="auto"/>
                <w:sz w:val="24"/>
                <w:u w:val="single"/>
                <w:lang w:val="en-US" w:eastAsia="zh-CN"/>
              </w:rPr>
              <w:t>9%计</w:t>
            </w:r>
            <w:r>
              <w:rPr>
                <w:rFonts w:hint="eastAsia"/>
                <w:b/>
                <w:bCs w:val="0"/>
                <w:color w:val="auto"/>
                <w:sz w:val="24"/>
                <w:u w:val="single"/>
              </w:rPr>
              <w:t>（根据《废气处理工程技术手册》P201）</w:t>
            </w:r>
            <w:r>
              <w:rPr>
                <w:rFonts w:hint="eastAsia"/>
                <w:b/>
                <w:bCs w:val="0"/>
                <w:color w:val="auto"/>
                <w:sz w:val="24"/>
                <w:u w:val="single"/>
                <w:lang w:eastAsia="zh-CN"/>
              </w:rPr>
              <w:t>，</w:t>
            </w:r>
            <w:r>
              <w:rPr>
                <w:rFonts w:hint="eastAsia"/>
                <w:b/>
                <w:bCs w:val="0"/>
                <w:color w:val="auto"/>
                <w:sz w:val="24"/>
                <w:u w:val="single"/>
              </w:rPr>
              <w:t>则</w:t>
            </w:r>
            <w:r>
              <w:rPr>
                <w:rFonts w:hint="eastAsia"/>
                <w:b/>
                <w:bCs w:val="0"/>
                <w:color w:val="auto"/>
                <w:sz w:val="24"/>
                <w:u w:val="single"/>
                <w:lang w:val="en-US" w:eastAsia="zh-CN"/>
              </w:rPr>
              <w:t>二车间打磨</w:t>
            </w:r>
            <w:r>
              <w:rPr>
                <w:rFonts w:hint="eastAsia"/>
                <w:b/>
                <w:bCs w:val="0"/>
                <w:color w:val="auto"/>
                <w:sz w:val="24"/>
                <w:u w:val="single"/>
              </w:rPr>
              <w:t>有组织粉尘产生量</w:t>
            </w:r>
            <w:r>
              <w:rPr>
                <w:rFonts w:hint="eastAsia"/>
                <w:b/>
                <w:bCs w:val="0"/>
                <w:color w:val="auto"/>
                <w:sz w:val="24"/>
                <w:u w:val="single"/>
                <w:lang w:val="en-US" w:eastAsia="zh-CN"/>
              </w:rPr>
              <w:t>0.2644</w:t>
            </w:r>
            <w:r>
              <w:rPr>
                <w:rFonts w:hint="eastAsia"/>
                <w:b/>
                <w:bCs w:val="0"/>
                <w:color w:val="auto"/>
                <w:sz w:val="24"/>
                <w:u w:val="single"/>
              </w:rPr>
              <w:t>t/a（折合</w:t>
            </w:r>
            <w:r>
              <w:rPr>
                <w:rFonts w:hint="eastAsia"/>
                <w:b/>
                <w:bCs w:val="0"/>
                <w:color w:val="auto"/>
                <w:sz w:val="24"/>
                <w:u w:val="single"/>
                <w:lang w:val="en-US" w:eastAsia="zh-CN"/>
              </w:rPr>
              <w:t>0.1102</w:t>
            </w:r>
            <w:r>
              <w:rPr>
                <w:rFonts w:hint="eastAsia"/>
                <w:b/>
                <w:bCs w:val="0"/>
                <w:color w:val="auto"/>
                <w:sz w:val="24"/>
                <w:u w:val="single"/>
              </w:rPr>
              <w:t>kg/h），有组织粉尘排放量</w:t>
            </w:r>
            <w:r>
              <w:rPr>
                <w:rFonts w:hint="eastAsia"/>
                <w:b/>
                <w:bCs w:val="0"/>
                <w:color w:val="auto"/>
                <w:sz w:val="24"/>
                <w:u w:val="single"/>
                <w:lang w:val="en-US" w:eastAsia="zh-CN"/>
              </w:rPr>
              <w:t>0.0026</w:t>
            </w:r>
            <w:r>
              <w:rPr>
                <w:rFonts w:hint="eastAsia"/>
                <w:b/>
                <w:bCs w:val="0"/>
                <w:color w:val="auto"/>
                <w:sz w:val="24"/>
                <w:u w:val="single"/>
              </w:rPr>
              <w:t>t/a（折合</w:t>
            </w:r>
            <w:r>
              <w:rPr>
                <w:rFonts w:hint="eastAsia"/>
                <w:b/>
                <w:bCs w:val="0"/>
                <w:color w:val="auto"/>
                <w:sz w:val="24"/>
                <w:u w:val="single"/>
                <w:lang w:val="en-US" w:eastAsia="zh-CN"/>
              </w:rPr>
              <w:t>0.0011</w:t>
            </w:r>
            <w:r>
              <w:rPr>
                <w:rFonts w:hint="eastAsia"/>
                <w:b/>
                <w:bCs w:val="0"/>
                <w:color w:val="auto"/>
                <w:sz w:val="24"/>
                <w:u w:val="single"/>
              </w:rPr>
              <w:t>kg/h）；</w:t>
            </w:r>
            <w:r>
              <w:rPr>
                <w:rFonts w:hint="eastAsia"/>
                <w:b/>
                <w:bCs w:val="0"/>
                <w:color w:val="auto"/>
                <w:sz w:val="24"/>
                <w:u w:val="single"/>
                <w:lang w:val="en-US" w:eastAsia="zh-CN"/>
              </w:rPr>
              <w:t>二</w:t>
            </w:r>
            <w:r>
              <w:rPr>
                <w:rFonts w:hint="eastAsia"/>
                <w:b/>
                <w:bCs w:val="0"/>
                <w:color w:val="auto"/>
                <w:sz w:val="24"/>
                <w:u w:val="single"/>
              </w:rPr>
              <w:t>车间</w:t>
            </w:r>
            <w:r>
              <w:rPr>
                <w:rFonts w:hint="eastAsia"/>
                <w:b/>
                <w:bCs w:val="0"/>
                <w:color w:val="auto"/>
                <w:sz w:val="24"/>
                <w:u w:val="single"/>
                <w:lang w:val="en-US" w:eastAsia="zh-CN"/>
              </w:rPr>
              <w:t>打磨</w:t>
            </w:r>
            <w:r>
              <w:rPr>
                <w:rFonts w:hint="eastAsia"/>
                <w:b/>
                <w:bCs w:val="0"/>
                <w:color w:val="auto"/>
                <w:sz w:val="24"/>
                <w:u w:val="single"/>
              </w:rPr>
              <w:t>无组织粉尘排放量约</w:t>
            </w:r>
            <w:r>
              <w:rPr>
                <w:rFonts w:hint="eastAsia"/>
                <w:b/>
                <w:bCs w:val="0"/>
                <w:color w:val="auto"/>
                <w:sz w:val="24"/>
                <w:u w:val="single"/>
                <w:lang w:val="en-US" w:eastAsia="zh-CN"/>
              </w:rPr>
              <w:t>0.0294</w:t>
            </w:r>
            <w:r>
              <w:rPr>
                <w:rFonts w:hint="eastAsia"/>
                <w:b/>
                <w:bCs w:val="0"/>
                <w:color w:val="auto"/>
                <w:sz w:val="24"/>
                <w:u w:val="single"/>
              </w:rPr>
              <w:t>t/a（折合</w:t>
            </w:r>
            <w:r>
              <w:rPr>
                <w:rFonts w:hint="eastAsia"/>
                <w:b/>
                <w:bCs w:val="0"/>
                <w:color w:val="auto"/>
                <w:sz w:val="24"/>
                <w:u w:val="single"/>
                <w:lang w:val="en-US" w:eastAsia="zh-CN"/>
              </w:rPr>
              <w:t>0.0123</w:t>
            </w:r>
            <w:r>
              <w:rPr>
                <w:rFonts w:hint="eastAsia"/>
                <w:b/>
                <w:bCs w:val="0"/>
                <w:color w:val="auto"/>
                <w:sz w:val="24"/>
                <w:u w:val="single"/>
              </w:rPr>
              <w:t>kg/h）</w:t>
            </w:r>
            <w:r>
              <w:rPr>
                <w:rFonts w:hint="eastAsia"/>
                <w:b/>
                <w:bCs w:val="0"/>
                <w:color w:val="auto"/>
                <w:sz w:val="24"/>
                <w:u w:val="single"/>
                <w:lang w:eastAsia="zh-CN"/>
              </w:rPr>
              <w:t>。</w:t>
            </w:r>
          </w:p>
          <w:p w14:paraId="33AD282C">
            <w:pPr>
              <w:spacing w:line="360" w:lineRule="auto"/>
              <w:ind w:firstLine="482" w:firstLineChars="200"/>
              <w:rPr>
                <w:rFonts w:hint="eastAsia"/>
                <w:b/>
                <w:bCs w:val="0"/>
                <w:color w:val="auto"/>
                <w:sz w:val="24"/>
                <w:u w:val="single"/>
                <w:lang w:eastAsia="zh-CN"/>
              </w:rPr>
            </w:pPr>
            <w:r>
              <w:rPr>
                <w:rFonts w:hint="eastAsia"/>
                <w:b/>
                <w:bCs w:val="0"/>
                <w:color w:val="auto"/>
                <w:kern w:val="0"/>
                <w:sz w:val="24"/>
                <w:u w:val="single"/>
              </w:rPr>
              <w:t>本项目</w:t>
            </w:r>
            <w:r>
              <w:rPr>
                <w:rFonts w:hint="eastAsia"/>
                <w:b/>
                <w:bCs w:val="0"/>
                <w:color w:val="auto"/>
                <w:sz w:val="24"/>
                <w:u w:val="single"/>
                <w:lang w:val="en-US" w:eastAsia="zh-CN"/>
              </w:rPr>
              <w:t>三车间</w:t>
            </w:r>
            <w:r>
              <w:rPr>
                <w:rFonts w:hint="eastAsia"/>
                <w:b/>
                <w:bCs w:val="0"/>
                <w:color w:val="auto"/>
                <w:sz w:val="24"/>
                <w:u w:val="single"/>
              </w:rPr>
              <w:t>涉及</w:t>
            </w:r>
            <w:r>
              <w:rPr>
                <w:rFonts w:hint="eastAsia"/>
                <w:b/>
                <w:bCs w:val="0"/>
                <w:color w:val="auto"/>
                <w:sz w:val="24"/>
                <w:u w:val="single"/>
                <w:lang w:val="en-US" w:eastAsia="zh-CN"/>
              </w:rPr>
              <w:t>砂光</w:t>
            </w:r>
            <w:r>
              <w:rPr>
                <w:rFonts w:hint="eastAsia"/>
                <w:b/>
                <w:bCs w:val="0"/>
                <w:color w:val="auto"/>
                <w:sz w:val="24"/>
                <w:u w:val="single"/>
              </w:rPr>
              <w:t>工序</w:t>
            </w:r>
            <w:r>
              <w:rPr>
                <w:rFonts w:hint="eastAsia"/>
                <w:b/>
                <w:bCs w:val="0"/>
                <w:color w:val="auto"/>
                <w:sz w:val="24"/>
                <w:u w:val="single"/>
                <w:lang w:eastAsia="zh-CN"/>
              </w:rPr>
              <w:t>，</w:t>
            </w:r>
            <w:r>
              <w:rPr>
                <w:b/>
                <w:bCs w:val="0"/>
                <w:color w:val="auto"/>
                <w:kern w:val="0"/>
                <w:sz w:val="24"/>
                <w:u w:val="single"/>
              </w:rPr>
              <w:t>产品处理面积</w:t>
            </w:r>
            <w:r>
              <w:rPr>
                <w:rFonts w:hint="eastAsia"/>
                <w:b/>
                <w:bCs w:val="0"/>
                <w:color w:val="auto"/>
                <w:kern w:val="0"/>
                <w:sz w:val="24"/>
                <w:highlight w:val="none"/>
                <w:u w:val="single"/>
              </w:rPr>
              <w:t>12500</w:t>
            </w:r>
            <w:r>
              <w:rPr>
                <w:b/>
                <w:bCs w:val="0"/>
                <w:color w:val="auto"/>
                <w:kern w:val="0"/>
                <w:sz w:val="24"/>
                <w:highlight w:val="none"/>
                <w:u w:val="single"/>
              </w:rPr>
              <w:t>m</w:t>
            </w:r>
            <w:r>
              <w:rPr>
                <w:b/>
                <w:bCs w:val="0"/>
                <w:color w:val="auto"/>
                <w:kern w:val="0"/>
                <w:sz w:val="24"/>
                <w:highlight w:val="none"/>
                <w:u w:val="single"/>
                <w:vertAlign w:val="superscript"/>
              </w:rPr>
              <w:t>2</w:t>
            </w:r>
            <w:r>
              <w:rPr>
                <w:b/>
                <w:bCs w:val="0"/>
                <w:color w:val="auto"/>
                <w:kern w:val="0"/>
                <w:sz w:val="24"/>
                <w:highlight w:val="none"/>
                <w:u w:val="single"/>
              </w:rPr>
              <w:t>/a</w:t>
            </w:r>
            <w:r>
              <w:rPr>
                <w:rFonts w:hint="eastAsia"/>
                <w:b/>
                <w:bCs w:val="0"/>
                <w:color w:val="auto"/>
                <w:kern w:val="0"/>
                <w:sz w:val="24"/>
                <w:highlight w:val="none"/>
                <w:u w:val="single"/>
                <w:lang w:eastAsia="zh-CN"/>
              </w:rPr>
              <w:t>，</w:t>
            </w:r>
            <w:r>
              <w:rPr>
                <w:rFonts w:hint="eastAsia"/>
                <w:b/>
                <w:bCs w:val="0"/>
                <w:color w:val="auto"/>
                <w:sz w:val="24"/>
                <w:u w:val="single"/>
              </w:rPr>
              <w:t>工作时间：300d/a、8h/d，颗粒物产生量</w:t>
            </w:r>
            <w:r>
              <w:rPr>
                <w:rFonts w:hint="eastAsia"/>
                <w:b/>
                <w:bCs w:val="0"/>
                <w:color w:val="auto"/>
                <w:sz w:val="24"/>
                <w:u w:val="single"/>
                <w:lang w:val="en-US" w:eastAsia="zh-CN"/>
              </w:rPr>
              <w:t>0.2938</w:t>
            </w:r>
            <w:r>
              <w:rPr>
                <w:rFonts w:hint="eastAsia"/>
                <w:b/>
                <w:bCs w:val="0"/>
                <w:color w:val="auto"/>
                <w:sz w:val="24"/>
                <w:u w:val="single"/>
              </w:rPr>
              <w:t>t/a。为降低车间粉尘无组织排放量，评价要求建设单位在每处产尘设备处设置集气罩，集尘后经负压引风通道引至车间外中央除尘器处理后通过15m高排气筒</w:t>
            </w:r>
            <w:r>
              <w:rPr>
                <w:rFonts w:hint="eastAsia"/>
                <w:b/>
                <w:bCs w:val="0"/>
                <w:color w:val="auto"/>
                <w:sz w:val="24"/>
                <w:u w:val="single"/>
                <w:lang w:eastAsia="zh-CN"/>
              </w:rPr>
              <w:t>（</w:t>
            </w:r>
            <w:r>
              <w:rPr>
                <w:rFonts w:hint="eastAsia"/>
                <w:b/>
                <w:bCs w:val="0"/>
                <w:color w:val="auto"/>
                <w:sz w:val="24"/>
                <w:u w:val="single"/>
                <w:lang w:val="en-US" w:eastAsia="zh-CN"/>
              </w:rPr>
              <w:t>DA003</w:t>
            </w:r>
            <w:r>
              <w:rPr>
                <w:rFonts w:hint="eastAsia"/>
                <w:b/>
                <w:bCs w:val="0"/>
                <w:color w:val="auto"/>
                <w:sz w:val="24"/>
                <w:u w:val="single"/>
                <w:lang w:eastAsia="zh-CN"/>
              </w:rPr>
              <w:t>）</w:t>
            </w:r>
            <w:r>
              <w:rPr>
                <w:rFonts w:hint="eastAsia"/>
                <w:b/>
                <w:bCs w:val="0"/>
                <w:color w:val="auto"/>
                <w:sz w:val="24"/>
                <w:u w:val="single"/>
              </w:rPr>
              <w:t>排放。车间内集气罩收集效率以90%计，除尘效率以9</w:t>
            </w:r>
            <w:r>
              <w:rPr>
                <w:rFonts w:hint="eastAsia"/>
                <w:b/>
                <w:bCs w:val="0"/>
                <w:color w:val="auto"/>
                <w:sz w:val="24"/>
                <w:u w:val="single"/>
                <w:lang w:val="en-US" w:eastAsia="zh-CN"/>
              </w:rPr>
              <w:t>9%计</w:t>
            </w:r>
            <w:r>
              <w:rPr>
                <w:rFonts w:hint="eastAsia"/>
                <w:b/>
                <w:bCs w:val="0"/>
                <w:color w:val="auto"/>
                <w:sz w:val="24"/>
                <w:u w:val="single"/>
              </w:rPr>
              <w:t>（根据《废气处理工程技术手册》P201）</w:t>
            </w:r>
            <w:r>
              <w:rPr>
                <w:rFonts w:hint="eastAsia"/>
                <w:b/>
                <w:bCs w:val="0"/>
                <w:color w:val="auto"/>
                <w:sz w:val="24"/>
                <w:u w:val="single"/>
                <w:lang w:eastAsia="zh-CN"/>
              </w:rPr>
              <w:t>，</w:t>
            </w:r>
            <w:r>
              <w:rPr>
                <w:rFonts w:hint="eastAsia"/>
                <w:b/>
                <w:bCs w:val="0"/>
                <w:color w:val="auto"/>
                <w:sz w:val="24"/>
                <w:u w:val="single"/>
              </w:rPr>
              <w:t>则</w:t>
            </w:r>
            <w:r>
              <w:rPr>
                <w:rFonts w:hint="eastAsia"/>
                <w:b/>
                <w:bCs w:val="0"/>
                <w:color w:val="auto"/>
                <w:sz w:val="24"/>
                <w:u w:val="single"/>
                <w:lang w:val="en-US" w:eastAsia="zh-CN"/>
              </w:rPr>
              <w:t>三车间打磨</w:t>
            </w:r>
            <w:r>
              <w:rPr>
                <w:rFonts w:hint="eastAsia"/>
                <w:b/>
                <w:bCs w:val="0"/>
                <w:color w:val="auto"/>
                <w:sz w:val="24"/>
                <w:u w:val="single"/>
              </w:rPr>
              <w:t>有组织粉尘产生量</w:t>
            </w:r>
            <w:r>
              <w:rPr>
                <w:rFonts w:hint="eastAsia"/>
                <w:b/>
                <w:bCs w:val="0"/>
                <w:color w:val="auto"/>
                <w:sz w:val="24"/>
                <w:u w:val="single"/>
                <w:lang w:val="en-US" w:eastAsia="zh-CN"/>
              </w:rPr>
              <w:t>0.2644</w:t>
            </w:r>
            <w:r>
              <w:rPr>
                <w:rFonts w:hint="eastAsia"/>
                <w:b/>
                <w:bCs w:val="0"/>
                <w:color w:val="auto"/>
                <w:sz w:val="24"/>
                <w:u w:val="single"/>
              </w:rPr>
              <w:t>t/a（折合</w:t>
            </w:r>
            <w:r>
              <w:rPr>
                <w:rFonts w:hint="eastAsia"/>
                <w:b/>
                <w:bCs w:val="0"/>
                <w:color w:val="auto"/>
                <w:sz w:val="24"/>
                <w:u w:val="single"/>
                <w:lang w:val="en-US" w:eastAsia="zh-CN"/>
              </w:rPr>
              <w:t>0.1102</w:t>
            </w:r>
            <w:r>
              <w:rPr>
                <w:rFonts w:hint="eastAsia"/>
                <w:b/>
                <w:bCs w:val="0"/>
                <w:color w:val="auto"/>
                <w:sz w:val="24"/>
                <w:u w:val="single"/>
              </w:rPr>
              <w:t>kg/h），有组织粉尘排放量</w:t>
            </w:r>
            <w:r>
              <w:rPr>
                <w:rFonts w:hint="eastAsia"/>
                <w:b/>
                <w:bCs w:val="0"/>
                <w:color w:val="auto"/>
                <w:sz w:val="24"/>
                <w:u w:val="single"/>
                <w:lang w:val="en-US" w:eastAsia="zh-CN"/>
              </w:rPr>
              <w:t>0.0026</w:t>
            </w:r>
            <w:r>
              <w:rPr>
                <w:rFonts w:hint="eastAsia"/>
                <w:b/>
                <w:bCs w:val="0"/>
                <w:color w:val="auto"/>
                <w:sz w:val="24"/>
                <w:u w:val="single"/>
              </w:rPr>
              <w:t>t/a（折合</w:t>
            </w:r>
            <w:r>
              <w:rPr>
                <w:rFonts w:hint="eastAsia"/>
                <w:b/>
                <w:bCs w:val="0"/>
                <w:color w:val="auto"/>
                <w:sz w:val="24"/>
                <w:u w:val="single"/>
                <w:lang w:val="en-US" w:eastAsia="zh-CN"/>
              </w:rPr>
              <w:t>0.0011</w:t>
            </w:r>
            <w:r>
              <w:rPr>
                <w:rFonts w:hint="eastAsia"/>
                <w:b/>
                <w:bCs w:val="0"/>
                <w:color w:val="auto"/>
                <w:sz w:val="24"/>
                <w:u w:val="single"/>
              </w:rPr>
              <w:t>kg/h）；</w:t>
            </w:r>
            <w:r>
              <w:rPr>
                <w:rFonts w:hint="eastAsia"/>
                <w:b/>
                <w:bCs w:val="0"/>
                <w:color w:val="auto"/>
                <w:sz w:val="24"/>
                <w:u w:val="single"/>
                <w:lang w:val="en-US" w:eastAsia="zh-CN"/>
              </w:rPr>
              <w:t>二</w:t>
            </w:r>
            <w:r>
              <w:rPr>
                <w:rFonts w:hint="eastAsia"/>
                <w:b/>
                <w:bCs w:val="0"/>
                <w:color w:val="auto"/>
                <w:sz w:val="24"/>
                <w:u w:val="single"/>
              </w:rPr>
              <w:t>车间</w:t>
            </w:r>
            <w:r>
              <w:rPr>
                <w:rFonts w:hint="eastAsia"/>
                <w:b/>
                <w:bCs w:val="0"/>
                <w:color w:val="auto"/>
                <w:sz w:val="24"/>
                <w:u w:val="single"/>
                <w:lang w:val="en-US" w:eastAsia="zh-CN"/>
              </w:rPr>
              <w:t>打磨</w:t>
            </w:r>
            <w:r>
              <w:rPr>
                <w:rFonts w:hint="eastAsia"/>
                <w:b/>
                <w:bCs w:val="0"/>
                <w:color w:val="auto"/>
                <w:sz w:val="24"/>
                <w:u w:val="single"/>
              </w:rPr>
              <w:t>无组织粉尘排放量约</w:t>
            </w:r>
            <w:r>
              <w:rPr>
                <w:rFonts w:hint="eastAsia"/>
                <w:b/>
                <w:bCs w:val="0"/>
                <w:color w:val="auto"/>
                <w:sz w:val="24"/>
                <w:u w:val="single"/>
                <w:lang w:val="en-US" w:eastAsia="zh-CN"/>
              </w:rPr>
              <w:t>0.0294</w:t>
            </w:r>
            <w:r>
              <w:rPr>
                <w:rFonts w:hint="eastAsia"/>
                <w:b/>
                <w:bCs w:val="0"/>
                <w:color w:val="auto"/>
                <w:sz w:val="24"/>
                <w:u w:val="single"/>
              </w:rPr>
              <w:t>t/a（折合</w:t>
            </w:r>
            <w:r>
              <w:rPr>
                <w:rFonts w:hint="eastAsia"/>
                <w:b/>
                <w:bCs w:val="0"/>
                <w:color w:val="auto"/>
                <w:sz w:val="24"/>
                <w:u w:val="single"/>
                <w:lang w:val="en-US" w:eastAsia="zh-CN"/>
              </w:rPr>
              <w:t>0.0123</w:t>
            </w:r>
            <w:r>
              <w:rPr>
                <w:rFonts w:hint="eastAsia"/>
                <w:b/>
                <w:bCs w:val="0"/>
                <w:color w:val="auto"/>
                <w:sz w:val="24"/>
                <w:u w:val="single"/>
              </w:rPr>
              <w:t>kg/h）</w:t>
            </w:r>
            <w:r>
              <w:rPr>
                <w:rFonts w:hint="eastAsia"/>
                <w:b/>
                <w:bCs w:val="0"/>
                <w:color w:val="auto"/>
                <w:sz w:val="24"/>
                <w:u w:val="single"/>
                <w:lang w:eastAsia="zh-CN"/>
              </w:rPr>
              <w:t>。</w:t>
            </w:r>
          </w:p>
          <w:p w14:paraId="27CE6018">
            <w:pPr>
              <w:spacing w:line="360" w:lineRule="auto"/>
              <w:ind w:firstLine="482" w:firstLineChars="200"/>
              <w:rPr>
                <w:rFonts w:hint="eastAsia"/>
                <w:b/>
                <w:bCs w:val="0"/>
                <w:color w:val="auto"/>
                <w:sz w:val="24"/>
                <w:u w:val="single"/>
                <w:lang w:val="en-US" w:eastAsia="zh-CN"/>
              </w:rPr>
            </w:pPr>
            <w:r>
              <w:rPr>
                <w:rFonts w:hint="eastAsia"/>
                <w:b/>
                <w:bCs w:val="0"/>
                <w:color w:val="auto"/>
                <w:sz w:val="24"/>
                <w:u w:val="single"/>
                <w:lang w:val="en-US" w:eastAsia="zh-CN"/>
              </w:rPr>
              <w:t>③油磨粉尘</w:t>
            </w:r>
          </w:p>
          <w:p w14:paraId="0A5F8B92">
            <w:pPr>
              <w:spacing w:line="360" w:lineRule="auto"/>
              <w:ind w:firstLine="482" w:firstLineChars="200"/>
              <w:rPr>
                <w:rFonts w:hint="eastAsia"/>
                <w:b/>
                <w:bCs w:val="0"/>
                <w:color w:val="auto"/>
                <w:kern w:val="0"/>
                <w:sz w:val="24"/>
                <w:u w:val="single"/>
              </w:rPr>
            </w:pPr>
            <w:r>
              <w:rPr>
                <w:rFonts w:hint="eastAsia"/>
                <w:b/>
                <w:bCs w:val="0"/>
                <w:color w:val="auto"/>
                <w:kern w:val="0"/>
                <w:sz w:val="24"/>
                <w:u w:val="single"/>
              </w:rPr>
              <w:t>项目油磨在底漆喷涂完成并晾干后进行，晾干后的半成品零部件中VOC</w:t>
            </w:r>
            <w:r>
              <w:rPr>
                <w:rFonts w:hint="eastAsia"/>
                <w:b/>
                <w:bCs w:val="0"/>
                <w:color w:val="auto"/>
                <w:kern w:val="0"/>
                <w:sz w:val="24"/>
                <w:u w:val="single"/>
                <w:lang w:val="en-US" w:eastAsia="zh-CN"/>
              </w:rPr>
              <w:t>s</w:t>
            </w:r>
            <w:r>
              <w:rPr>
                <w:rFonts w:hint="eastAsia"/>
                <w:b/>
                <w:bCs w:val="0"/>
                <w:color w:val="auto"/>
                <w:kern w:val="0"/>
                <w:sz w:val="24"/>
                <w:u w:val="single"/>
              </w:rPr>
              <w:t>含量可以忽略不计，故不再分析油磨过程中VOCs产生情况。</w:t>
            </w:r>
          </w:p>
          <w:p w14:paraId="67B78E58">
            <w:pPr>
              <w:spacing w:line="360" w:lineRule="auto"/>
              <w:ind w:firstLine="482" w:firstLineChars="200"/>
              <w:rPr>
                <w:rFonts w:hint="eastAsia"/>
                <w:b/>
                <w:bCs w:val="0"/>
                <w:color w:val="auto"/>
                <w:kern w:val="0"/>
                <w:sz w:val="24"/>
                <w:u w:val="single"/>
                <w:lang w:eastAsia="zh-CN"/>
              </w:rPr>
            </w:pPr>
            <w:r>
              <w:rPr>
                <w:rFonts w:hint="eastAsia"/>
                <w:b/>
                <w:bCs w:val="0"/>
                <w:color w:val="auto"/>
                <w:kern w:val="0"/>
                <w:sz w:val="24"/>
                <w:u w:val="single"/>
              </w:rPr>
              <w:t>项目</w:t>
            </w:r>
            <w:r>
              <w:rPr>
                <w:rFonts w:hint="eastAsia"/>
                <w:b/>
                <w:bCs w:val="0"/>
                <w:color w:val="auto"/>
                <w:kern w:val="0"/>
                <w:sz w:val="24"/>
                <w:u w:val="single"/>
                <w:lang w:val="en-US" w:eastAsia="zh-CN"/>
              </w:rPr>
              <w:t>仅有一车间涉及油磨工序，该工序在干式打磨柜中进行，</w:t>
            </w:r>
            <w:r>
              <w:rPr>
                <w:rFonts w:hint="eastAsia"/>
                <w:b/>
                <w:bCs w:val="0"/>
                <w:color w:val="auto"/>
                <w:kern w:val="0"/>
                <w:sz w:val="24"/>
                <w:u w:val="single"/>
              </w:rPr>
              <w:t>油磨产生的含漆粉尘（属于危险废物），参考</w:t>
            </w:r>
            <w:r>
              <w:rPr>
                <w:rFonts w:hint="eastAsia"/>
                <w:b/>
                <w:bCs w:val="0"/>
                <w:color w:val="auto"/>
                <w:sz w:val="24"/>
                <w:u w:val="single"/>
              </w:rPr>
              <w:t>《第二次全国污染源普查系数手册》中“</w:t>
            </w:r>
            <w:r>
              <w:rPr>
                <w:b/>
                <w:bCs w:val="0"/>
                <w:color w:val="auto"/>
                <w:sz w:val="24"/>
                <w:u w:val="single"/>
              </w:rPr>
              <w:t>211木质家具制造行业系数手册</w:t>
            </w:r>
            <w:r>
              <w:rPr>
                <w:rFonts w:hint="eastAsia"/>
                <w:b/>
                <w:bCs w:val="0"/>
                <w:color w:val="auto"/>
                <w:sz w:val="24"/>
                <w:u w:val="single"/>
              </w:rPr>
              <w:t>（2019年4月）”</w:t>
            </w:r>
            <w:r>
              <w:rPr>
                <w:rFonts w:hint="eastAsia"/>
                <w:b/>
                <w:bCs w:val="0"/>
                <w:color w:val="auto"/>
                <w:kern w:val="0"/>
                <w:sz w:val="24"/>
                <w:u w:val="single"/>
              </w:rPr>
              <w:t>中表面光滑处理环节颗粒物产污系数23.5g/m</w:t>
            </w:r>
            <w:r>
              <w:rPr>
                <w:rFonts w:hint="eastAsia"/>
                <w:b/>
                <w:bCs w:val="0"/>
                <w:color w:val="auto"/>
                <w:kern w:val="0"/>
                <w:sz w:val="24"/>
                <w:u w:val="single"/>
                <w:vertAlign w:val="superscript"/>
              </w:rPr>
              <w:t>2</w:t>
            </w:r>
            <w:r>
              <w:rPr>
                <w:rFonts w:hint="eastAsia"/>
                <w:b/>
                <w:bCs w:val="0"/>
                <w:color w:val="auto"/>
                <w:kern w:val="0"/>
                <w:sz w:val="24"/>
                <w:u w:val="single"/>
              </w:rPr>
              <w:t>产品，（保守油磨处理面积按照喷涂面积计算），产品处理面积总计93750m</w:t>
            </w:r>
            <w:r>
              <w:rPr>
                <w:rFonts w:hint="eastAsia"/>
                <w:b/>
                <w:bCs w:val="0"/>
                <w:color w:val="auto"/>
                <w:kern w:val="0"/>
                <w:sz w:val="24"/>
                <w:u w:val="single"/>
                <w:vertAlign w:val="superscript"/>
              </w:rPr>
              <w:t>2</w:t>
            </w:r>
            <w:r>
              <w:rPr>
                <w:rFonts w:hint="eastAsia"/>
                <w:b/>
                <w:bCs w:val="0"/>
                <w:color w:val="auto"/>
                <w:kern w:val="0"/>
                <w:sz w:val="24"/>
                <w:u w:val="single"/>
              </w:rPr>
              <w:t xml:space="preserve"> /a，工作时间：300d/a、8h/d，颗粒物产生量</w:t>
            </w:r>
            <w:r>
              <w:rPr>
                <w:rFonts w:hint="eastAsia"/>
                <w:b/>
                <w:bCs w:val="0"/>
                <w:color w:val="auto"/>
                <w:kern w:val="0"/>
                <w:sz w:val="24"/>
                <w:u w:val="single"/>
                <w:lang w:val="en-US" w:eastAsia="zh-CN"/>
              </w:rPr>
              <w:t>2.2031</w:t>
            </w:r>
            <w:r>
              <w:rPr>
                <w:rFonts w:hint="eastAsia"/>
                <w:b/>
                <w:bCs w:val="0"/>
                <w:color w:val="auto"/>
                <w:kern w:val="0"/>
                <w:sz w:val="24"/>
                <w:u w:val="single"/>
              </w:rPr>
              <w:t>t/a（折合</w:t>
            </w:r>
            <w:r>
              <w:rPr>
                <w:rFonts w:hint="eastAsia"/>
                <w:b/>
                <w:bCs w:val="0"/>
                <w:color w:val="auto"/>
                <w:kern w:val="0"/>
                <w:sz w:val="24"/>
                <w:u w:val="single"/>
                <w:lang w:val="en-US" w:eastAsia="zh-CN"/>
              </w:rPr>
              <w:t>0.9180</w:t>
            </w:r>
            <w:r>
              <w:rPr>
                <w:rFonts w:hint="eastAsia"/>
                <w:b/>
                <w:bCs w:val="0"/>
                <w:color w:val="auto"/>
                <w:kern w:val="0"/>
                <w:sz w:val="24"/>
                <w:u w:val="single"/>
              </w:rPr>
              <w:t>kg/h）。</w:t>
            </w:r>
            <w:r>
              <w:rPr>
                <w:rFonts w:hint="eastAsia"/>
                <w:b/>
                <w:bCs w:val="0"/>
                <w:color w:val="auto"/>
                <w:kern w:val="0"/>
                <w:sz w:val="24"/>
                <w:u w:val="single"/>
                <w:lang w:val="en-US" w:eastAsia="zh-CN"/>
              </w:rPr>
              <w:t>干式打磨柜采用内抽风式将家具生产过程中经打磨产生的粉尘经过台面下的过滤网过滤并迅速吸到布袋中，而经布袋过滤后的洁净空气排到室内</w:t>
            </w:r>
            <w:r>
              <w:rPr>
                <w:rFonts w:hint="eastAsia"/>
                <w:b/>
                <w:bCs w:val="0"/>
                <w:color w:val="auto"/>
                <w:kern w:val="0"/>
                <w:sz w:val="24"/>
                <w:u w:val="single"/>
                <w:lang w:eastAsia="zh-CN"/>
              </w:rPr>
              <w:t>。</w:t>
            </w:r>
            <w:r>
              <w:rPr>
                <w:rFonts w:hint="eastAsia"/>
                <w:b/>
                <w:bCs w:val="0"/>
                <w:color w:val="auto"/>
                <w:kern w:val="0"/>
                <w:sz w:val="24"/>
                <w:u w:val="single"/>
              </w:rPr>
              <w:t>收集效率以</w:t>
            </w:r>
            <w:r>
              <w:rPr>
                <w:rFonts w:hint="eastAsia"/>
                <w:b/>
                <w:bCs w:val="0"/>
                <w:color w:val="auto"/>
                <w:kern w:val="0"/>
                <w:sz w:val="24"/>
                <w:u w:val="single"/>
                <w:lang w:val="en-US" w:eastAsia="zh-CN"/>
              </w:rPr>
              <w:t>100</w:t>
            </w:r>
            <w:r>
              <w:rPr>
                <w:rFonts w:hint="eastAsia"/>
                <w:b/>
                <w:bCs w:val="0"/>
                <w:color w:val="auto"/>
                <w:kern w:val="0"/>
                <w:sz w:val="24"/>
                <w:u w:val="single"/>
              </w:rPr>
              <w:t>%计，袋式除尘器效率以99%计（根据《废气处理工程技术手册》P201），则</w:t>
            </w:r>
            <w:r>
              <w:rPr>
                <w:rFonts w:hint="eastAsia"/>
                <w:b/>
                <w:bCs w:val="0"/>
                <w:color w:val="auto"/>
                <w:kern w:val="0"/>
                <w:sz w:val="24"/>
                <w:u w:val="single"/>
                <w:lang w:val="en-US" w:eastAsia="zh-CN"/>
              </w:rPr>
              <w:t>油磨粉尘排放量为0.0220</w:t>
            </w:r>
            <w:r>
              <w:rPr>
                <w:rFonts w:hint="eastAsia"/>
                <w:b/>
                <w:bCs w:val="0"/>
                <w:color w:val="auto"/>
                <w:kern w:val="0"/>
                <w:sz w:val="24"/>
                <w:u w:val="single"/>
              </w:rPr>
              <w:t>t/a （折合</w:t>
            </w:r>
            <w:r>
              <w:rPr>
                <w:rFonts w:hint="eastAsia"/>
                <w:b/>
                <w:bCs w:val="0"/>
                <w:color w:val="auto"/>
                <w:kern w:val="0"/>
                <w:sz w:val="24"/>
                <w:u w:val="single"/>
                <w:lang w:val="en-US" w:eastAsia="zh-CN"/>
              </w:rPr>
              <w:t>0.0092</w:t>
            </w:r>
            <w:r>
              <w:rPr>
                <w:rFonts w:hint="eastAsia"/>
                <w:b/>
                <w:bCs w:val="0"/>
                <w:color w:val="auto"/>
                <w:kern w:val="0"/>
                <w:sz w:val="24"/>
                <w:u w:val="single"/>
              </w:rPr>
              <w:t>kg/h）</w:t>
            </w:r>
            <w:r>
              <w:rPr>
                <w:rFonts w:hint="eastAsia"/>
                <w:b/>
                <w:bCs w:val="0"/>
                <w:color w:val="auto"/>
                <w:kern w:val="0"/>
                <w:sz w:val="24"/>
                <w:u w:val="single"/>
                <w:lang w:eastAsia="zh-CN"/>
              </w:rPr>
              <w:t>。</w:t>
            </w:r>
          </w:p>
          <w:p w14:paraId="24E9C261">
            <w:pPr>
              <w:spacing w:line="360" w:lineRule="auto"/>
              <w:ind w:firstLine="482" w:firstLineChars="200"/>
              <w:rPr>
                <w:rFonts w:hint="eastAsia"/>
                <w:b/>
                <w:bCs w:val="0"/>
                <w:color w:val="auto"/>
                <w:sz w:val="24"/>
                <w:u w:val="single"/>
                <w:lang w:val="en-US" w:eastAsia="zh-CN"/>
              </w:rPr>
            </w:pPr>
            <w:r>
              <w:rPr>
                <w:rFonts w:hint="eastAsia"/>
                <w:b/>
                <w:bCs w:val="0"/>
                <w:color w:val="auto"/>
                <w:sz w:val="24"/>
                <w:u w:val="single"/>
                <w:lang w:val="en-US" w:eastAsia="zh-CN"/>
              </w:rPr>
              <w:t>④风量核算</w:t>
            </w:r>
          </w:p>
          <w:p w14:paraId="63F2A627">
            <w:pPr>
              <w:spacing w:line="360" w:lineRule="auto"/>
              <w:ind w:firstLine="482" w:firstLineChars="200"/>
              <w:rPr>
                <w:rFonts w:hint="default"/>
                <w:b/>
                <w:bCs w:val="0"/>
                <w:color w:val="auto"/>
                <w:kern w:val="0"/>
                <w:sz w:val="24"/>
                <w:u w:val="single"/>
                <w:lang w:val="en-US" w:eastAsia="zh-CN"/>
              </w:rPr>
            </w:pPr>
            <w:r>
              <w:rPr>
                <w:rFonts w:hint="default"/>
                <w:b/>
                <w:bCs w:val="0"/>
                <w:color w:val="auto"/>
                <w:kern w:val="0"/>
                <w:sz w:val="24"/>
                <w:u w:val="single"/>
                <w:lang w:val="en-US" w:eastAsia="zh-CN"/>
              </w:rPr>
              <w:t>项目</w:t>
            </w:r>
            <w:r>
              <w:rPr>
                <w:rFonts w:hint="eastAsia"/>
                <w:b/>
                <w:bCs w:val="0"/>
                <w:color w:val="auto"/>
                <w:kern w:val="0"/>
                <w:sz w:val="24"/>
                <w:u w:val="single"/>
                <w:lang w:val="en-US" w:eastAsia="zh-CN"/>
              </w:rPr>
              <w:t>一车间木</w:t>
            </w:r>
            <w:r>
              <w:rPr>
                <w:rFonts w:hint="default"/>
                <w:b/>
                <w:bCs w:val="0"/>
                <w:color w:val="auto"/>
                <w:kern w:val="0"/>
                <w:sz w:val="24"/>
                <w:u w:val="single"/>
                <w:lang w:val="en-US" w:eastAsia="zh-CN"/>
              </w:rPr>
              <w:t>加工设置6个工位</w:t>
            </w:r>
            <w:r>
              <w:rPr>
                <w:rFonts w:hint="eastAsia"/>
                <w:b/>
                <w:bCs w:val="0"/>
                <w:color w:val="auto"/>
                <w:kern w:val="0"/>
                <w:sz w:val="24"/>
                <w:u w:val="single"/>
                <w:lang w:val="en-US" w:eastAsia="zh-CN"/>
              </w:rPr>
              <w:t>，打磨设置1个工位。木加工工位上方集气罩投影面积均为1.0m</w:t>
            </w:r>
            <w:r>
              <w:rPr>
                <w:rFonts w:hint="default" w:ascii="Arial" w:hAnsi="Arial" w:cs="Arial"/>
                <w:b/>
                <w:bCs w:val="0"/>
                <w:color w:val="auto"/>
                <w:kern w:val="0"/>
                <w:sz w:val="24"/>
                <w:u w:val="single"/>
                <w:lang w:val="en-US" w:eastAsia="zh-CN"/>
              </w:rPr>
              <w:t>×</w:t>
            </w:r>
            <w:r>
              <w:rPr>
                <w:rFonts w:hint="eastAsia"/>
                <w:b/>
                <w:bCs w:val="0"/>
                <w:color w:val="auto"/>
                <w:kern w:val="0"/>
                <w:sz w:val="24"/>
                <w:u w:val="single"/>
                <w:lang w:val="en-US" w:eastAsia="zh-CN"/>
              </w:rPr>
              <w:t>0.5m，打磨工位上方集气罩投影面积为1.0m</w:t>
            </w:r>
            <w:r>
              <w:rPr>
                <w:rFonts w:hint="default" w:ascii="Arial" w:hAnsi="Arial" w:cs="Arial"/>
                <w:b/>
                <w:bCs w:val="0"/>
                <w:color w:val="auto"/>
                <w:kern w:val="0"/>
                <w:sz w:val="24"/>
                <w:u w:val="single"/>
                <w:lang w:val="en-US" w:eastAsia="zh-CN"/>
              </w:rPr>
              <w:t>×</w:t>
            </w:r>
            <w:r>
              <w:rPr>
                <w:rFonts w:hint="eastAsia"/>
                <w:b/>
                <w:bCs w:val="0"/>
                <w:color w:val="auto"/>
                <w:kern w:val="0"/>
                <w:sz w:val="24"/>
                <w:u w:val="single"/>
                <w:lang w:val="en-US" w:eastAsia="zh-CN"/>
              </w:rPr>
              <w:t>0.5m，集气罩距离设备0.15m，参照《环境工程设计手册》中计算方法 Q=kPHVx,单个工位风机风量Q=k安全系数(1.4)</w:t>
            </w:r>
            <w:r>
              <w:rPr>
                <w:rFonts w:hint="default" w:ascii="Arial" w:hAnsi="Arial" w:cs="Arial"/>
                <w:b/>
                <w:bCs w:val="0"/>
                <w:color w:val="auto"/>
                <w:kern w:val="0"/>
                <w:sz w:val="24"/>
                <w:u w:val="single"/>
                <w:lang w:val="en-US" w:eastAsia="zh-CN"/>
              </w:rPr>
              <w:t>×</w:t>
            </w:r>
            <w:r>
              <w:rPr>
                <w:rFonts w:hint="eastAsia"/>
                <w:b/>
                <w:bCs w:val="0"/>
                <w:color w:val="auto"/>
                <w:kern w:val="0"/>
                <w:sz w:val="24"/>
                <w:u w:val="single"/>
                <w:lang w:val="en-US" w:eastAsia="zh-CN"/>
              </w:rPr>
              <w:t>P周长(3.0m)</w:t>
            </w:r>
            <w:r>
              <w:rPr>
                <w:rFonts w:hint="default" w:ascii="Arial" w:hAnsi="Arial" w:cs="Arial"/>
                <w:b/>
                <w:bCs w:val="0"/>
                <w:color w:val="auto"/>
                <w:kern w:val="0"/>
                <w:sz w:val="24"/>
                <w:u w:val="single"/>
                <w:lang w:val="en-US" w:eastAsia="zh-CN"/>
              </w:rPr>
              <w:t>×</w:t>
            </w:r>
            <w:r>
              <w:rPr>
                <w:rFonts w:hint="eastAsia"/>
                <w:b/>
                <w:bCs w:val="0"/>
                <w:color w:val="auto"/>
                <w:kern w:val="0"/>
                <w:sz w:val="24"/>
                <w:u w:val="single"/>
                <w:lang w:val="en-US" w:eastAsia="zh-CN"/>
              </w:rPr>
              <w:t>H距离产尘点距离(0.15m)</w:t>
            </w:r>
            <w:r>
              <w:rPr>
                <w:rFonts w:hint="default" w:ascii="Arial" w:hAnsi="Arial" w:cs="Arial"/>
                <w:b/>
                <w:bCs w:val="0"/>
                <w:color w:val="auto"/>
                <w:kern w:val="0"/>
                <w:sz w:val="24"/>
                <w:u w:val="single"/>
                <w:lang w:val="en-US" w:eastAsia="zh-CN"/>
              </w:rPr>
              <w:t>×</w:t>
            </w:r>
            <w:r>
              <w:rPr>
                <w:rFonts w:hint="eastAsia"/>
                <w:b/>
                <w:bCs w:val="0"/>
                <w:color w:val="auto"/>
                <w:kern w:val="0"/>
                <w:sz w:val="24"/>
                <w:u w:val="single"/>
                <w:lang w:val="en-US" w:eastAsia="zh-CN"/>
              </w:rPr>
              <w:t>Vx风速(0.4m/s)</w:t>
            </w:r>
            <w:r>
              <w:rPr>
                <w:rFonts w:hint="default" w:ascii="Arial" w:hAnsi="Arial" w:cs="Arial"/>
                <w:b/>
                <w:bCs w:val="0"/>
                <w:color w:val="auto"/>
                <w:kern w:val="0"/>
                <w:sz w:val="24"/>
                <w:u w:val="single"/>
                <w:lang w:val="en-US" w:eastAsia="zh-CN"/>
              </w:rPr>
              <w:t>×</w:t>
            </w:r>
            <w:r>
              <w:rPr>
                <w:rFonts w:hint="eastAsia"/>
                <w:b/>
                <w:bCs w:val="0"/>
                <w:color w:val="auto"/>
                <w:kern w:val="0"/>
                <w:sz w:val="24"/>
                <w:u w:val="single"/>
                <w:lang w:val="en-US" w:eastAsia="zh-CN"/>
              </w:rPr>
              <w:t>时间(3600s)=907.2m</w:t>
            </w:r>
            <w:r>
              <w:rPr>
                <w:rFonts w:hint="eastAsia"/>
                <w:b/>
                <w:bCs w:val="0"/>
                <w:color w:val="auto"/>
                <w:kern w:val="0"/>
                <w:sz w:val="24"/>
                <w:u w:val="single"/>
                <w:vertAlign w:val="superscript"/>
                <w:lang w:val="en-US" w:eastAsia="zh-CN"/>
              </w:rPr>
              <w:t>3</w:t>
            </w:r>
            <w:r>
              <w:rPr>
                <w:rFonts w:hint="eastAsia"/>
                <w:b/>
                <w:bCs w:val="0"/>
                <w:color w:val="auto"/>
                <w:kern w:val="0"/>
                <w:sz w:val="24"/>
                <w:u w:val="single"/>
                <w:lang w:val="en-US" w:eastAsia="zh-CN"/>
              </w:rPr>
              <w:t>/h，则木加工和打磨工位风机风量为635lm</w:t>
            </w:r>
            <w:r>
              <w:rPr>
                <w:rFonts w:hint="eastAsia"/>
                <w:b/>
                <w:bCs w:val="0"/>
                <w:color w:val="auto"/>
                <w:kern w:val="0"/>
                <w:sz w:val="24"/>
                <w:u w:val="single"/>
                <w:vertAlign w:val="superscript"/>
                <w:lang w:val="en-US" w:eastAsia="zh-CN"/>
              </w:rPr>
              <w:t>3</w:t>
            </w:r>
            <w:r>
              <w:rPr>
                <w:rFonts w:hint="eastAsia"/>
                <w:b/>
                <w:bCs w:val="0"/>
                <w:color w:val="auto"/>
                <w:kern w:val="0"/>
                <w:sz w:val="24"/>
                <w:u w:val="single"/>
                <w:lang w:val="en-US" w:eastAsia="zh-CN"/>
              </w:rPr>
              <w:t>/h，考虑到集气管道压力损失，一车间木加工及打磨废气风机风量设置为6500m</w:t>
            </w:r>
            <w:r>
              <w:rPr>
                <w:rFonts w:hint="eastAsia"/>
                <w:b/>
                <w:bCs w:val="0"/>
                <w:color w:val="auto"/>
                <w:kern w:val="0"/>
                <w:sz w:val="24"/>
                <w:u w:val="single"/>
                <w:vertAlign w:val="superscript"/>
                <w:lang w:val="en-US" w:eastAsia="zh-CN"/>
              </w:rPr>
              <w:t>3</w:t>
            </w:r>
            <w:r>
              <w:rPr>
                <w:rFonts w:hint="eastAsia"/>
                <w:b/>
                <w:bCs w:val="0"/>
                <w:color w:val="auto"/>
                <w:kern w:val="0"/>
                <w:sz w:val="24"/>
                <w:u w:val="single"/>
                <w:lang w:val="en-US" w:eastAsia="zh-CN"/>
              </w:rPr>
              <w:t>/h。</w:t>
            </w:r>
          </w:p>
          <w:p w14:paraId="52260ED3">
            <w:pPr>
              <w:spacing w:line="360" w:lineRule="auto"/>
              <w:ind w:firstLine="482" w:firstLineChars="200"/>
              <w:rPr>
                <w:rFonts w:hint="eastAsia"/>
                <w:b/>
                <w:bCs w:val="0"/>
                <w:color w:val="auto"/>
                <w:kern w:val="0"/>
                <w:sz w:val="24"/>
                <w:u w:val="single"/>
                <w:lang w:val="en-US" w:eastAsia="zh-CN"/>
              </w:rPr>
            </w:pPr>
            <w:r>
              <w:rPr>
                <w:rFonts w:hint="default"/>
                <w:b/>
                <w:bCs w:val="0"/>
                <w:color w:val="auto"/>
                <w:kern w:val="0"/>
                <w:sz w:val="24"/>
                <w:u w:val="single"/>
                <w:lang w:val="en-US" w:eastAsia="zh-CN"/>
              </w:rPr>
              <w:t>项目</w:t>
            </w:r>
            <w:r>
              <w:rPr>
                <w:rFonts w:hint="eastAsia"/>
                <w:b/>
                <w:bCs w:val="0"/>
                <w:color w:val="auto"/>
                <w:kern w:val="0"/>
                <w:sz w:val="24"/>
                <w:u w:val="single"/>
                <w:lang w:val="en-US" w:eastAsia="zh-CN"/>
              </w:rPr>
              <w:t>二车间打磨设置1个工位。打磨工位上方集气罩投影面积为1.0m</w:t>
            </w:r>
            <w:r>
              <w:rPr>
                <w:rFonts w:hint="default" w:ascii="Arial" w:hAnsi="Arial" w:cs="Arial"/>
                <w:b/>
                <w:bCs w:val="0"/>
                <w:color w:val="auto"/>
                <w:kern w:val="0"/>
                <w:sz w:val="24"/>
                <w:u w:val="single"/>
                <w:lang w:val="en-US" w:eastAsia="zh-CN"/>
              </w:rPr>
              <w:t>×</w:t>
            </w:r>
            <w:r>
              <w:rPr>
                <w:rFonts w:hint="eastAsia"/>
                <w:b/>
                <w:bCs w:val="0"/>
                <w:color w:val="auto"/>
                <w:kern w:val="0"/>
                <w:sz w:val="24"/>
                <w:u w:val="single"/>
                <w:lang w:val="en-US" w:eastAsia="zh-CN"/>
              </w:rPr>
              <w:t>0.5m，集气罩距离设备0.15m，参照《环境工程设计手册》中计算方法 Q=kPHVx,单个工位风机风量Q=k安全系数(1.4)</w:t>
            </w:r>
            <w:r>
              <w:rPr>
                <w:rFonts w:hint="default" w:ascii="Arial" w:hAnsi="Arial" w:cs="Arial"/>
                <w:b/>
                <w:bCs w:val="0"/>
                <w:color w:val="auto"/>
                <w:kern w:val="0"/>
                <w:sz w:val="24"/>
                <w:u w:val="single"/>
                <w:lang w:val="en-US" w:eastAsia="zh-CN"/>
              </w:rPr>
              <w:t>×</w:t>
            </w:r>
            <w:r>
              <w:rPr>
                <w:rFonts w:hint="eastAsia"/>
                <w:b/>
                <w:bCs w:val="0"/>
                <w:color w:val="auto"/>
                <w:kern w:val="0"/>
                <w:sz w:val="24"/>
                <w:u w:val="single"/>
                <w:lang w:val="en-US" w:eastAsia="zh-CN"/>
              </w:rPr>
              <w:t>P周长(3.0m)</w:t>
            </w:r>
            <w:r>
              <w:rPr>
                <w:rFonts w:hint="default" w:ascii="Arial" w:hAnsi="Arial" w:cs="Arial"/>
                <w:b/>
                <w:bCs w:val="0"/>
                <w:color w:val="auto"/>
                <w:kern w:val="0"/>
                <w:sz w:val="24"/>
                <w:u w:val="single"/>
                <w:lang w:val="en-US" w:eastAsia="zh-CN"/>
              </w:rPr>
              <w:t>×</w:t>
            </w:r>
            <w:r>
              <w:rPr>
                <w:rFonts w:hint="eastAsia"/>
                <w:b/>
                <w:bCs w:val="0"/>
                <w:color w:val="auto"/>
                <w:kern w:val="0"/>
                <w:sz w:val="24"/>
                <w:u w:val="single"/>
                <w:lang w:val="en-US" w:eastAsia="zh-CN"/>
              </w:rPr>
              <w:t>H距离产尘点距离(0.15m)</w:t>
            </w:r>
            <w:r>
              <w:rPr>
                <w:rFonts w:hint="default" w:ascii="Arial" w:hAnsi="Arial" w:cs="Arial"/>
                <w:b/>
                <w:bCs w:val="0"/>
                <w:color w:val="auto"/>
                <w:kern w:val="0"/>
                <w:sz w:val="24"/>
                <w:u w:val="single"/>
                <w:lang w:val="en-US" w:eastAsia="zh-CN"/>
              </w:rPr>
              <w:t>×</w:t>
            </w:r>
            <w:r>
              <w:rPr>
                <w:rFonts w:hint="eastAsia"/>
                <w:b/>
                <w:bCs w:val="0"/>
                <w:color w:val="auto"/>
                <w:kern w:val="0"/>
                <w:sz w:val="24"/>
                <w:u w:val="single"/>
                <w:lang w:val="en-US" w:eastAsia="zh-CN"/>
              </w:rPr>
              <w:t>Vx 风速(0.4m/s)</w:t>
            </w:r>
            <w:r>
              <w:rPr>
                <w:rFonts w:hint="default" w:ascii="Arial" w:hAnsi="Arial" w:cs="Arial"/>
                <w:b/>
                <w:bCs w:val="0"/>
                <w:color w:val="auto"/>
                <w:kern w:val="0"/>
                <w:sz w:val="24"/>
                <w:u w:val="single"/>
                <w:lang w:val="en-US" w:eastAsia="zh-CN"/>
              </w:rPr>
              <w:t>×</w:t>
            </w:r>
            <w:r>
              <w:rPr>
                <w:rFonts w:hint="eastAsia"/>
                <w:b/>
                <w:bCs w:val="0"/>
                <w:color w:val="auto"/>
                <w:kern w:val="0"/>
                <w:sz w:val="24"/>
                <w:u w:val="single"/>
                <w:lang w:val="en-US" w:eastAsia="zh-CN"/>
              </w:rPr>
              <w:t>时间(3600s)=907.2m</w:t>
            </w:r>
            <w:r>
              <w:rPr>
                <w:rFonts w:hint="eastAsia"/>
                <w:b/>
                <w:bCs w:val="0"/>
                <w:color w:val="auto"/>
                <w:kern w:val="0"/>
                <w:sz w:val="24"/>
                <w:u w:val="single"/>
                <w:vertAlign w:val="superscript"/>
                <w:lang w:val="en-US" w:eastAsia="zh-CN"/>
              </w:rPr>
              <w:t>3</w:t>
            </w:r>
            <w:r>
              <w:rPr>
                <w:rFonts w:hint="eastAsia"/>
                <w:b/>
                <w:bCs w:val="0"/>
                <w:color w:val="auto"/>
                <w:kern w:val="0"/>
                <w:sz w:val="24"/>
                <w:u w:val="single"/>
                <w:lang w:val="en-US" w:eastAsia="zh-CN"/>
              </w:rPr>
              <w:t>/h，则打磨工位风机风量为907.2m</w:t>
            </w:r>
            <w:r>
              <w:rPr>
                <w:rFonts w:hint="eastAsia"/>
                <w:b/>
                <w:bCs w:val="0"/>
                <w:color w:val="auto"/>
                <w:kern w:val="0"/>
                <w:sz w:val="24"/>
                <w:u w:val="single"/>
                <w:vertAlign w:val="superscript"/>
                <w:lang w:val="en-US" w:eastAsia="zh-CN"/>
              </w:rPr>
              <w:t>3</w:t>
            </w:r>
            <w:r>
              <w:rPr>
                <w:rFonts w:hint="eastAsia"/>
                <w:b/>
                <w:bCs w:val="0"/>
                <w:color w:val="auto"/>
                <w:kern w:val="0"/>
                <w:sz w:val="24"/>
                <w:u w:val="single"/>
                <w:lang w:val="en-US" w:eastAsia="zh-CN"/>
              </w:rPr>
              <w:t>/h，考虑到集气管道压力损失，项目二车间打磨废气风机风量设置为1000m</w:t>
            </w:r>
            <w:r>
              <w:rPr>
                <w:rFonts w:hint="eastAsia"/>
                <w:b/>
                <w:bCs w:val="0"/>
                <w:color w:val="auto"/>
                <w:kern w:val="0"/>
                <w:sz w:val="24"/>
                <w:u w:val="single"/>
                <w:vertAlign w:val="superscript"/>
                <w:lang w:val="en-US" w:eastAsia="zh-CN"/>
              </w:rPr>
              <w:t>3</w:t>
            </w:r>
            <w:r>
              <w:rPr>
                <w:rFonts w:hint="eastAsia"/>
                <w:b/>
                <w:bCs w:val="0"/>
                <w:color w:val="auto"/>
                <w:kern w:val="0"/>
                <w:sz w:val="24"/>
                <w:u w:val="single"/>
                <w:lang w:val="en-US" w:eastAsia="zh-CN"/>
              </w:rPr>
              <w:t>/h。</w:t>
            </w:r>
          </w:p>
          <w:p w14:paraId="54576920">
            <w:pPr>
              <w:spacing w:line="360" w:lineRule="auto"/>
              <w:ind w:firstLine="482" w:firstLineChars="200"/>
              <w:rPr>
                <w:rFonts w:hint="eastAsia"/>
                <w:b/>
                <w:bCs w:val="0"/>
                <w:color w:val="auto"/>
                <w:kern w:val="0"/>
                <w:sz w:val="24"/>
                <w:u w:val="single"/>
                <w:lang w:val="en-US" w:eastAsia="zh-CN"/>
              </w:rPr>
            </w:pPr>
            <w:r>
              <w:rPr>
                <w:rFonts w:hint="default"/>
                <w:b/>
                <w:bCs w:val="0"/>
                <w:color w:val="auto"/>
                <w:kern w:val="0"/>
                <w:sz w:val="24"/>
                <w:u w:val="single"/>
                <w:lang w:val="en-US" w:eastAsia="zh-CN"/>
              </w:rPr>
              <w:t>项目</w:t>
            </w:r>
            <w:r>
              <w:rPr>
                <w:rFonts w:hint="eastAsia"/>
                <w:b/>
                <w:bCs w:val="0"/>
                <w:color w:val="auto"/>
                <w:kern w:val="0"/>
                <w:sz w:val="24"/>
                <w:u w:val="single"/>
                <w:lang w:val="en-US" w:eastAsia="zh-CN"/>
              </w:rPr>
              <w:t>三车间木</w:t>
            </w:r>
            <w:r>
              <w:rPr>
                <w:rFonts w:hint="default"/>
                <w:b/>
                <w:bCs w:val="0"/>
                <w:color w:val="auto"/>
                <w:kern w:val="0"/>
                <w:sz w:val="24"/>
                <w:u w:val="single"/>
                <w:lang w:val="en-US" w:eastAsia="zh-CN"/>
              </w:rPr>
              <w:t>加工设置</w:t>
            </w:r>
            <w:r>
              <w:rPr>
                <w:rFonts w:hint="eastAsia"/>
                <w:b/>
                <w:bCs w:val="0"/>
                <w:color w:val="auto"/>
                <w:kern w:val="0"/>
                <w:sz w:val="24"/>
                <w:u w:val="single"/>
                <w:lang w:val="en-US" w:eastAsia="zh-CN"/>
              </w:rPr>
              <w:t>3</w:t>
            </w:r>
            <w:r>
              <w:rPr>
                <w:rFonts w:hint="default"/>
                <w:b/>
                <w:bCs w:val="0"/>
                <w:color w:val="auto"/>
                <w:kern w:val="0"/>
                <w:sz w:val="24"/>
                <w:u w:val="single"/>
                <w:lang w:val="en-US" w:eastAsia="zh-CN"/>
              </w:rPr>
              <w:t>个工位</w:t>
            </w:r>
            <w:r>
              <w:rPr>
                <w:rFonts w:hint="eastAsia"/>
                <w:b/>
                <w:bCs w:val="0"/>
                <w:color w:val="auto"/>
                <w:kern w:val="0"/>
                <w:sz w:val="24"/>
                <w:u w:val="single"/>
                <w:lang w:val="en-US" w:eastAsia="zh-CN"/>
              </w:rPr>
              <w:t>，打磨设置1个工位。木加工工位上方集气罩投影面积均为 1.0m</w:t>
            </w:r>
            <w:r>
              <w:rPr>
                <w:rFonts w:hint="default" w:ascii="Arial" w:hAnsi="Arial" w:cs="Arial"/>
                <w:b/>
                <w:bCs w:val="0"/>
                <w:color w:val="auto"/>
                <w:kern w:val="0"/>
                <w:sz w:val="24"/>
                <w:u w:val="single"/>
                <w:lang w:val="en-US" w:eastAsia="zh-CN"/>
              </w:rPr>
              <w:t>×</w:t>
            </w:r>
            <w:r>
              <w:rPr>
                <w:rFonts w:hint="eastAsia"/>
                <w:b/>
                <w:bCs w:val="0"/>
                <w:color w:val="auto"/>
                <w:kern w:val="0"/>
                <w:sz w:val="24"/>
                <w:u w:val="single"/>
                <w:lang w:val="en-US" w:eastAsia="zh-CN"/>
              </w:rPr>
              <w:t>0.5m，打磨工位上方集气罩投影面积为1.0m</w:t>
            </w:r>
            <w:r>
              <w:rPr>
                <w:rFonts w:hint="default" w:ascii="Arial" w:hAnsi="Arial" w:cs="Arial"/>
                <w:b/>
                <w:bCs w:val="0"/>
                <w:color w:val="auto"/>
                <w:kern w:val="0"/>
                <w:sz w:val="24"/>
                <w:u w:val="single"/>
                <w:lang w:val="en-US" w:eastAsia="zh-CN"/>
              </w:rPr>
              <w:t>×</w:t>
            </w:r>
            <w:r>
              <w:rPr>
                <w:rFonts w:hint="eastAsia"/>
                <w:b/>
                <w:bCs w:val="0"/>
                <w:color w:val="auto"/>
                <w:kern w:val="0"/>
                <w:sz w:val="24"/>
                <w:u w:val="single"/>
                <w:lang w:val="en-US" w:eastAsia="zh-CN"/>
              </w:rPr>
              <w:t>0.5m，集气罩距离设备0.15m，参照《环境工程设计手册》中计算方法 Q=kPHVx,单个工位风机风量Q=k安全系数(1.4)</w:t>
            </w:r>
            <w:r>
              <w:rPr>
                <w:rFonts w:hint="default" w:ascii="Arial" w:hAnsi="Arial" w:cs="Arial"/>
                <w:b/>
                <w:bCs w:val="0"/>
                <w:color w:val="auto"/>
                <w:kern w:val="0"/>
                <w:sz w:val="24"/>
                <w:u w:val="single"/>
                <w:lang w:val="en-US" w:eastAsia="zh-CN"/>
              </w:rPr>
              <w:t>×</w:t>
            </w:r>
            <w:r>
              <w:rPr>
                <w:rFonts w:hint="eastAsia"/>
                <w:b/>
                <w:bCs w:val="0"/>
                <w:color w:val="auto"/>
                <w:kern w:val="0"/>
                <w:sz w:val="24"/>
                <w:u w:val="single"/>
                <w:lang w:val="en-US" w:eastAsia="zh-CN"/>
              </w:rPr>
              <w:t>P周长(3.0m)</w:t>
            </w:r>
            <w:r>
              <w:rPr>
                <w:rFonts w:hint="default" w:ascii="Arial" w:hAnsi="Arial" w:cs="Arial"/>
                <w:b/>
                <w:bCs w:val="0"/>
                <w:color w:val="auto"/>
                <w:kern w:val="0"/>
                <w:sz w:val="24"/>
                <w:u w:val="single"/>
                <w:lang w:val="en-US" w:eastAsia="zh-CN"/>
              </w:rPr>
              <w:t>×</w:t>
            </w:r>
            <w:r>
              <w:rPr>
                <w:rFonts w:hint="eastAsia"/>
                <w:b/>
                <w:bCs w:val="0"/>
                <w:color w:val="auto"/>
                <w:kern w:val="0"/>
                <w:sz w:val="24"/>
                <w:u w:val="single"/>
                <w:lang w:val="en-US" w:eastAsia="zh-CN"/>
              </w:rPr>
              <w:t>H距离产尘点距离(0.15m)</w:t>
            </w:r>
            <w:r>
              <w:rPr>
                <w:rFonts w:hint="default" w:ascii="Arial" w:hAnsi="Arial" w:cs="Arial"/>
                <w:b/>
                <w:bCs w:val="0"/>
                <w:color w:val="auto"/>
                <w:kern w:val="0"/>
                <w:sz w:val="24"/>
                <w:u w:val="single"/>
                <w:lang w:val="en-US" w:eastAsia="zh-CN"/>
              </w:rPr>
              <w:t>×</w:t>
            </w:r>
            <w:r>
              <w:rPr>
                <w:rFonts w:hint="eastAsia"/>
                <w:b/>
                <w:bCs w:val="0"/>
                <w:color w:val="auto"/>
                <w:kern w:val="0"/>
                <w:sz w:val="24"/>
                <w:u w:val="single"/>
                <w:lang w:val="en-US" w:eastAsia="zh-CN"/>
              </w:rPr>
              <w:t>Vx 风速(0.4m/s)</w:t>
            </w:r>
            <w:r>
              <w:rPr>
                <w:rFonts w:hint="default" w:ascii="Arial" w:hAnsi="Arial" w:cs="Arial"/>
                <w:b/>
                <w:bCs w:val="0"/>
                <w:color w:val="auto"/>
                <w:kern w:val="0"/>
                <w:sz w:val="24"/>
                <w:u w:val="single"/>
                <w:lang w:val="en-US" w:eastAsia="zh-CN"/>
              </w:rPr>
              <w:t>×</w:t>
            </w:r>
            <w:r>
              <w:rPr>
                <w:rFonts w:hint="eastAsia"/>
                <w:b/>
                <w:bCs w:val="0"/>
                <w:color w:val="auto"/>
                <w:kern w:val="0"/>
                <w:sz w:val="24"/>
                <w:u w:val="single"/>
                <w:lang w:val="en-US" w:eastAsia="zh-CN"/>
              </w:rPr>
              <w:t>时间(3600s)=907.2m</w:t>
            </w:r>
            <w:r>
              <w:rPr>
                <w:rFonts w:hint="eastAsia"/>
                <w:b/>
                <w:bCs w:val="0"/>
                <w:color w:val="auto"/>
                <w:kern w:val="0"/>
                <w:sz w:val="24"/>
                <w:u w:val="single"/>
                <w:vertAlign w:val="superscript"/>
                <w:lang w:val="en-US" w:eastAsia="zh-CN"/>
              </w:rPr>
              <w:t>3</w:t>
            </w:r>
            <w:r>
              <w:rPr>
                <w:rFonts w:hint="eastAsia"/>
                <w:b/>
                <w:bCs w:val="0"/>
                <w:color w:val="auto"/>
                <w:kern w:val="0"/>
                <w:sz w:val="24"/>
                <w:u w:val="single"/>
                <w:lang w:val="en-US" w:eastAsia="zh-CN"/>
              </w:rPr>
              <w:t>/h，则木加工和打磨工位风机风量为3629m</w:t>
            </w:r>
            <w:r>
              <w:rPr>
                <w:rFonts w:hint="eastAsia"/>
                <w:b/>
                <w:bCs w:val="0"/>
                <w:color w:val="auto"/>
                <w:kern w:val="0"/>
                <w:sz w:val="24"/>
                <w:u w:val="single"/>
                <w:vertAlign w:val="superscript"/>
                <w:lang w:val="en-US" w:eastAsia="zh-CN"/>
              </w:rPr>
              <w:t>3</w:t>
            </w:r>
            <w:r>
              <w:rPr>
                <w:rFonts w:hint="eastAsia"/>
                <w:b/>
                <w:bCs w:val="0"/>
                <w:color w:val="auto"/>
                <w:kern w:val="0"/>
                <w:sz w:val="24"/>
                <w:u w:val="single"/>
                <w:lang w:val="en-US" w:eastAsia="zh-CN"/>
              </w:rPr>
              <w:t>/h，考虑到集气管道压力损失，项目三车间加工及打磨废气风机风量设置为4000m</w:t>
            </w:r>
            <w:r>
              <w:rPr>
                <w:rFonts w:hint="eastAsia"/>
                <w:b/>
                <w:bCs w:val="0"/>
                <w:color w:val="auto"/>
                <w:kern w:val="0"/>
                <w:sz w:val="24"/>
                <w:u w:val="single"/>
                <w:vertAlign w:val="superscript"/>
                <w:lang w:val="en-US" w:eastAsia="zh-CN"/>
              </w:rPr>
              <w:t>3</w:t>
            </w:r>
            <w:r>
              <w:rPr>
                <w:rFonts w:hint="eastAsia"/>
                <w:b/>
                <w:bCs w:val="0"/>
                <w:color w:val="auto"/>
                <w:kern w:val="0"/>
                <w:sz w:val="24"/>
                <w:u w:val="single"/>
                <w:lang w:val="en-US" w:eastAsia="zh-CN"/>
              </w:rPr>
              <w:t>/h。</w:t>
            </w:r>
          </w:p>
          <w:p w14:paraId="1AF41F91">
            <w:pPr>
              <w:spacing w:line="360" w:lineRule="auto"/>
              <w:rPr>
                <w:b/>
                <w:bCs/>
                <w:color w:val="auto"/>
                <w:sz w:val="24"/>
              </w:rPr>
            </w:pPr>
            <w:r>
              <w:rPr>
                <w:rFonts w:hint="eastAsia"/>
                <w:b/>
                <w:bCs/>
                <w:color w:val="auto"/>
                <w:sz w:val="24"/>
              </w:rPr>
              <w:t>1.2.</w:t>
            </w:r>
            <w:r>
              <w:rPr>
                <w:rFonts w:hint="eastAsia"/>
                <w:b/>
                <w:bCs/>
                <w:color w:val="auto"/>
                <w:sz w:val="24"/>
                <w:lang w:val="en-US" w:eastAsia="zh-CN"/>
              </w:rPr>
              <w:t>2</w:t>
            </w:r>
            <w:r>
              <w:rPr>
                <w:b/>
                <w:bCs/>
                <w:color w:val="auto"/>
                <w:sz w:val="24"/>
              </w:rPr>
              <w:t>有机废气</w:t>
            </w:r>
          </w:p>
          <w:p w14:paraId="603DFFE5">
            <w:pPr>
              <w:pStyle w:val="58"/>
              <w:spacing w:line="360" w:lineRule="auto"/>
              <w:ind w:firstLine="480"/>
              <w:rPr>
                <w:rFonts w:hint="eastAsia"/>
                <w:bCs/>
                <w:color w:val="auto"/>
              </w:rPr>
            </w:pPr>
            <w:r>
              <w:rPr>
                <w:rFonts w:hint="eastAsia"/>
                <w:bCs/>
                <w:color w:val="auto"/>
              </w:rPr>
              <w:t>（1）</w:t>
            </w:r>
            <w:r>
              <w:rPr>
                <w:rFonts w:hint="eastAsia"/>
                <w:b/>
                <w:bCs w:val="0"/>
                <w:color w:val="auto"/>
                <w:u w:val="single"/>
                <w:lang w:val="en-US" w:eastAsia="zh-CN"/>
              </w:rPr>
              <w:t>拼版冷压</w:t>
            </w:r>
            <w:r>
              <w:rPr>
                <w:rFonts w:hint="eastAsia"/>
                <w:b/>
                <w:bCs w:val="0"/>
                <w:color w:val="auto"/>
                <w:u w:val="single"/>
                <w:lang w:eastAsia="zh-CN"/>
              </w:rPr>
              <w:t>、</w:t>
            </w:r>
            <w:r>
              <w:rPr>
                <w:rFonts w:hint="eastAsia"/>
                <w:b/>
                <w:bCs w:val="0"/>
                <w:color w:val="auto"/>
                <w:u w:val="single"/>
                <w:lang w:val="en-US" w:eastAsia="zh-CN"/>
              </w:rPr>
              <w:t>贴皮热压</w:t>
            </w:r>
            <w:r>
              <w:rPr>
                <w:rFonts w:hint="eastAsia"/>
                <w:bCs/>
                <w:color w:val="auto"/>
                <w:lang w:val="en-US" w:eastAsia="zh-CN"/>
              </w:rPr>
              <w:t>、封边</w:t>
            </w:r>
            <w:r>
              <w:rPr>
                <w:rFonts w:hint="eastAsia"/>
                <w:bCs/>
                <w:color w:val="auto"/>
              </w:rPr>
              <w:t>工序有机废气</w:t>
            </w:r>
          </w:p>
          <w:p w14:paraId="597291AF">
            <w:pPr>
              <w:spacing w:line="360" w:lineRule="auto"/>
              <w:ind w:firstLine="480" w:firstLineChars="200"/>
              <w:rPr>
                <w:rFonts w:hint="eastAsia"/>
                <w:b/>
                <w:bCs w:val="0"/>
                <w:color w:val="auto"/>
                <w:sz w:val="24"/>
                <w:u w:val="single"/>
                <w:lang w:eastAsia="zh-CN"/>
              </w:rPr>
            </w:pPr>
            <w:r>
              <w:rPr>
                <w:color w:val="auto"/>
                <w:sz w:val="24"/>
              </w:rPr>
              <w:t>项目拼板</w:t>
            </w:r>
            <w:r>
              <w:rPr>
                <w:rFonts w:hint="eastAsia"/>
                <w:bCs/>
                <w:color w:val="auto"/>
                <w:sz w:val="24"/>
                <w:szCs w:val="24"/>
                <w:lang w:eastAsia="zh-CN"/>
              </w:rPr>
              <w:t>、</w:t>
            </w:r>
            <w:r>
              <w:rPr>
                <w:rFonts w:hint="eastAsia"/>
                <w:bCs/>
                <w:color w:val="auto"/>
                <w:sz w:val="24"/>
                <w:szCs w:val="24"/>
                <w:lang w:val="en-US" w:eastAsia="zh-CN"/>
              </w:rPr>
              <w:t>贴皮、封边</w:t>
            </w:r>
            <w:r>
              <w:rPr>
                <w:color w:val="auto"/>
                <w:sz w:val="24"/>
              </w:rPr>
              <w:t>过程需要先将板材</w:t>
            </w:r>
            <w:r>
              <w:rPr>
                <w:rFonts w:hint="eastAsia"/>
                <w:color w:val="auto"/>
                <w:sz w:val="24"/>
                <w:lang w:val="en-US" w:eastAsia="zh-CN"/>
              </w:rPr>
              <w:t>或木皮进行</w:t>
            </w:r>
            <w:r>
              <w:rPr>
                <w:color w:val="auto"/>
                <w:sz w:val="24"/>
              </w:rPr>
              <w:t>涂胶，板材之间的粘结剂为白乳胶</w:t>
            </w:r>
            <w:r>
              <w:rPr>
                <w:rFonts w:hint="eastAsia"/>
                <w:color w:val="auto"/>
                <w:sz w:val="24"/>
                <w:lang w:eastAsia="zh-CN"/>
              </w:rPr>
              <w:t>，</w:t>
            </w:r>
            <w:r>
              <w:rPr>
                <w:rFonts w:hint="eastAsia"/>
                <w:color w:val="auto"/>
                <w:sz w:val="24"/>
                <w:lang w:val="en-US" w:eastAsia="zh-CN"/>
              </w:rPr>
              <w:t>然后根据情况采用冷压或热压进行压合</w:t>
            </w:r>
            <w:r>
              <w:rPr>
                <w:color w:val="auto"/>
                <w:sz w:val="24"/>
              </w:rPr>
              <w:t>。项目采用</w:t>
            </w:r>
            <w:r>
              <w:rPr>
                <w:rFonts w:hint="eastAsia"/>
                <w:color w:val="auto"/>
                <w:sz w:val="24"/>
                <w:lang w:val="en-US" w:eastAsia="zh-CN"/>
              </w:rPr>
              <w:t>的白乳胶</w:t>
            </w:r>
            <w:r>
              <w:rPr>
                <w:color w:val="auto"/>
                <w:sz w:val="24"/>
              </w:rPr>
              <w:t>为水性环保胶，加工过程中产生的废气</w:t>
            </w:r>
            <w:r>
              <w:rPr>
                <w:rFonts w:hint="eastAsia"/>
                <w:color w:val="auto"/>
                <w:sz w:val="24"/>
              </w:rPr>
              <w:t>较少</w:t>
            </w:r>
            <w:r>
              <w:rPr>
                <w:color w:val="auto"/>
                <w:sz w:val="24"/>
              </w:rPr>
              <w:t>，</w:t>
            </w:r>
            <w:r>
              <w:rPr>
                <w:bCs/>
                <w:color w:val="auto"/>
                <w:sz w:val="24"/>
              </w:rPr>
              <w:t>参考</w:t>
            </w:r>
            <w:r>
              <w:rPr>
                <w:rFonts w:hint="eastAsia"/>
                <w:bCs/>
                <w:color w:val="auto"/>
                <w:sz w:val="24"/>
              </w:rPr>
              <w:t>《第二次全国污染源普查系数手册》中“</w:t>
            </w:r>
            <w:r>
              <w:rPr>
                <w:bCs/>
                <w:color w:val="auto"/>
                <w:sz w:val="24"/>
              </w:rPr>
              <w:t>211木质家具制造行业系数手册</w:t>
            </w:r>
            <w:r>
              <w:rPr>
                <w:rFonts w:hint="eastAsia"/>
                <w:bCs/>
                <w:color w:val="auto"/>
                <w:sz w:val="24"/>
              </w:rPr>
              <w:t>（2019年4月）</w:t>
            </w:r>
            <w:r>
              <w:rPr>
                <w:bCs/>
                <w:color w:val="auto"/>
                <w:sz w:val="24"/>
              </w:rPr>
              <w:t>中</w:t>
            </w:r>
            <w:r>
              <w:rPr>
                <w:color w:val="auto"/>
                <w:kern w:val="0"/>
                <w:sz w:val="24"/>
              </w:rPr>
              <w:t>涂胶</w:t>
            </w:r>
            <w:r>
              <w:rPr>
                <w:bCs/>
                <w:color w:val="auto"/>
                <w:sz w:val="24"/>
              </w:rPr>
              <w:t>环节</w:t>
            </w:r>
            <w:r>
              <w:rPr>
                <w:color w:val="auto"/>
                <w:kern w:val="0"/>
                <w:sz w:val="24"/>
              </w:rPr>
              <w:t>挥发性有机物产污系数52.4g/kg-胶黏剂，</w:t>
            </w:r>
            <w:r>
              <w:rPr>
                <w:color w:val="auto"/>
                <w:sz w:val="24"/>
              </w:rPr>
              <w:t>项目</w:t>
            </w:r>
            <w:r>
              <w:rPr>
                <w:rFonts w:hint="eastAsia"/>
                <w:color w:val="auto"/>
                <w:sz w:val="24"/>
                <w:lang w:eastAsia="zh-CN"/>
              </w:rPr>
              <w:t>白乳胶</w:t>
            </w:r>
            <w:r>
              <w:rPr>
                <w:color w:val="auto"/>
                <w:sz w:val="24"/>
              </w:rPr>
              <w:t>使用量为</w:t>
            </w:r>
            <w:r>
              <w:rPr>
                <w:rFonts w:hint="eastAsia"/>
                <w:color w:val="auto"/>
                <w:sz w:val="24"/>
              </w:rPr>
              <w:t>1</w:t>
            </w:r>
            <w:r>
              <w:rPr>
                <w:rFonts w:hint="eastAsia"/>
                <w:color w:val="auto"/>
                <w:sz w:val="24"/>
                <w:lang w:val="en-US" w:eastAsia="zh-CN"/>
              </w:rPr>
              <w:t>0</w:t>
            </w:r>
            <w:r>
              <w:rPr>
                <w:color w:val="auto"/>
                <w:sz w:val="24"/>
              </w:rPr>
              <w:t>t/a</w:t>
            </w:r>
            <w:r>
              <w:rPr>
                <w:rFonts w:hint="eastAsia"/>
                <w:color w:val="auto"/>
                <w:sz w:val="24"/>
                <w:lang w:eastAsia="zh-CN"/>
              </w:rPr>
              <w:t>，</w:t>
            </w:r>
            <w:r>
              <w:rPr>
                <w:rFonts w:hint="eastAsia"/>
                <w:color w:val="auto"/>
                <w:sz w:val="24"/>
                <w:lang w:val="en-US" w:eastAsia="zh-CN"/>
              </w:rPr>
              <w:t>非甲烷总烃产生量为0.524t/a</w:t>
            </w:r>
            <w:r>
              <w:rPr>
                <w:rFonts w:hint="eastAsia"/>
                <w:color w:val="auto"/>
                <w:sz w:val="24"/>
                <w:lang w:eastAsia="zh-CN"/>
              </w:rPr>
              <w:t>。</w:t>
            </w:r>
            <w:r>
              <w:rPr>
                <w:rFonts w:hint="eastAsia"/>
                <w:b/>
                <w:bCs w:val="0"/>
                <w:color w:val="auto"/>
                <w:sz w:val="24"/>
                <w:u w:val="single"/>
              </w:rPr>
              <w:t>为降低</w:t>
            </w:r>
            <w:r>
              <w:rPr>
                <w:rFonts w:hint="eastAsia"/>
                <w:b/>
                <w:bCs w:val="0"/>
                <w:color w:val="auto"/>
                <w:sz w:val="24"/>
                <w:u w:val="single"/>
                <w:lang w:val="en-US" w:eastAsia="zh-CN"/>
              </w:rPr>
              <w:t>有机废气</w:t>
            </w:r>
            <w:r>
              <w:rPr>
                <w:rFonts w:hint="eastAsia"/>
                <w:b/>
                <w:bCs w:val="0"/>
                <w:color w:val="auto"/>
                <w:sz w:val="24"/>
                <w:u w:val="single"/>
              </w:rPr>
              <w:t>无组织排放量，评价要求建设单位</w:t>
            </w:r>
            <w:r>
              <w:rPr>
                <w:rFonts w:hint="eastAsia"/>
                <w:b/>
                <w:bCs w:val="0"/>
                <w:color w:val="auto"/>
                <w:sz w:val="24"/>
                <w:u w:val="single"/>
                <w:lang w:val="en-US" w:eastAsia="zh-CN"/>
              </w:rPr>
              <w:t>对冷压</w:t>
            </w:r>
            <w:r>
              <w:rPr>
                <w:rFonts w:hint="eastAsia"/>
                <w:b/>
                <w:bCs w:val="0"/>
                <w:color w:val="auto"/>
                <w:sz w:val="24"/>
                <w:u w:val="single"/>
              </w:rPr>
              <w:t>、贴皮</w:t>
            </w:r>
            <w:r>
              <w:rPr>
                <w:rFonts w:hint="eastAsia"/>
                <w:b/>
                <w:bCs w:val="0"/>
                <w:color w:val="auto"/>
                <w:sz w:val="24"/>
                <w:u w:val="single"/>
                <w:lang w:val="en-US" w:eastAsia="zh-CN"/>
              </w:rPr>
              <w:t>热压</w:t>
            </w:r>
            <w:r>
              <w:rPr>
                <w:rFonts w:hint="eastAsia"/>
                <w:b/>
                <w:bCs w:val="0"/>
                <w:color w:val="auto"/>
                <w:sz w:val="24"/>
                <w:u w:val="single"/>
              </w:rPr>
              <w:t>、封边</w:t>
            </w:r>
            <w:r>
              <w:rPr>
                <w:rFonts w:hint="eastAsia"/>
                <w:b/>
                <w:bCs w:val="0"/>
                <w:color w:val="auto"/>
                <w:sz w:val="24"/>
                <w:u w:val="single"/>
                <w:lang w:val="en-US" w:eastAsia="zh-CN"/>
              </w:rPr>
              <w:t>工序二次密闭</w:t>
            </w:r>
            <w:r>
              <w:rPr>
                <w:rFonts w:hint="eastAsia"/>
                <w:b/>
                <w:bCs w:val="0"/>
                <w:color w:val="auto"/>
                <w:sz w:val="24"/>
                <w:u w:val="single"/>
              </w:rPr>
              <w:t>，废气经引风通道引至一车间西侧“活性炭吸附、脱附+催化燃烧”装置进行处理，然后通过1根15m高排气筒（DA004）排放。</w:t>
            </w:r>
          </w:p>
          <w:p w14:paraId="21CF5FF4">
            <w:pPr>
              <w:pStyle w:val="58"/>
              <w:spacing w:line="360" w:lineRule="auto"/>
              <w:ind w:firstLine="480"/>
              <w:rPr>
                <w:rFonts w:hint="eastAsia"/>
                <w:bCs/>
                <w:color w:val="auto"/>
              </w:rPr>
            </w:pPr>
            <w:r>
              <w:rPr>
                <w:rFonts w:hint="eastAsia"/>
                <w:bCs/>
                <w:color w:val="auto"/>
              </w:rPr>
              <w:t>（2）喷漆（</w:t>
            </w:r>
            <w:r>
              <w:rPr>
                <w:color w:val="auto"/>
              </w:rPr>
              <w:t>调漆+喷漆+晾干</w:t>
            </w:r>
            <w:r>
              <w:rPr>
                <w:rFonts w:hint="eastAsia"/>
                <w:b/>
                <w:bCs/>
                <w:color w:val="auto"/>
                <w:u w:val="single"/>
                <w:lang w:val="en-US" w:eastAsia="zh-CN"/>
              </w:rPr>
              <w:t>+修色</w:t>
            </w:r>
            <w:r>
              <w:rPr>
                <w:rFonts w:hint="eastAsia"/>
                <w:bCs/>
                <w:color w:val="auto"/>
              </w:rPr>
              <w:t>）</w:t>
            </w:r>
            <w:r>
              <w:rPr>
                <w:color w:val="auto"/>
                <w:kern w:val="0"/>
              </w:rPr>
              <w:t>废气</w:t>
            </w:r>
          </w:p>
          <w:p w14:paraId="58C5F341">
            <w:pPr>
              <w:pStyle w:val="79"/>
              <w:spacing w:line="360" w:lineRule="auto"/>
              <w:ind w:firstLine="480"/>
              <w:jc w:val="both"/>
              <w:rPr>
                <w:rFonts w:hint="eastAsia"/>
                <w:b/>
                <w:bCs/>
                <w:color w:val="auto"/>
                <w:u w:val="single"/>
              </w:rPr>
            </w:pPr>
            <w:r>
              <w:rPr>
                <w:rFonts w:hint="eastAsia"/>
                <w:b/>
                <w:bCs/>
                <w:color w:val="auto"/>
                <w:u w:val="single"/>
              </w:rPr>
              <w:t>喷漆完成后一般在喷漆房内专门设置的晾干区自然晾干，油性漆晾干时间一般在8-12h，水性漆晾干时间一般在24h，项目不设置专门的烘干房，仅</w:t>
            </w:r>
            <w:r>
              <w:rPr>
                <w:rFonts w:hint="eastAsia"/>
                <w:b/>
                <w:bCs/>
                <w:color w:val="auto"/>
                <w:u w:val="single"/>
                <w:lang w:val="en-US" w:eastAsia="zh-CN"/>
              </w:rPr>
              <w:t>水性漆</w:t>
            </w:r>
            <w:r>
              <w:rPr>
                <w:rFonts w:hint="eastAsia"/>
                <w:b/>
                <w:bCs/>
                <w:color w:val="auto"/>
                <w:u w:val="single"/>
              </w:rPr>
              <w:t>在冬季等温度较低情况下，采用电加热</w:t>
            </w:r>
            <w:r>
              <w:rPr>
                <w:rFonts w:hint="eastAsia"/>
                <w:b/>
                <w:bCs/>
                <w:color w:val="auto"/>
                <w:u w:val="single"/>
                <w:lang w:val="en-US" w:eastAsia="zh-CN"/>
              </w:rPr>
              <w:t>干燥机</w:t>
            </w:r>
            <w:r>
              <w:rPr>
                <w:rFonts w:hint="eastAsia"/>
                <w:b/>
                <w:bCs/>
                <w:color w:val="auto"/>
                <w:u w:val="single"/>
              </w:rPr>
              <w:t>辅助晾干，因此，调漆、喷涂、晾干废气合并计算。</w:t>
            </w:r>
          </w:p>
          <w:p w14:paraId="1AE6828B">
            <w:pPr>
              <w:pStyle w:val="79"/>
              <w:spacing w:line="360" w:lineRule="auto"/>
              <w:ind w:firstLine="480"/>
              <w:jc w:val="both"/>
              <w:rPr>
                <w:rFonts w:hint="eastAsia" w:eastAsia="宋体"/>
                <w:b/>
                <w:bCs/>
                <w:color w:val="auto"/>
                <w:u w:val="single"/>
                <w:lang w:eastAsia="zh-CN"/>
              </w:rPr>
            </w:pPr>
            <w:r>
              <w:rPr>
                <w:rFonts w:hint="eastAsia"/>
                <w:b/>
                <w:bCs/>
                <w:color w:val="auto"/>
                <w:u w:val="single"/>
              </w:rPr>
              <w:t>部分经过喷漆的工件，根据标准色板颜色对部分漆件进行喷漆修正颜色（使用相应的面漆），经修色喷漆的工件经晾干后进入下一道工序。修色工序在喷漆、晾干房进行，且属于喷漆，修色量小且时间较短，挥发的有机废气较少，且产生的废气经喷漆房负压收集后，引至过滤棉+活性炭吸附、脱附+催化燃烧系统处理后通过 15m高排气筒排放。因修色过程中有机废气产生量较小，故将修色产生的废气并入喷漆废气进行环境影响评价，不再单独分析</w:t>
            </w:r>
            <w:r>
              <w:rPr>
                <w:rFonts w:hint="eastAsia"/>
                <w:b/>
                <w:bCs/>
                <w:color w:val="auto"/>
                <w:u w:val="single"/>
                <w:lang w:eastAsia="zh-CN"/>
              </w:rPr>
              <w:t>。</w:t>
            </w:r>
          </w:p>
          <w:p w14:paraId="5ECC06CC">
            <w:pPr>
              <w:pStyle w:val="79"/>
              <w:spacing w:line="360" w:lineRule="auto"/>
              <w:ind w:firstLine="480"/>
              <w:jc w:val="both"/>
              <w:rPr>
                <w:color w:val="auto"/>
              </w:rPr>
            </w:pPr>
            <w:r>
              <w:rPr>
                <w:rFonts w:hint="eastAsia"/>
                <w:b/>
                <w:bCs/>
                <w:color w:val="auto"/>
                <w:u w:val="single"/>
              </w:rPr>
              <w:t>根据原辅材料的理化性质，以及建设单位提供的油漆、稀释剂的《化学品安全技术说明书》、检验检测报告（见附件</w:t>
            </w:r>
            <w:r>
              <w:rPr>
                <w:rFonts w:hint="eastAsia"/>
                <w:b/>
                <w:bCs/>
                <w:color w:val="auto"/>
                <w:u w:val="single"/>
                <w:lang w:val="en-US" w:eastAsia="zh-CN"/>
              </w:rPr>
              <w:t>6</w:t>
            </w:r>
            <w:r>
              <w:rPr>
                <w:rFonts w:hint="eastAsia"/>
                <w:b/>
                <w:bCs/>
                <w:color w:val="auto"/>
                <w:u w:val="single"/>
              </w:rPr>
              <w:t>），本项目所用的油漆、水性漆、稀释剂、固化剂等均不含苯，故不再分析喷漆过程中产生的苯。</w:t>
            </w:r>
            <w:r>
              <w:rPr>
                <w:rFonts w:hint="eastAsia"/>
                <w:color w:val="auto"/>
              </w:rPr>
              <w:t>项目喷涂使用聚氨酯漆、水性漆和UV油漆，涂料各成分主要物质组成和固体份、挥发分产</w:t>
            </w:r>
            <w:r>
              <w:rPr>
                <w:color w:val="auto"/>
              </w:rPr>
              <w:t>生情况见</w:t>
            </w:r>
            <w:r>
              <w:rPr>
                <w:rFonts w:hint="eastAsia"/>
                <w:color w:val="auto"/>
              </w:rPr>
              <w:t>表</w:t>
            </w:r>
            <w:r>
              <w:rPr>
                <w:rFonts w:hint="eastAsia"/>
                <w:color w:val="auto"/>
                <w:lang w:val="en-US" w:eastAsia="zh-CN"/>
              </w:rPr>
              <w:t>29</w:t>
            </w:r>
            <w:r>
              <w:rPr>
                <w:rFonts w:hint="eastAsia"/>
                <w:color w:val="auto"/>
              </w:rPr>
              <w:t>、表</w:t>
            </w:r>
            <w:r>
              <w:rPr>
                <w:rFonts w:hint="eastAsia"/>
                <w:color w:val="auto"/>
                <w:lang w:val="en-US" w:eastAsia="zh-CN"/>
              </w:rPr>
              <w:t>30</w:t>
            </w:r>
            <w:r>
              <w:rPr>
                <w:color w:val="auto"/>
              </w:rPr>
              <w:t>。</w:t>
            </w:r>
          </w:p>
          <w:p w14:paraId="4DD273D0">
            <w:pPr>
              <w:pStyle w:val="46"/>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eastAsia" w:ascii="Times New Roman" w:hAnsi="Arial Unicode MS" w:eastAsia="宋体" w:cs="Times New Roman"/>
                <w:b/>
                <w:color w:val="auto"/>
                <w:kern w:val="2"/>
                <w:sz w:val="24"/>
                <w:szCs w:val="24"/>
                <w:lang w:val="en-US" w:eastAsia="zh-CN" w:bidi="ar-SA"/>
              </w:rPr>
            </w:pPr>
            <w:r>
              <w:rPr>
                <w:rFonts w:hint="eastAsia" w:ascii="Times New Roman" w:hAnsi="Arial Unicode MS" w:eastAsia="宋体" w:cs="Times New Roman"/>
                <w:b/>
                <w:color w:val="auto"/>
                <w:kern w:val="2"/>
                <w:sz w:val="24"/>
                <w:szCs w:val="24"/>
                <w:lang w:val="en-US" w:eastAsia="zh-CN" w:bidi="ar-SA"/>
              </w:rPr>
              <w:t>本项目涂料各成分主要物质组成一览表</w:t>
            </w:r>
          </w:p>
          <w:tbl>
            <w:tblPr>
              <w:tblStyle w:val="25"/>
              <w:tblW w:w="86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7"/>
              <w:gridCol w:w="7128"/>
            </w:tblGrid>
            <w:tr w14:paraId="4C27E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77" w:type="dxa"/>
                  <w:vAlign w:val="center"/>
                </w:tcPr>
                <w:p w14:paraId="6CC4FF5C">
                  <w:pPr>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物料</w:t>
                  </w:r>
                </w:p>
              </w:tc>
              <w:tc>
                <w:tcPr>
                  <w:tcW w:w="7128" w:type="dxa"/>
                  <w:vAlign w:val="center"/>
                </w:tcPr>
                <w:p w14:paraId="5E754E48">
                  <w:pPr>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化学成分组成</w:t>
                  </w:r>
                </w:p>
              </w:tc>
            </w:tr>
            <w:tr w14:paraId="3C9EF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77" w:type="dxa"/>
                  <w:vAlign w:val="center"/>
                </w:tcPr>
                <w:p w14:paraId="227F9711">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聚氨酯底漆</w:t>
                  </w:r>
                </w:p>
              </w:tc>
              <w:tc>
                <w:tcPr>
                  <w:tcW w:w="7128" w:type="dxa"/>
                  <w:vAlign w:val="center"/>
                </w:tcPr>
                <w:p w14:paraId="172F5B19">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固体份含量约50%，溶剂含量为</w:t>
                  </w:r>
                  <w:r>
                    <w:rPr>
                      <w:rFonts w:hint="default" w:ascii="Times New Roman" w:hAnsi="Times New Roman" w:cs="Times New Roman" w:eastAsiaTheme="minorEastAsia"/>
                      <w:color w:val="auto"/>
                      <w:sz w:val="21"/>
                      <w:szCs w:val="21"/>
                      <w:highlight w:val="none"/>
                    </w:rPr>
                    <w:t>50%</w:t>
                  </w:r>
                  <w:r>
                    <w:rPr>
                      <w:rFonts w:hint="default" w:ascii="Times New Roman" w:hAnsi="Times New Roman" w:cs="Times New Roman" w:eastAsiaTheme="minorEastAsia"/>
                      <w:color w:val="auto"/>
                      <w:sz w:val="21"/>
                      <w:szCs w:val="21"/>
                    </w:rPr>
                    <w:t>，溶剂包括甲苯、二甲苯、芳香烃、醇、醚、酯、酮等，以非甲烷总烃计，</w:t>
                  </w:r>
                  <w:r>
                    <w:rPr>
                      <w:rFonts w:hint="default" w:ascii="Times New Roman" w:hAnsi="Times New Roman" w:cs="Times New Roman" w:eastAsiaTheme="minorEastAsia"/>
                      <w:color w:val="auto"/>
                      <w:sz w:val="21"/>
                      <w:szCs w:val="21"/>
                      <w:lang w:val="en-US" w:eastAsia="zh-CN"/>
                    </w:rPr>
                    <w:t>其中</w:t>
                  </w:r>
                  <w:r>
                    <w:rPr>
                      <w:rFonts w:hint="default" w:ascii="Times New Roman" w:hAnsi="Times New Roman" w:cs="Times New Roman" w:eastAsiaTheme="minorEastAsia"/>
                      <w:color w:val="auto"/>
                      <w:sz w:val="21"/>
                      <w:szCs w:val="21"/>
                    </w:rPr>
                    <w:t>甲苯+二甲苯合计含量约4.76%。</w:t>
                  </w:r>
                </w:p>
              </w:tc>
            </w:tr>
            <w:tr w14:paraId="4773E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77" w:type="dxa"/>
                  <w:vAlign w:val="center"/>
                </w:tcPr>
                <w:p w14:paraId="5E313359">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聚氨酯</w:t>
                  </w:r>
                  <w:r>
                    <w:rPr>
                      <w:rFonts w:hint="eastAsia" w:cs="Times New Roman" w:eastAsiaTheme="minorEastAsia"/>
                      <w:color w:val="auto"/>
                      <w:sz w:val="21"/>
                      <w:szCs w:val="21"/>
                      <w:lang w:val="en-US" w:eastAsia="zh-CN"/>
                    </w:rPr>
                    <w:t>面</w:t>
                  </w:r>
                  <w:r>
                    <w:rPr>
                      <w:rFonts w:hint="default" w:ascii="Times New Roman" w:hAnsi="Times New Roman" w:cs="Times New Roman" w:eastAsiaTheme="minorEastAsia"/>
                      <w:color w:val="auto"/>
                      <w:sz w:val="21"/>
                      <w:szCs w:val="21"/>
                    </w:rPr>
                    <w:t>漆</w:t>
                  </w:r>
                </w:p>
              </w:tc>
              <w:tc>
                <w:tcPr>
                  <w:tcW w:w="7128" w:type="dxa"/>
                  <w:vAlign w:val="center"/>
                </w:tcPr>
                <w:p w14:paraId="3CD7C453">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主要成分</w:t>
                  </w:r>
                  <w:r>
                    <w:rPr>
                      <w:rFonts w:hint="default" w:ascii="Times New Roman" w:hAnsi="Times New Roman" w:cs="Times New Roman" w:eastAsiaTheme="minorEastAsia"/>
                      <w:color w:val="auto"/>
                      <w:sz w:val="21"/>
                      <w:szCs w:val="21"/>
                    </w:rPr>
                    <w:t>树脂、颜料、填料占约</w:t>
                  </w:r>
                  <w:r>
                    <w:rPr>
                      <w:rFonts w:hint="default" w:ascii="Times New Roman" w:hAnsi="Times New Roman" w:cs="Times New Roman" w:eastAsiaTheme="minorEastAsia"/>
                      <w:color w:val="auto"/>
                      <w:sz w:val="21"/>
                      <w:szCs w:val="21"/>
                      <w:lang w:val="en-US" w:eastAsia="zh-CN"/>
                    </w:rPr>
                    <w:t>70</w:t>
                  </w:r>
                  <w:r>
                    <w:rPr>
                      <w:rFonts w:hint="default" w:ascii="Times New Roman" w:hAnsi="Times New Roman" w:cs="Times New Roman" w:eastAsiaTheme="minorEastAsia"/>
                      <w:color w:val="auto"/>
                      <w:sz w:val="21"/>
                      <w:szCs w:val="21"/>
                    </w:rPr>
                    <w:t>%，溶剂占</w:t>
                  </w:r>
                  <w:r>
                    <w:rPr>
                      <w:rFonts w:hint="default" w:ascii="Times New Roman" w:hAnsi="Times New Roman" w:cs="Times New Roman" w:eastAsiaTheme="minorEastAsia"/>
                      <w:color w:val="auto"/>
                      <w:sz w:val="21"/>
                      <w:szCs w:val="21"/>
                      <w:lang w:val="en-US" w:eastAsia="zh-CN"/>
                    </w:rPr>
                    <w:t>30</w:t>
                  </w:r>
                  <w:r>
                    <w:rPr>
                      <w:rFonts w:hint="default" w:ascii="Times New Roman" w:hAnsi="Times New Roman" w:cs="Times New Roman" w:eastAsiaTheme="minorEastAsia"/>
                      <w:color w:val="auto"/>
                      <w:sz w:val="21"/>
                      <w:szCs w:val="21"/>
                    </w:rPr>
                    <w:t>%。树脂含量约40%，颜料、填料占30%，溶剂占30%。溶剂包括甲苯、二甲苯、芳香烃类、醇醚类、酯类及其它以非甲烷总烃计，其中甲苯+二甲苯合计含量约</w:t>
                  </w:r>
                  <w:r>
                    <w:rPr>
                      <w:rFonts w:hint="eastAsia" w:ascii="Times New Roman" w:hAnsi="Times New Roman" w:cs="Times New Roman" w:eastAsiaTheme="minorEastAsia"/>
                      <w:color w:val="auto"/>
                      <w:sz w:val="21"/>
                      <w:szCs w:val="21"/>
                      <w:lang w:val="en-US" w:eastAsia="zh-CN"/>
                    </w:rPr>
                    <w:t>12.4</w:t>
                  </w:r>
                  <w:r>
                    <w:rPr>
                      <w:rFonts w:hint="default" w:ascii="Times New Roman" w:hAnsi="Times New Roman" w:cs="Times New Roman" w:eastAsiaTheme="minorEastAsia"/>
                      <w:color w:val="auto"/>
                      <w:sz w:val="21"/>
                      <w:szCs w:val="21"/>
                    </w:rPr>
                    <w:t>%。</w:t>
                  </w:r>
                </w:p>
              </w:tc>
            </w:tr>
            <w:tr w14:paraId="76067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77" w:type="dxa"/>
                  <w:vAlign w:val="center"/>
                </w:tcPr>
                <w:p w14:paraId="3E48C1B9">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稀释剂</w:t>
                  </w:r>
                </w:p>
              </w:tc>
              <w:tc>
                <w:tcPr>
                  <w:tcW w:w="7128" w:type="dxa"/>
                  <w:vAlign w:val="center"/>
                </w:tcPr>
                <w:p w14:paraId="7DF2DF94">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主要成分为乙酸正丁酯</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乙酸仲丁酯</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乙酸乙酯</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丙二醇甲醚丙酸酯</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lang w:val="en-US" w:eastAsia="zh-CN"/>
                    </w:rPr>
                    <w:t>甲苯、二甲苯，其中甲苯、二甲苯合计最高含量为60%</w:t>
                  </w:r>
                  <w:r>
                    <w:rPr>
                      <w:rFonts w:hint="default" w:ascii="Times New Roman" w:hAnsi="Times New Roman" w:cs="Times New Roman" w:eastAsiaTheme="minorEastAsia"/>
                      <w:color w:val="auto"/>
                      <w:sz w:val="21"/>
                      <w:szCs w:val="21"/>
                    </w:rPr>
                    <w:t>。</w:t>
                  </w:r>
                </w:p>
              </w:tc>
            </w:tr>
            <w:tr w14:paraId="5B34B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77" w:type="dxa"/>
                  <w:vAlign w:val="center"/>
                </w:tcPr>
                <w:p w14:paraId="67482E62">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固化剂</w:t>
                  </w:r>
                </w:p>
              </w:tc>
              <w:tc>
                <w:tcPr>
                  <w:tcW w:w="7128" w:type="dxa"/>
                  <w:vAlign w:val="center"/>
                </w:tcPr>
                <w:p w14:paraId="7C0C7CA8">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固体份含量约</w:t>
                  </w:r>
                  <w:r>
                    <w:rPr>
                      <w:rFonts w:hint="default" w:ascii="Times New Roman" w:hAnsi="Times New Roman" w:cs="Times New Roman" w:eastAsiaTheme="minorEastAsia"/>
                      <w:color w:val="auto"/>
                      <w:sz w:val="21"/>
                      <w:szCs w:val="21"/>
                      <w:lang w:val="en-US" w:eastAsia="zh-CN"/>
                    </w:rPr>
                    <w:t>75</w:t>
                  </w:r>
                  <w:r>
                    <w:rPr>
                      <w:rFonts w:hint="default" w:ascii="Times New Roman" w:hAnsi="Times New Roman" w:cs="Times New Roman" w:eastAsiaTheme="minorEastAsia"/>
                      <w:color w:val="auto"/>
                      <w:sz w:val="21"/>
                      <w:szCs w:val="21"/>
                    </w:rPr>
                    <w:t>%，主要成分为多异氰酸酯基的组分</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乙酸正丁酯</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乙酸乙酯</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lang w:val="en-US" w:eastAsia="zh-CN"/>
                    </w:rPr>
                    <w:t>甲苯，其中甲苯最高含量为10%</w:t>
                  </w:r>
                </w:p>
              </w:tc>
            </w:tr>
            <w:tr w14:paraId="7C792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77" w:type="dxa"/>
                  <w:vAlign w:val="center"/>
                </w:tcPr>
                <w:p w14:paraId="6FC5756A">
                  <w:pPr>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rPr>
                    <w:t>水性</w:t>
                  </w:r>
                  <w:r>
                    <w:rPr>
                      <w:rFonts w:hint="default" w:ascii="Times New Roman" w:hAnsi="Times New Roman" w:cs="Times New Roman" w:eastAsiaTheme="minorEastAsia"/>
                      <w:color w:val="auto"/>
                      <w:sz w:val="21"/>
                      <w:szCs w:val="21"/>
                      <w:lang w:val="en-US" w:eastAsia="zh-CN"/>
                    </w:rPr>
                    <w:t>清漆</w:t>
                  </w:r>
                </w:p>
              </w:tc>
              <w:tc>
                <w:tcPr>
                  <w:tcW w:w="7128" w:type="dxa"/>
                  <w:vAlign w:val="center"/>
                </w:tcPr>
                <w:p w14:paraId="4D74CA34">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固体份为35%，挥发性有机物含量为</w:t>
                  </w:r>
                  <w:r>
                    <w:rPr>
                      <w:rFonts w:hint="default" w:ascii="Times New Roman" w:hAnsi="Times New Roman" w:cs="Times New Roman" w:eastAsiaTheme="minorEastAsia"/>
                      <w:color w:val="auto"/>
                      <w:sz w:val="21"/>
                      <w:szCs w:val="21"/>
                      <w:lang w:val="en-US" w:eastAsia="zh-CN"/>
                    </w:rPr>
                    <w:t>139</w:t>
                  </w:r>
                  <w:r>
                    <w:rPr>
                      <w:rFonts w:hint="default" w:ascii="Times New Roman" w:hAnsi="Times New Roman" w:cs="Times New Roman" w:eastAsiaTheme="minorEastAsia"/>
                      <w:color w:val="auto"/>
                      <w:sz w:val="21"/>
                      <w:szCs w:val="21"/>
                    </w:rPr>
                    <w:t>g/L，密度1.20g/cm</w:t>
                  </w:r>
                  <w:r>
                    <w:rPr>
                      <w:rFonts w:hint="default" w:ascii="Times New Roman" w:hAnsi="Times New Roman" w:cs="Times New Roman" w:eastAsiaTheme="minorEastAsia"/>
                      <w:color w:val="auto"/>
                      <w:sz w:val="21"/>
                      <w:szCs w:val="21"/>
                      <w:vertAlign w:val="superscript"/>
                    </w:rPr>
                    <w:t>3</w:t>
                  </w:r>
                </w:p>
              </w:tc>
            </w:tr>
            <w:tr w14:paraId="26DAE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77" w:type="dxa"/>
                  <w:vAlign w:val="center"/>
                </w:tcPr>
                <w:p w14:paraId="695CAAD6">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水性</w:t>
                  </w:r>
                  <w:r>
                    <w:rPr>
                      <w:rFonts w:hint="default" w:ascii="Times New Roman" w:hAnsi="Times New Roman" w:cs="Times New Roman" w:eastAsiaTheme="minorEastAsia"/>
                      <w:color w:val="auto"/>
                      <w:sz w:val="21"/>
                      <w:szCs w:val="21"/>
                      <w:lang w:val="en-US" w:eastAsia="zh-CN"/>
                    </w:rPr>
                    <w:t>色漆</w:t>
                  </w:r>
                </w:p>
              </w:tc>
              <w:tc>
                <w:tcPr>
                  <w:tcW w:w="7128" w:type="dxa"/>
                  <w:vAlign w:val="center"/>
                </w:tcPr>
                <w:p w14:paraId="1E682A81">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固体份为</w:t>
                  </w:r>
                  <w:r>
                    <w:rPr>
                      <w:rFonts w:hint="eastAsia" w:cs="Times New Roman" w:eastAsiaTheme="minorEastAsia"/>
                      <w:color w:val="auto"/>
                      <w:sz w:val="21"/>
                      <w:szCs w:val="21"/>
                      <w:lang w:val="en-US" w:eastAsia="zh-CN"/>
                    </w:rPr>
                    <w:t>40</w:t>
                  </w:r>
                  <w:r>
                    <w:rPr>
                      <w:rFonts w:hint="default" w:ascii="Times New Roman" w:hAnsi="Times New Roman" w:cs="Times New Roman" w:eastAsiaTheme="minorEastAsia"/>
                      <w:color w:val="auto"/>
                      <w:sz w:val="21"/>
                      <w:szCs w:val="21"/>
                    </w:rPr>
                    <w:t>%，挥发性有机物含量为</w:t>
                  </w:r>
                  <w:r>
                    <w:rPr>
                      <w:rFonts w:hint="default" w:ascii="Times New Roman" w:hAnsi="Times New Roman" w:cs="Times New Roman" w:eastAsiaTheme="minorEastAsia"/>
                      <w:color w:val="auto"/>
                      <w:sz w:val="21"/>
                      <w:szCs w:val="21"/>
                      <w:lang w:val="en-US" w:eastAsia="zh-CN"/>
                    </w:rPr>
                    <w:t>132</w:t>
                  </w:r>
                  <w:r>
                    <w:rPr>
                      <w:rFonts w:hint="default" w:ascii="Times New Roman" w:hAnsi="Times New Roman" w:cs="Times New Roman" w:eastAsiaTheme="minorEastAsia"/>
                      <w:color w:val="auto"/>
                      <w:sz w:val="21"/>
                      <w:szCs w:val="21"/>
                    </w:rPr>
                    <w:t>g/L，密度1.26g/cm</w:t>
                  </w:r>
                  <w:r>
                    <w:rPr>
                      <w:rFonts w:hint="default" w:ascii="Times New Roman" w:hAnsi="Times New Roman" w:cs="Times New Roman" w:eastAsiaTheme="minorEastAsia"/>
                      <w:color w:val="auto"/>
                      <w:sz w:val="21"/>
                      <w:szCs w:val="21"/>
                      <w:vertAlign w:val="superscript"/>
                    </w:rPr>
                    <w:t>3</w:t>
                  </w:r>
                </w:p>
              </w:tc>
            </w:tr>
            <w:tr w14:paraId="2CB37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77" w:type="dxa"/>
                  <w:vAlign w:val="center"/>
                </w:tcPr>
                <w:p w14:paraId="30CD159E">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UV油漆</w:t>
                  </w:r>
                </w:p>
              </w:tc>
              <w:tc>
                <w:tcPr>
                  <w:tcW w:w="7128" w:type="dxa"/>
                  <w:vAlign w:val="center"/>
                </w:tcPr>
                <w:p w14:paraId="492220EA">
                  <w:pPr>
                    <w:jc w:val="center"/>
                    <w:rPr>
                      <w:rFonts w:hint="default" w:ascii="Times New Roman" w:hAnsi="Times New Roman" w:cs="Times New Roman" w:eastAsiaTheme="minorEastAsia"/>
                      <w:color w:val="auto"/>
                      <w:sz w:val="21"/>
                      <w:szCs w:val="21"/>
                    </w:rPr>
                  </w:pPr>
                  <w:r>
                    <w:rPr>
                      <w:rFonts w:hint="eastAsia" w:cs="Times New Roman" w:eastAsiaTheme="minorEastAsia"/>
                      <w:color w:val="auto"/>
                      <w:sz w:val="21"/>
                      <w:szCs w:val="21"/>
                      <w:highlight w:val="none"/>
                      <w:lang w:val="en-US" w:eastAsia="zh-CN"/>
                    </w:rPr>
                    <w:t>主要成为为聚氨酯丙烯酸树脂5%，单体45%，填料助剂5%，</w:t>
                  </w:r>
                  <w:r>
                    <w:rPr>
                      <w:rFonts w:hint="eastAsia" w:cs="Times New Roman" w:eastAsiaTheme="minorEastAsia"/>
                      <w:b/>
                      <w:bCs/>
                      <w:color w:val="auto"/>
                      <w:sz w:val="21"/>
                      <w:szCs w:val="21"/>
                      <w:highlight w:val="none"/>
                      <w:u w:val="single"/>
                      <w:lang w:val="en-US" w:eastAsia="zh-CN"/>
                    </w:rPr>
                    <w:t>不含苯。</w:t>
                  </w:r>
                  <w:r>
                    <w:rPr>
                      <w:rFonts w:hint="default" w:ascii="Times New Roman" w:hAnsi="Times New Roman" w:cs="Times New Roman" w:eastAsiaTheme="minorEastAsia"/>
                      <w:color w:val="auto"/>
                      <w:sz w:val="21"/>
                      <w:szCs w:val="21"/>
                    </w:rPr>
                    <w:t>固体份为</w:t>
                  </w:r>
                  <w:r>
                    <w:rPr>
                      <w:rFonts w:hint="eastAsia" w:cs="Times New Roman" w:eastAsiaTheme="minorEastAsia"/>
                      <w:color w:val="auto"/>
                      <w:sz w:val="21"/>
                      <w:szCs w:val="21"/>
                      <w:lang w:val="en-US" w:eastAsia="zh-CN"/>
                    </w:rPr>
                    <w:t>100</w:t>
                  </w:r>
                  <w:r>
                    <w:rPr>
                      <w:rFonts w:hint="default" w:ascii="Times New Roman" w:hAnsi="Times New Roman" w:cs="Times New Roman" w:eastAsiaTheme="minorEastAsia"/>
                      <w:color w:val="auto"/>
                      <w:sz w:val="21"/>
                      <w:szCs w:val="21"/>
                    </w:rPr>
                    <w:t>%</w:t>
                  </w:r>
                </w:p>
              </w:tc>
            </w:tr>
          </w:tbl>
          <w:p w14:paraId="376ED392">
            <w:pPr>
              <w:pStyle w:val="46"/>
              <w:keepNext w:val="0"/>
              <w:keepLines w:val="0"/>
              <w:pageBreakBefore w:val="0"/>
              <w:widowControl w:val="0"/>
              <w:numPr>
                <w:ilvl w:val="0"/>
                <w:numId w:val="0"/>
              </w:numPr>
              <w:tabs>
                <w:tab w:val="clear" w:pos="0"/>
              </w:tabs>
              <w:kinsoku/>
              <w:wordWrap/>
              <w:overflowPunct/>
              <w:topLinePunct w:val="0"/>
              <w:autoSpaceDE/>
              <w:autoSpaceDN/>
              <w:bidi w:val="0"/>
              <w:adjustRightInd/>
              <w:snapToGrid/>
              <w:ind w:leftChars="0"/>
              <w:textAlignment w:val="auto"/>
              <w:rPr>
                <w:rFonts w:hint="eastAsia" w:ascii="Times New Roman" w:hAnsi="Arial Unicode MS" w:eastAsia="宋体" w:cs="Times New Roman"/>
                <w:b/>
                <w:color w:val="auto"/>
                <w:kern w:val="2"/>
                <w:sz w:val="24"/>
                <w:szCs w:val="24"/>
                <w:lang w:val="en-US" w:eastAsia="zh-CN" w:bidi="ar-SA"/>
              </w:rPr>
            </w:pPr>
          </w:p>
          <w:p w14:paraId="7E11E344">
            <w:pPr>
              <w:pStyle w:val="46"/>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eastAsia" w:ascii="Times New Roman" w:hAnsi="Arial Unicode MS" w:eastAsia="宋体" w:cs="Times New Roman"/>
                <w:b/>
                <w:color w:val="auto"/>
                <w:kern w:val="2"/>
                <w:sz w:val="24"/>
                <w:szCs w:val="24"/>
                <w:lang w:val="en-US" w:eastAsia="zh-CN" w:bidi="ar-SA"/>
              </w:rPr>
            </w:pPr>
            <w:r>
              <w:rPr>
                <w:rFonts w:hint="eastAsia" w:ascii="Times New Roman" w:hAnsi="Arial Unicode MS" w:eastAsia="宋体" w:cs="Times New Roman"/>
                <w:b/>
                <w:color w:val="auto"/>
                <w:kern w:val="2"/>
                <w:sz w:val="24"/>
                <w:szCs w:val="24"/>
                <w:lang w:val="en-US" w:eastAsia="zh-CN" w:bidi="ar-SA"/>
              </w:rPr>
              <w:t>本项目涂料、固体份、挥发分含量一览表</w:t>
            </w:r>
          </w:p>
          <w:tbl>
            <w:tblPr>
              <w:tblStyle w:val="25"/>
              <w:tblW w:w="86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8"/>
              <w:gridCol w:w="924"/>
              <w:gridCol w:w="954"/>
              <w:gridCol w:w="959"/>
              <w:gridCol w:w="954"/>
              <w:gridCol w:w="955"/>
              <w:gridCol w:w="954"/>
              <w:gridCol w:w="966"/>
            </w:tblGrid>
            <w:tr w14:paraId="688FB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938" w:type="dxa"/>
                  <w:vMerge w:val="restart"/>
                  <w:vAlign w:val="center"/>
                </w:tcPr>
                <w:p w14:paraId="4E5860B3">
                  <w:pPr>
                    <w:pStyle w:val="80"/>
                    <w:spacing w:line="240" w:lineRule="auto"/>
                    <w:rPr>
                      <w:b/>
                      <w:bCs w:val="0"/>
                      <w:color w:val="auto"/>
                    </w:rPr>
                  </w:pPr>
                  <w:r>
                    <w:rPr>
                      <w:b/>
                      <w:bCs w:val="0"/>
                      <w:color w:val="auto"/>
                    </w:rPr>
                    <w:t>漆料种类</w:t>
                  </w:r>
                </w:p>
              </w:tc>
              <w:tc>
                <w:tcPr>
                  <w:tcW w:w="924" w:type="dxa"/>
                  <w:vMerge w:val="restart"/>
                  <w:vAlign w:val="center"/>
                </w:tcPr>
                <w:p w14:paraId="5B120723">
                  <w:pPr>
                    <w:pStyle w:val="80"/>
                    <w:spacing w:line="240" w:lineRule="auto"/>
                    <w:rPr>
                      <w:b/>
                      <w:bCs w:val="0"/>
                      <w:color w:val="auto"/>
                    </w:rPr>
                  </w:pPr>
                  <w:r>
                    <w:rPr>
                      <w:b/>
                      <w:bCs w:val="0"/>
                      <w:color w:val="auto"/>
                    </w:rPr>
                    <w:t>年用量</w:t>
                  </w:r>
                </w:p>
              </w:tc>
              <w:tc>
                <w:tcPr>
                  <w:tcW w:w="1913" w:type="dxa"/>
                  <w:gridSpan w:val="2"/>
                  <w:vMerge w:val="restart"/>
                  <w:vAlign w:val="center"/>
                </w:tcPr>
                <w:p w14:paraId="75BC9061">
                  <w:pPr>
                    <w:pStyle w:val="80"/>
                    <w:spacing w:line="240" w:lineRule="auto"/>
                    <w:rPr>
                      <w:b/>
                      <w:bCs w:val="0"/>
                      <w:color w:val="auto"/>
                    </w:rPr>
                  </w:pPr>
                  <w:r>
                    <w:rPr>
                      <w:b/>
                      <w:bCs w:val="0"/>
                      <w:color w:val="auto"/>
                    </w:rPr>
                    <w:t>固体含量</w:t>
                  </w:r>
                </w:p>
              </w:tc>
              <w:tc>
                <w:tcPr>
                  <w:tcW w:w="3829" w:type="dxa"/>
                  <w:gridSpan w:val="4"/>
                  <w:vAlign w:val="center"/>
                </w:tcPr>
                <w:p w14:paraId="6392F755">
                  <w:pPr>
                    <w:pStyle w:val="80"/>
                    <w:spacing w:line="240" w:lineRule="auto"/>
                    <w:rPr>
                      <w:b/>
                      <w:bCs w:val="0"/>
                      <w:color w:val="auto"/>
                    </w:rPr>
                  </w:pPr>
                  <w:r>
                    <w:rPr>
                      <w:b/>
                      <w:bCs w:val="0"/>
                      <w:color w:val="auto"/>
                    </w:rPr>
                    <w:t>挥发份</w:t>
                  </w:r>
                </w:p>
              </w:tc>
            </w:tr>
            <w:tr w14:paraId="6EBE6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938" w:type="dxa"/>
                  <w:vMerge w:val="continue"/>
                  <w:vAlign w:val="center"/>
                </w:tcPr>
                <w:p w14:paraId="6F3932B5">
                  <w:pPr>
                    <w:pStyle w:val="80"/>
                    <w:spacing w:line="240" w:lineRule="auto"/>
                    <w:rPr>
                      <w:b/>
                      <w:bCs w:val="0"/>
                      <w:color w:val="auto"/>
                    </w:rPr>
                  </w:pPr>
                </w:p>
              </w:tc>
              <w:tc>
                <w:tcPr>
                  <w:tcW w:w="924" w:type="dxa"/>
                  <w:vMerge w:val="continue"/>
                  <w:vAlign w:val="center"/>
                </w:tcPr>
                <w:p w14:paraId="00AAFAC0">
                  <w:pPr>
                    <w:pStyle w:val="80"/>
                    <w:spacing w:line="240" w:lineRule="auto"/>
                    <w:rPr>
                      <w:b/>
                      <w:bCs w:val="0"/>
                      <w:color w:val="auto"/>
                    </w:rPr>
                  </w:pPr>
                </w:p>
              </w:tc>
              <w:tc>
                <w:tcPr>
                  <w:tcW w:w="1913" w:type="dxa"/>
                  <w:gridSpan w:val="2"/>
                  <w:vMerge w:val="continue"/>
                  <w:vAlign w:val="center"/>
                </w:tcPr>
                <w:p w14:paraId="70790AE2">
                  <w:pPr>
                    <w:pStyle w:val="80"/>
                    <w:spacing w:line="240" w:lineRule="auto"/>
                    <w:rPr>
                      <w:b/>
                      <w:bCs w:val="0"/>
                      <w:color w:val="auto"/>
                    </w:rPr>
                  </w:pPr>
                </w:p>
              </w:tc>
              <w:tc>
                <w:tcPr>
                  <w:tcW w:w="1909" w:type="dxa"/>
                  <w:gridSpan w:val="2"/>
                  <w:vAlign w:val="center"/>
                </w:tcPr>
                <w:p w14:paraId="79B39B51">
                  <w:pPr>
                    <w:pStyle w:val="80"/>
                    <w:spacing w:line="240" w:lineRule="auto"/>
                    <w:rPr>
                      <w:rFonts w:hint="eastAsia" w:eastAsia="宋体"/>
                      <w:b/>
                      <w:bCs w:val="0"/>
                      <w:color w:val="auto"/>
                      <w:lang w:eastAsia="zh-CN"/>
                    </w:rPr>
                  </w:pPr>
                  <w:r>
                    <w:rPr>
                      <w:b/>
                      <w:bCs w:val="0"/>
                      <w:color w:val="auto"/>
                    </w:rPr>
                    <w:t>非甲烷总烃</w:t>
                  </w:r>
                  <w:r>
                    <w:rPr>
                      <w:rFonts w:hint="eastAsia"/>
                      <w:b/>
                      <w:bCs w:val="0"/>
                      <w:color w:val="auto"/>
                      <w:lang w:eastAsia="zh-CN"/>
                    </w:rPr>
                    <w:t>（</w:t>
                  </w:r>
                  <w:r>
                    <w:rPr>
                      <w:rFonts w:hint="eastAsia"/>
                      <w:b/>
                      <w:bCs w:val="0"/>
                      <w:color w:val="auto"/>
                      <w:lang w:val="en-US" w:eastAsia="zh-CN"/>
                    </w:rPr>
                    <w:t>不含甲苯+二甲苯</w:t>
                  </w:r>
                  <w:r>
                    <w:rPr>
                      <w:rFonts w:hint="eastAsia"/>
                      <w:b/>
                      <w:bCs w:val="0"/>
                      <w:color w:val="auto"/>
                      <w:lang w:eastAsia="zh-CN"/>
                    </w:rPr>
                    <w:t>）</w:t>
                  </w:r>
                </w:p>
              </w:tc>
              <w:tc>
                <w:tcPr>
                  <w:tcW w:w="1920" w:type="dxa"/>
                  <w:gridSpan w:val="2"/>
                  <w:vAlign w:val="center"/>
                </w:tcPr>
                <w:p w14:paraId="65834984">
                  <w:pPr>
                    <w:pStyle w:val="80"/>
                    <w:spacing w:line="240" w:lineRule="auto"/>
                    <w:rPr>
                      <w:b/>
                      <w:bCs w:val="0"/>
                      <w:color w:val="auto"/>
                    </w:rPr>
                  </w:pPr>
                  <w:r>
                    <w:rPr>
                      <w:rFonts w:hint="eastAsia"/>
                      <w:b/>
                      <w:bCs w:val="0"/>
                      <w:color w:val="auto"/>
                    </w:rPr>
                    <w:t>甲苯+</w:t>
                  </w:r>
                  <w:r>
                    <w:rPr>
                      <w:b/>
                      <w:bCs w:val="0"/>
                      <w:color w:val="auto"/>
                    </w:rPr>
                    <w:t>二甲苯</w:t>
                  </w:r>
                </w:p>
              </w:tc>
            </w:tr>
            <w:tr w14:paraId="7B6DA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938" w:type="dxa"/>
                  <w:vMerge w:val="continue"/>
                  <w:vAlign w:val="center"/>
                </w:tcPr>
                <w:p w14:paraId="796F99CF">
                  <w:pPr>
                    <w:pStyle w:val="80"/>
                    <w:spacing w:line="240" w:lineRule="auto"/>
                    <w:rPr>
                      <w:b/>
                      <w:bCs w:val="0"/>
                      <w:color w:val="auto"/>
                    </w:rPr>
                  </w:pPr>
                </w:p>
              </w:tc>
              <w:tc>
                <w:tcPr>
                  <w:tcW w:w="924" w:type="dxa"/>
                  <w:vAlign w:val="center"/>
                </w:tcPr>
                <w:p w14:paraId="05DA103A">
                  <w:pPr>
                    <w:pStyle w:val="80"/>
                    <w:spacing w:line="240" w:lineRule="auto"/>
                    <w:rPr>
                      <w:b/>
                      <w:bCs w:val="0"/>
                      <w:color w:val="auto"/>
                    </w:rPr>
                  </w:pPr>
                  <w:r>
                    <w:rPr>
                      <w:b/>
                      <w:bCs w:val="0"/>
                      <w:color w:val="auto"/>
                    </w:rPr>
                    <w:t>t/a</w:t>
                  </w:r>
                </w:p>
              </w:tc>
              <w:tc>
                <w:tcPr>
                  <w:tcW w:w="954" w:type="dxa"/>
                  <w:vAlign w:val="center"/>
                </w:tcPr>
                <w:p w14:paraId="643E1CC3">
                  <w:pPr>
                    <w:pStyle w:val="80"/>
                    <w:spacing w:line="240" w:lineRule="auto"/>
                    <w:rPr>
                      <w:b/>
                      <w:bCs w:val="0"/>
                      <w:color w:val="auto"/>
                    </w:rPr>
                  </w:pPr>
                  <w:r>
                    <w:rPr>
                      <w:b/>
                      <w:bCs w:val="0"/>
                      <w:color w:val="auto"/>
                    </w:rPr>
                    <w:t>占比%</w:t>
                  </w:r>
                </w:p>
              </w:tc>
              <w:tc>
                <w:tcPr>
                  <w:tcW w:w="959" w:type="dxa"/>
                  <w:vAlign w:val="center"/>
                </w:tcPr>
                <w:p w14:paraId="56B2FDA5">
                  <w:pPr>
                    <w:pStyle w:val="80"/>
                    <w:spacing w:line="240" w:lineRule="auto"/>
                    <w:rPr>
                      <w:b/>
                      <w:bCs w:val="0"/>
                      <w:color w:val="auto"/>
                    </w:rPr>
                  </w:pPr>
                  <w:r>
                    <w:rPr>
                      <w:b/>
                      <w:bCs w:val="0"/>
                      <w:color w:val="auto"/>
                    </w:rPr>
                    <w:t>含量t/a</w:t>
                  </w:r>
                </w:p>
              </w:tc>
              <w:tc>
                <w:tcPr>
                  <w:tcW w:w="954" w:type="dxa"/>
                  <w:vAlign w:val="center"/>
                </w:tcPr>
                <w:p w14:paraId="05CA6871">
                  <w:pPr>
                    <w:pStyle w:val="80"/>
                    <w:spacing w:line="240" w:lineRule="auto"/>
                    <w:rPr>
                      <w:b/>
                      <w:bCs w:val="0"/>
                      <w:color w:val="auto"/>
                    </w:rPr>
                  </w:pPr>
                  <w:r>
                    <w:rPr>
                      <w:b/>
                      <w:bCs w:val="0"/>
                      <w:color w:val="auto"/>
                    </w:rPr>
                    <w:t>占比%</w:t>
                  </w:r>
                </w:p>
              </w:tc>
              <w:tc>
                <w:tcPr>
                  <w:tcW w:w="955" w:type="dxa"/>
                  <w:vAlign w:val="center"/>
                </w:tcPr>
                <w:p w14:paraId="2BF7420E">
                  <w:pPr>
                    <w:pStyle w:val="80"/>
                    <w:spacing w:line="240" w:lineRule="auto"/>
                    <w:rPr>
                      <w:b/>
                      <w:bCs w:val="0"/>
                      <w:color w:val="auto"/>
                    </w:rPr>
                  </w:pPr>
                  <w:r>
                    <w:rPr>
                      <w:b/>
                      <w:bCs w:val="0"/>
                      <w:color w:val="auto"/>
                    </w:rPr>
                    <w:t>含量t/a</w:t>
                  </w:r>
                </w:p>
              </w:tc>
              <w:tc>
                <w:tcPr>
                  <w:tcW w:w="954" w:type="dxa"/>
                  <w:vAlign w:val="center"/>
                </w:tcPr>
                <w:p w14:paraId="5E302B8B">
                  <w:pPr>
                    <w:pStyle w:val="80"/>
                    <w:spacing w:line="240" w:lineRule="auto"/>
                    <w:rPr>
                      <w:b/>
                      <w:bCs w:val="0"/>
                      <w:color w:val="auto"/>
                    </w:rPr>
                  </w:pPr>
                  <w:r>
                    <w:rPr>
                      <w:b/>
                      <w:bCs w:val="0"/>
                      <w:color w:val="auto"/>
                    </w:rPr>
                    <w:t>占比%</w:t>
                  </w:r>
                </w:p>
              </w:tc>
              <w:tc>
                <w:tcPr>
                  <w:tcW w:w="966" w:type="dxa"/>
                  <w:vAlign w:val="center"/>
                </w:tcPr>
                <w:p w14:paraId="6B74CD59">
                  <w:pPr>
                    <w:pStyle w:val="80"/>
                    <w:spacing w:line="240" w:lineRule="auto"/>
                    <w:rPr>
                      <w:b/>
                      <w:bCs w:val="0"/>
                      <w:color w:val="auto"/>
                    </w:rPr>
                  </w:pPr>
                  <w:r>
                    <w:rPr>
                      <w:b/>
                      <w:bCs w:val="0"/>
                      <w:color w:val="auto"/>
                    </w:rPr>
                    <w:t>含量t/a</w:t>
                  </w:r>
                </w:p>
              </w:tc>
            </w:tr>
            <w:tr w14:paraId="6158C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8" w:type="dxa"/>
                  <w:vAlign w:val="center"/>
                </w:tcPr>
                <w:p w14:paraId="452FBE8C">
                  <w:pPr>
                    <w:jc w:val="center"/>
                    <w:rPr>
                      <w:rFonts w:hint="eastAsia" w:ascii="Times New Roman" w:hAnsi="Times New Roman" w:cs="Times New Roman" w:eastAsiaTheme="minorEastAsia"/>
                      <w:bCs w:val="0"/>
                      <w:color w:val="auto"/>
                      <w:kern w:val="2"/>
                      <w:sz w:val="21"/>
                      <w:szCs w:val="21"/>
                      <w:lang w:val="en-US" w:eastAsia="zh-CN" w:bidi="ar-SA"/>
                    </w:rPr>
                  </w:pPr>
                  <w:r>
                    <w:rPr>
                      <w:rFonts w:hint="eastAsia" w:cs="Times New Roman" w:eastAsiaTheme="minorEastAsia"/>
                      <w:bCs w:val="0"/>
                      <w:color w:val="auto"/>
                      <w:kern w:val="2"/>
                      <w:sz w:val="21"/>
                      <w:szCs w:val="21"/>
                      <w:lang w:val="en-US" w:eastAsia="zh-CN" w:bidi="ar-SA"/>
                    </w:rPr>
                    <w:t>油性</w:t>
                  </w:r>
                  <w:r>
                    <w:rPr>
                      <w:rFonts w:hint="eastAsia" w:ascii="Times New Roman" w:hAnsi="Times New Roman" w:cs="Times New Roman" w:eastAsiaTheme="minorEastAsia"/>
                      <w:bCs w:val="0"/>
                      <w:color w:val="auto"/>
                      <w:kern w:val="2"/>
                      <w:sz w:val="21"/>
                      <w:szCs w:val="21"/>
                      <w:lang w:val="en-US" w:eastAsia="zh-CN" w:bidi="ar-SA"/>
                    </w:rPr>
                    <w:t>底漆</w:t>
                  </w:r>
                </w:p>
              </w:tc>
              <w:tc>
                <w:tcPr>
                  <w:tcW w:w="924" w:type="dxa"/>
                  <w:vAlign w:val="center"/>
                </w:tcPr>
                <w:p w14:paraId="589A953B">
                  <w:pPr>
                    <w:jc w:val="center"/>
                    <w:rPr>
                      <w:rFonts w:hint="default" w:ascii="Times New Roman" w:hAnsi="Times New Roman" w:cs="Times New Roman" w:eastAsiaTheme="minorEastAsia"/>
                      <w:bCs w:val="0"/>
                      <w:color w:val="auto"/>
                      <w:kern w:val="2"/>
                      <w:sz w:val="21"/>
                      <w:szCs w:val="21"/>
                      <w:lang w:val="en-US" w:eastAsia="zh-CN" w:bidi="ar-SA"/>
                    </w:rPr>
                  </w:pPr>
                  <w:r>
                    <w:rPr>
                      <w:rFonts w:hint="eastAsia" w:cs="Times New Roman" w:eastAsiaTheme="minorEastAsia"/>
                      <w:b/>
                      <w:bCs/>
                      <w:color w:val="auto"/>
                      <w:kern w:val="2"/>
                      <w:sz w:val="21"/>
                      <w:szCs w:val="21"/>
                      <w:u w:val="single"/>
                      <w:lang w:val="en-US" w:eastAsia="zh-CN" w:bidi="ar-SA"/>
                    </w:rPr>
                    <w:t>4.350</w:t>
                  </w:r>
                </w:p>
              </w:tc>
              <w:tc>
                <w:tcPr>
                  <w:tcW w:w="954" w:type="dxa"/>
                  <w:vAlign w:val="center"/>
                </w:tcPr>
                <w:p w14:paraId="7AB713A1">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50</w:t>
                  </w:r>
                </w:p>
              </w:tc>
              <w:tc>
                <w:tcPr>
                  <w:tcW w:w="959" w:type="dxa"/>
                  <w:vAlign w:val="center"/>
                </w:tcPr>
                <w:p w14:paraId="4896D410">
                  <w:pPr>
                    <w:keepNext w:val="0"/>
                    <w:keepLines w:val="0"/>
                    <w:widowControl/>
                    <w:suppressLineNumbers w:val="0"/>
                    <w:jc w:val="center"/>
                    <w:textAlignment w:val="center"/>
                    <w:rPr>
                      <w:rFonts w:hint="default"/>
                      <w:color w:val="auto"/>
                      <w:szCs w:val="21"/>
                      <w:lang w:val="en-US"/>
                    </w:rPr>
                  </w:pPr>
                  <w:r>
                    <w:rPr>
                      <w:rFonts w:hint="eastAsia" w:cs="Times New Roman" w:eastAsiaTheme="minorEastAsia"/>
                      <w:b/>
                      <w:bCs/>
                      <w:color w:val="auto"/>
                      <w:kern w:val="2"/>
                      <w:sz w:val="21"/>
                      <w:szCs w:val="21"/>
                      <w:u w:val="single"/>
                      <w:lang w:val="en-US" w:eastAsia="zh-CN" w:bidi="ar-SA"/>
                    </w:rPr>
                    <w:t>2.1750</w:t>
                  </w:r>
                </w:p>
              </w:tc>
              <w:tc>
                <w:tcPr>
                  <w:tcW w:w="954" w:type="dxa"/>
                  <w:vAlign w:val="center"/>
                </w:tcPr>
                <w:p w14:paraId="14671BDC">
                  <w:pPr>
                    <w:keepNext w:val="0"/>
                    <w:keepLines w:val="0"/>
                    <w:widowControl/>
                    <w:suppressLineNumbers w:val="0"/>
                    <w:jc w:val="center"/>
                    <w:textAlignment w:val="center"/>
                    <w:rPr>
                      <w:rFonts w:hint="default"/>
                      <w:color w:val="auto"/>
                      <w:lang w:val="en-US"/>
                    </w:rPr>
                  </w:pPr>
                  <w:r>
                    <w:rPr>
                      <w:rFonts w:hint="eastAsia" w:cs="Times New Roman"/>
                      <w:i w:val="0"/>
                      <w:iCs w:val="0"/>
                      <w:color w:val="auto"/>
                      <w:kern w:val="0"/>
                      <w:sz w:val="21"/>
                      <w:szCs w:val="21"/>
                      <w:u w:val="none"/>
                      <w:lang w:val="en-US" w:eastAsia="zh-CN" w:bidi="ar"/>
                    </w:rPr>
                    <w:t>45.24</w:t>
                  </w:r>
                </w:p>
              </w:tc>
              <w:tc>
                <w:tcPr>
                  <w:tcW w:w="955" w:type="dxa"/>
                  <w:vAlign w:val="center"/>
                </w:tcPr>
                <w:p w14:paraId="69B9E083">
                  <w:pPr>
                    <w:keepNext w:val="0"/>
                    <w:keepLines w:val="0"/>
                    <w:widowControl/>
                    <w:suppressLineNumbers w:val="0"/>
                    <w:jc w:val="center"/>
                    <w:textAlignment w:val="center"/>
                    <w:rPr>
                      <w:rFonts w:hint="default"/>
                      <w:color w:val="auto"/>
                      <w:szCs w:val="21"/>
                      <w:lang w:val="en-US"/>
                    </w:rPr>
                  </w:pPr>
                  <w:r>
                    <w:rPr>
                      <w:rFonts w:hint="eastAsia" w:cs="Times New Roman" w:eastAsiaTheme="minorEastAsia"/>
                      <w:b/>
                      <w:bCs/>
                      <w:color w:val="auto"/>
                      <w:kern w:val="2"/>
                      <w:sz w:val="21"/>
                      <w:szCs w:val="21"/>
                      <w:u w:val="single"/>
                      <w:lang w:val="en-US" w:eastAsia="zh-CN" w:bidi="ar-SA"/>
                    </w:rPr>
                    <w:t>1.9679</w:t>
                  </w:r>
                </w:p>
              </w:tc>
              <w:tc>
                <w:tcPr>
                  <w:tcW w:w="954" w:type="dxa"/>
                  <w:vAlign w:val="center"/>
                </w:tcPr>
                <w:p w14:paraId="3D085048">
                  <w:pPr>
                    <w:keepNext w:val="0"/>
                    <w:keepLines w:val="0"/>
                    <w:widowControl/>
                    <w:suppressLineNumbers w:val="0"/>
                    <w:jc w:val="center"/>
                    <w:textAlignment w:val="center"/>
                    <w:rPr>
                      <w:rFonts w:hint="default" w:eastAsia="宋体"/>
                      <w:color w:val="auto"/>
                      <w:lang w:val="en-US" w:eastAsia="zh-CN"/>
                    </w:rPr>
                  </w:pPr>
                  <w:r>
                    <w:rPr>
                      <w:rFonts w:hint="eastAsia" w:ascii="Times New Roman" w:hAnsi="Times New Roman" w:cs="Times New Roman" w:eastAsiaTheme="minorEastAsia"/>
                      <w:bCs w:val="0"/>
                      <w:color w:val="auto"/>
                      <w:kern w:val="2"/>
                      <w:sz w:val="21"/>
                      <w:szCs w:val="21"/>
                      <w:lang w:val="en-US" w:eastAsia="zh-CN" w:bidi="ar-SA"/>
                    </w:rPr>
                    <w:t>4.76</w:t>
                  </w:r>
                </w:p>
              </w:tc>
              <w:tc>
                <w:tcPr>
                  <w:tcW w:w="966" w:type="dxa"/>
                  <w:vAlign w:val="center"/>
                </w:tcPr>
                <w:p w14:paraId="4C48144C">
                  <w:pPr>
                    <w:keepNext w:val="0"/>
                    <w:keepLines w:val="0"/>
                    <w:widowControl/>
                    <w:suppressLineNumbers w:val="0"/>
                    <w:jc w:val="center"/>
                    <w:textAlignment w:val="center"/>
                    <w:rPr>
                      <w:color w:val="auto"/>
                      <w:szCs w:val="21"/>
                    </w:rPr>
                  </w:pPr>
                  <w:r>
                    <w:rPr>
                      <w:rFonts w:hint="eastAsia" w:cs="Times New Roman" w:eastAsiaTheme="minorEastAsia"/>
                      <w:b/>
                      <w:bCs/>
                      <w:color w:val="auto"/>
                      <w:kern w:val="2"/>
                      <w:sz w:val="21"/>
                      <w:szCs w:val="21"/>
                      <w:u w:val="single"/>
                      <w:lang w:val="en-US" w:eastAsia="zh-CN" w:bidi="ar-SA"/>
                    </w:rPr>
                    <w:t>0.2071</w:t>
                  </w:r>
                  <w:r>
                    <w:rPr>
                      <w:rFonts w:hint="default" w:ascii="Times New Roman" w:hAnsi="Times New Roman" w:cs="Times New Roman" w:eastAsiaTheme="minorEastAsia"/>
                      <w:b/>
                      <w:bCs/>
                      <w:color w:val="auto"/>
                      <w:kern w:val="2"/>
                      <w:sz w:val="21"/>
                      <w:szCs w:val="21"/>
                      <w:u w:val="single"/>
                      <w:lang w:val="en-US" w:eastAsia="zh-CN" w:bidi="ar-SA"/>
                    </w:rPr>
                    <w:t xml:space="preserve"> </w:t>
                  </w:r>
                </w:p>
              </w:tc>
            </w:tr>
            <w:tr w14:paraId="17290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8" w:type="dxa"/>
                  <w:vAlign w:val="center"/>
                </w:tcPr>
                <w:p w14:paraId="22BD15B6">
                  <w:pPr>
                    <w:jc w:val="center"/>
                    <w:rPr>
                      <w:rFonts w:hint="eastAsia" w:ascii="Times New Roman" w:hAnsi="Times New Roman" w:cs="Times New Roman" w:eastAsiaTheme="minorEastAsia"/>
                      <w:bCs w:val="0"/>
                      <w:color w:val="auto"/>
                      <w:kern w:val="2"/>
                      <w:sz w:val="21"/>
                      <w:szCs w:val="21"/>
                      <w:lang w:val="en-US" w:eastAsia="zh-CN" w:bidi="ar-SA"/>
                    </w:rPr>
                  </w:pPr>
                  <w:r>
                    <w:rPr>
                      <w:rFonts w:hint="eastAsia" w:ascii="Times New Roman" w:hAnsi="Times New Roman" w:cs="Times New Roman" w:eastAsiaTheme="minorEastAsia"/>
                      <w:bCs w:val="0"/>
                      <w:color w:val="auto"/>
                      <w:kern w:val="2"/>
                      <w:sz w:val="21"/>
                      <w:szCs w:val="21"/>
                      <w:lang w:val="en-US" w:eastAsia="zh-CN" w:bidi="ar-SA"/>
                    </w:rPr>
                    <w:t>固化剂</w:t>
                  </w:r>
                </w:p>
              </w:tc>
              <w:tc>
                <w:tcPr>
                  <w:tcW w:w="924" w:type="dxa"/>
                  <w:vAlign w:val="center"/>
                </w:tcPr>
                <w:p w14:paraId="2542B447">
                  <w:pPr>
                    <w:jc w:val="center"/>
                    <w:rPr>
                      <w:rFonts w:hint="default" w:ascii="Times New Roman" w:hAnsi="Times New Roman" w:cs="Times New Roman" w:eastAsiaTheme="minorEastAsia"/>
                      <w:bCs w:val="0"/>
                      <w:color w:val="auto"/>
                      <w:kern w:val="2"/>
                      <w:sz w:val="21"/>
                      <w:szCs w:val="21"/>
                      <w:lang w:val="en-US" w:eastAsia="zh-CN" w:bidi="ar-SA"/>
                    </w:rPr>
                  </w:pPr>
                  <w:r>
                    <w:rPr>
                      <w:rFonts w:hint="eastAsia" w:cs="Times New Roman" w:eastAsiaTheme="minorEastAsia"/>
                      <w:b/>
                      <w:bCs/>
                      <w:color w:val="auto"/>
                      <w:kern w:val="2"/>
                      <w:sz w:val="21"/>
                      <w:szCs w:val="21"/>
                      <w:u w:val="single"/>
                      <w:lang w:val="en-US" w:eastAsia="zh-CN" w:bidi="ar-SA"/>
                    </w:rPr>
                    <w:t>2.3448</w:t>
                  </w:r>
                </w:p>
              </w:tc>
              <w:tc>
                <w:tcPr>
                  <w:tcW w:w="954" w:type="dxa"/>
                  <w:vAlign w:val="center"/>
                </w:tcPr>
                <w:p w14:paraId="1525F691">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75</w:t>
                  </w:r>
                </w:p>
              </w:tc>
              <w:tc>
                <w:tcPr>
                  <w:tcW w:w="959" w:type="dxa"/>
                  <w:vAlign w:val="center"/>
                </w:tcPr>
                <w:p w14:paraId="37548591">
                  <w:pPr>
                    <w:keepNext w:val="0"/>
                    <w:keepLines w:val="0"/>
                    <w:widowControl/>
                    <w:suppressLineNumbers w:val="0"/>
                    <w:jc w:val="center"/>
                    <w:textAlignment w:val="center"/>
                    <w:rPr>
                      <w:rFonts w:hint="default"/>
                      <w:color w:val="auto"/>
                      <w:szCs w:val="21"/>
                      <w:lang w:val="en-US"/>
                    </w:rPr>
                  </w:pPr>
                  <w:r>
                    <w:rPr>
                      <w:rFonts w:hint="eastAsia" w:cs="Times New Roman" w:eastAsiaTheme="minorEastAsia"/>
                      <w:b/>
                      <w:bCs/>
                      <w:color w:val="auto"/>
                      <w:kern w:val="2"/>
                      <w:sz w:val="21"/>
                      <w:szCs w:val="21"/>
                      <w:u w:val="single"/>
                      <w:lang w:val="en-US" w:eastAsia="zh-CN" w:bidi="ar-SA"/>
                    </w:rPr>
                    <w:t>1.7586</w:t>
                  </w:r>
                </w:p>
              </w:tc>
              <w:tc>
                <w:tcPr>
                  <w:tcW w:w="954" w:type="dxa"/>
                  <w:vAlign w:val="center"/>
                </w:tcPr>
                <w:p w14:paraId="149CDBAE">
                  <w:pPr>
                    <w:keepNext w:val="0"/>
                    <w:keepLines w:val="0"/>
                    <w:widowControl/>
                    <w:suppressLineNumbers w:val="0"/>
                    <w:jc w:val="center"/>
                    <w:textAlignment w:val="center"/>
                    <w:rPr>
                      <w:rFonts w:hint="default"/>
                      <w:color w:val="auto"/>
                      <w:lang w:val="en-US"/>
                    </w:rPr>
                  </w:pPr>
                  <w:r>
                    <w:rPr>
                      <w:rFonts w:hint="eastAsia" w:cs="Times New Roman"/>
                      <w:i w:val="0"/>
                      <w:iCs w:val="0"/>
                      <w:color w:val="auto"/>
                      <w:kern w:val="0"/>
                      <w:sz w:val="21"/>
                      <w:szCs w:val="21"/>
                      <w:u w:val="none"/>
                      <w:lang w:val="en-US" w:eastAsia="zh-CN" w:bidi="ar"/>
                    </w:rPr>
                    <w:t>15</w:t>
                  </w:r>
                </w:p>
              </w:tc>
              <w:tc>
                <w:tcPr>
                  <w:tcW w:w="955" w:type="dxa"/>
                  <w:vAlign w:val="center"/>
                </w:tcPr>
                <w:p w14:paraId="763A39F4">
                  <w:pPr>
                    <w:keepNext w:val="0"/>
                    <w:keepLines w:val="0"/>
                    <w:widowControl/>
                    <w:suppressLineNumbers w:val="0"/>
                    <w:jc w:val="center"/>
                    <w:textAlignment w:val="center"/>
                    <w:rPr>
                      <w:color w:val="auto"/>
                      <w:szCs w:val="21"/>
                    </w:rPr>
                  </w:pPr>
                  <w:r>
                    <w:rPr>
                      <w:rFonts w:hint="eastAsia" w:cs="Times New Roman" w:eastAsiaTheme="minorEastAsia"/>
                      <w:b/>
                      <w:bCs/>
                      <w:color w:val="auto"/>
                      <w:kern w:val="2"/>
                      <w:sz w:val="21"/>
                      <w:szCs w:val="21"/>
                      <w:u w:val="single"/>
                      <w:lang w:val="en-US" w:eastAsia="zh-CN" w:bidi="ar-SA"/>
                    </w:rPr>
                    <w:t>0.3517</w:t>
                  </w:r>
                  <w:r>
                    <w:rPr>
                      <w:rFonts w:hint="default" w:ascii="Times New Roman" w:hAnsi="Times New Roman" w:cs="Times New Roman" w:eastAsiaTheme="minorEastAsia"/>
                      <w:bCs w:val="0"/>
                      <w:color w:val="auto"/>
                      <w:kern w:val="2"/>
                      <w:sz w:val="21"/>
                      <w:szCs w:val="21"/>
                      <w:lang w:val="en-US" w:eastAsia="zh-CN" w:bidi="ar-SA"/>
                    </w:rPr>
                    <w:t xml:space="preserve"> </w:t>
                  </w:r>
                </w:p>
              </w:tc>
              <w:tc>
                <w:tcPr>
                  <w:tcW w:w="954" w:type="dxa"/>
                  <w:vAlign w:val="center"/>
                </w:tcPr>
                <w:p w14:paraId="74547036">
                  <w:pPr>
                    <w:keepNext w:val="0"/>
                    <w:keepLines w:val="0"/>
                    <w:widowControl/>
                    <w:suppressLineNumbers w:val="0"/>
                    <w:jc w:val="center"/>
                    <w:textAlignment w:val="center"/>
                    <w:rPr>
                      <w:rFonts w:hint="default"/>
                      <w:color w:val="auto"/>
                      <w:lang w:val="en-US"/>
                    </w:rPr>
                  </w:pPr>
                  <w:r>
                    <w:rPr>
                      <w:rFonts w:hint="eastAsia" w:cs="Times New Roman"/>
                      <w:i w:val="0"/>
                      <w:iCs w:val="0"/>
                      <w:color w:val="auto"/>
                      <w:kern w:val="0"/>
                      <w:sz w:val="21"/>
                      <w:szCs w:val="21"/>
                      <w:u w:val="none"/>
                      <w:lang w:val="en-US" w:eastAsia="zh-CN" w:bidi="ar"/>
                    </w:rPr>
                    <w:t>10</w:t>
                  </w:r>
                </w:p>
              </w:tc>
              <w:tc>
                <w:tcPr>
                  <w:tcW w:w="966" w:type="dxa"/>
                  <w:vAlign w:val="center"/>
                </w:tcPr>
                <w:p w14:paraId="1403F93D">
                  <w:pPr>
                    <w:jc w:val="center"/>
                    <w:rPr>
                      <w:rFonts w:hint="default" w:eastAsia="宋体"/>
                      <w:color w:val="auto"/>
                      <w:szCs w:val="21"/>
                      <w:lang w:val="en-US" w:eastAsia="zh-CN"/>
                    </w:rPr>
                  </w:pPr>
                  <w:r>
                    <w:rPr>
                      <w:rFonts w:hint="eastAsia" w:cs="Times New Roman" w:eastAsiaTheme="minorEastAsia"/>
                      <w:b/>
                      <w:bCs/>
                      <w:color w:val="auto"/>
                      <w:kern w:val="2"/>
                      <w:sz w:val="21"/>
                      <w:szCs w:val="21"/>
                      <w:u w:val="single"/>
                      <w:lang w:val="en-US" w:eastAsia="zh-CN" w:bidi="ar-SA"/>
                    </w:rPr>
                    <w:t>0.2345</w:t>
                  </w:r>
                </w:p>
              </w:tc>
            </w:tr>
            <w:tr w14:paraId="042C9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38" w:type="dxa"/>
                  <w:vAlign w:val="center"/>
                </w:tcPr>
                <w:p w14:paraId="13298820">
                  <w:pPr>
                    <w:jc w:val="center"/>
                    <w:rPr>
                      <w:rFonts w:hint="eastAsia" w:ascii="Times New Roman" w:hAnsi="Times New Roman" w:cs="Times New Roman" w:eastAsiaTheme="minorEastAsia"/>
                      <w:bCs w:val="0"/>
                      <w:color w:val="auto"/>
                      <w:kern w:val="2"/>
                      <w:sz w:val="21"/>
                      <w:szCs w:val="21"/>
                      <w:lang w:val="en-US" w:eastAsia="zh-CN" w:bidi="ar-SA"/>
                    </w:rPr>
                  </w:pPr>
                  <w:r>
                    <w:rPr>
                      <w:rFonts w:hint="eastAsia" w:ascii="Times New Roman" w:hAnsi="Times New Roman" w:cs="Times New Roman" w:eastAsiaTheme="minorEastAsia"/>
                      <w:bCs w:val="0"/>
                      <w:color w:val="auto"/>
                      <w:kern w:val="2"/>
                      <w:sz w:val="21"/>
                      <w:szCs w:val="21"/>
                      <w:lang w:val="en-US" w:eastAsia="zh-CN" w:bidi="ar-SA"/>
                    </w:rPr>
                    <w:t>稀释剂</w:t>
                  </w:r>
                </w:p>
              </w:tc>
              <w:tc>
                <w:tcPr>
                  <w:tcW w:w="924" w:type="dxa"/>
                  <w:vAlign w:val="center"/>
                </w:tcPr>
                <w:p w14:paraId="06CEC47A">
                  <w:pPr>
                    <w:jc w:val="center"/>
                    <w:rPr>
                      <w:rFonts w:hint="default" w:ascii="Times New Roman" w:hAnsi="Times New Roman" w:cs="Times New Roman" w:eastAsiaTheme="minorEastAsia"/>
                      <w:bCs w:val="0"/>
                      <w:color w:val="auto"/>
                      <w:kern w:val="2"/>
                      <w:sz w:val="21"/>
                      <w:szCs w:val="21"/>
                      <w:lang w:val="en-US" w:eastAsia="zh-CN" w:bidi="ar-SA"/>
                    </w:rPr>
                  </w:pPr>
                  <w:r>
                    <w:rPr>
                      <w:rFonts w:hint="eastAsia" w:cs="Times New Roman" w:eastAsiaTheme="minorEastAsia"/>
                      <w:b/>
                      <w:bCs/>
                      <w:color w:val="auto"/>
                      <w:kern w:val="2"/>
                      <w:sz w:val="21"/>
                      <w:szCs w:val="21"/>
                      <w:u w:val="single"/>
                      <w:lang w:val="en-US" w:eastAsia="zh-CN" w:bidi="ar-SA"/>
                    </w:rPr>
                    <w:t>1.3899</w:t>
                  </w:r>
                </w:p>
              </w:tc>
              <w:tc>
                <w:tcPr>
                  <w:tcW w:w="954" w:type="dxa"/>
                  <w:vAlign w:val="center"/>
                </w:tcPr>
                <w:p w14:paraId="1CB612D0">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0</w:t>
                  </w:r>
                </w:p>
              </w:tc>
              <w:tc>
                <w:tcPr>
                  <w:tcW w:w="959" w:type="dxa"/>
                  <w:vAlign w:val="center"/>
                </w:tcPr>
                <w:p w14:paraId="0E2CEE62">
                  <w:pPr>
                    <w:keepNext w:val="0"/>
                    <w:keepLines w:val="0"/>
                    <w:widowControl/>
                    <w:suppressLineNumbers w:val="0"/>
                    <w:jc w:val="center"/>
                    <w:textAlignment w:val="center"/>
                    <w:rPr>
                      <w:color w:val="auto"/>
                      <w:szCs w:val="21"/>
                    </w:rPr>
                  </w:pPr>
                  <w:r>
                    <w:rPr>
                      <w:rFonts w:hint="eastAsia" w:ascii="Times New Roman" w:hAnsi="Times New Roman" w:eastAsia="宋体" w:cs="Times New Roman"/>
                      <w:i w:val="0"/>
                      <w:iCs w:val="0"/>
                      <w:color w:val="auto"/>
                      <w:kern w:val="0"/>
                      <w:sz w:val="21"/>
                      <w:szCs w:val="21"/>
                      <w:u w:val="none"/>
                      <w:lang w:val="en-US" w:eastAsia="zh-CN" w:bidi="ar"/>
                    </w:rPr>
                    <w:t>0</w:t>
                  </w:r>
                </w:p>
              </w:tc>
              <w:tc>
                <w:tcPr>
                  <w:tcW w:w="954" w:type="dxa"/>
                  <w:vAlign w:val="center"/>
                </w:tcPr>
                <w:p w14:paraId="61011868">
                  <w:pPr>
                    <w:keepNext w:val="0"/>
                    <w:keepLines w:val="0"/>
                    <w:widowControl/>
                    <w:suppressLineNumbers w:val="0"/>
                    <w:jc w:val="center"/>
                    <w:textAlignment w:val="center"/>
                    <w:rPr>
                      <w:rFonts w:hint="default" w:eastAsia="宋体"/>
                      <w:color w:val="auto"/>
                      <w:lang w:val="en-US" w:eastAsia="zh-CN"/>
                    </w:rPr>
                  </w:pPr>
                  <w:r>
                    <w:rPr>
                      <w:rFonts w:hint="eastAsia" w:cs="Times New Roman" w:eastAsiaTheme="minorEastAsia"/>
                      <w:bCs w:val="0"/>
                      <w:color w:val="auto"/>
                      <w:kern w:val="2"/>
                      <w:sz w:val="21"/>
                      <w:szCs w:val="21"/>
                      <w:lang w:val="en-US" w:eastAsia="zh-CN" w:bidi="ar-SA"/>
                    </w:rPr>
                    <w:t>4</w:t>
                  </w:r>
                  <w:r>
                    <w:rPr>
                      <w:rFonts w:hint="default" w:ascii="Times New Roman" w:hAnsi="Times New Roman" w:cs="Times New Roman" w:eastAsiaTheme="minorEastAsia"/>
                      <w:bCs w:val="0"/>
                      <w:color w:val="auto"/>
                      <w:kern w:val="2"/>
                      <w:sz w:val="21"/>
                      <w:szCs w:val="21"/>
                      <w:lang w:val="en-US" w:eastAsia="zh-CN" w:bidi="ar-SA"/>
                    </w:rPr>
                    <w:t>0</w:t>
                  </w:r>
                </w:p>
              </w:tc>
              <w:tc>
                <w:tcPr>
                  <w:tcW w:w="955" w:type="dxa"/>
                  <w:vAlign w:val="center"/>
                </w:tcPr>
                <w:p w14:paraId="12C11A90">
                  <w:pPr>
                    <w:keepNext w:val="0"/>
                    <w:keepLines w:val="0"/>
                    <w:widowControl/>
                    <w:suppressLineNumbers w:val="0"/>
                    <w:jc w:val="center"/>
                    <w:textAlignment w:val="center"/>
                    <w:rPr>
                      <w:color w:val="auto"/>
                      <w:szCs w:val="21"/>
                    </w:rPr>
                  </w:pPr>
                  <w:r>
                    <w:rPr>
                      <w:rFonts w:hint="eastAsia" w:cs="Times New Roman" w:eastAsiaTheme="minorEastAsia"/>
                      <w:b/>
                      <w:bCs/>
                      <w:color w:val="auto"/>
                      <w:kern w:val="2"/>
                      <w:sz w:val="21"/>
                      <w:szCs w:val="21"/>
                      <w:u w:val="single"/>
                      <w:lang w:val="en-US" w:eastAsia="zh-CN" w:bidi="ar-SA"/>
                    </w:rPr>
                    <w:t>0.5560</w:t>
                  </w:r>
                  <w:r>
                    <w:rPr>
                      <w:rFonts w:hint="default" w:ascii="Times New Roman" w:hAnsi="Times New Roman" w:eastAsia="宋体" w:cs="Times New Roman"/>
                      <w:b/>
                      <w:bCs/>
                      <w:i w:val="0"/>
                      <w:iCs w:val="0"/>
                      <w:color w:val="auto"/>
                      <w:kern w:val="0"/>
                      <w:sz w:val="21"/>
                      <w:szCs w:val="21"/>
                      <w:u w:val="single"/>
                      <w:lang w:val="en-US" w:eastAsia="zh-CN" w:bidi="ar"/>
                    </w:rPr>
                    <w:t xml:space="preserve"> </w:t>
                  </w:r>
                </w:p>
              </w:tc>
              <w:tc>
                <w:tcPr>
                  <w:tcW w:w="954" w:type="dxa"/>
                  <w:vAlign w:val="center"/>
                </w:tcPr>
                <w:p w14:paraId="5DAE7B5F">
                  <w:pPr>
                    <w:keepNext w:val="0"/>
                    <w:keepLines w:val="0"/>
                    <w:widowControl/>
                    <w:suppressLineNumbers w:val="0"/>
                    <w:jc w:val="center"/>
                    <w:textAlignment w:val="center"/>
                    <w:rPr>
                      <w:rFonts w:hint="default" w:eastAsia="宋体"/>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60</w:t>
                  </w:r>
                </w:p>
              </w:tc>
              <w:tc>
                <w:tcPr>
                  <w:tcW w:w="966" w:type="dxa"/>
                  <w:vAlign w:val="center"/>
                </w:tcPr>
                <w:p w14:paraId="5571DF4B">
                  <w:pPr>
                    <w:keepNext w:val="0"/>
                    <w:keepLines w:val="0"/>
                    <w:widowControl/>
                    <w:suppressLineNumbers w:val="0"/>
                    <w:jc w:val="center"/>
                    <w:textAlignment w:val="center"/>
                    <w:rPr>
                      <w:color w:val="auto"/>
                      <w:szCs w:val="21"/>
                    </w:rPr>
                  </w:pPr>
                  <w:r>
                    <w:rPr>
                      <w:rFonts w:hint="eastAsia" w:cs="Times New Roman" w:eastAsiaTheme="minorEastAsia"/>
                      <w:b/>
                      <w:bCs/>
                      <w:color w:val="auto"/>
                      <w:kern w:val="2"/>
                      <w:sz w:val="21"/>
                      <w:szCs w:val="21"/>
                      <w:u w:val="single"/>
                      <w:lang w:val="en-US" w:eastAsia="zh-CN" w:bidi="ar-SA"/>
                    </w:rPr>
                    <w:t>0.8339</w:t>
                  </w:r>
                  <w:r>
                    <w:rPr>
                      <w:rFonts w:hint="default" w:ascii="Times New Roman" w:hAnsi="Times New Roman" w:eastAsia="宋体" w:cs="Times New Roman"/>
                      <w:i w:val="0"/>
                      <w:iCs w:val="0"/>
                      <w:color w:val="auto"/>
                      <w:kern w:val="0"/>
                      <w:sz w:val="21"/>
                      <w:szCs w:val="21"/>
                      <w:u w:val="none"/>
                      <w:lang w:val="en-US" w:eastAsia="zh-CN" w:bidi="ar"/>
                    </w:rPr>
                    <w:t xml:space="preserve"> </w:t>
                  </w:r>
                </w:p>
              </w:tc>
            </w:tr>
            <w:tr w14:paraId="64998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8" w:type="dxa"/>
                  <w:vAlign w:val="center"/>
                </w:tcPr>
                <w:p w14:paraId="236123FB">
                  <w:pPr>
                    <w:jc w:val="center"/>
                    <w:rPr>
                      <w:rFonts w:hint="eastAsia" w:ascii="Times New Roman" w:hAnsi="Times New Roman" w:cs="Times New Roman" w:eastAsiaTheme="minorEastAsia"/>
                      <w:bCs w:val="0"/>
                      <w:color w:val="auto"/>
                      <w:kern w:val="2"/>
                      <w:sz w:val="21"/>
                      <w:szCs w:val="21"/>
                      <w:lang w:val="en-US" w:eastAsia="zh-CN" w:bidi="ar-SA"/>
                    </w:rPr>
                  </w:pPr>
                  <w:r>
                    <w:rPr>
                      <w:rFonts w:hint="eastAsia" w:cs="Times New Roman" w:eastAsiaTheme="minorEastAsia"/>
                      <w:bCs w:val="0"/>
                      <w:color w:val="auto"/>
                      <w:kern w:val="2"/>
                      <w:sz w:val="21"/>
                      <w:szCs w:val="21"/>
                      <w:lang w:val="en-US" w:eastAsia="zh-CN" w:bidi="ar-SA"/>
                    </w:rPr>
                    <w:t>油性</w:t>
                  </w:r>
                  <w:r>
                    <w:rPr>
                      <w:rFonts w:hint="eastAsia" w:ascii="Times New Roman" w:hAnsi="Times New Roman" w:cs="Times New Roman" w:eastAsiaTheme="minorEastAsia"/>
                      <w:bCs w:val="0"/>
                      <w:color w:val="auto"/>
                      <w:kern w:val="2"/>
                      <w:sz w:val="21"/>
                      <w:szCs w:val="21"/>
                      <w:lang w:val="en-US" w:eastAsia="zh-CN" w:bidi="ar-SA"/>
                    </w:rPr>
                    <w:t>面漆</w:t>
                  </w:r>
                </w:p>
              </w:tc>
              <w:tc>
                <w:tcPr>
                  <w:tcW w:w="924" w:type="dxa"/>
                  <w:vAlign w:val="center"/>
                </w:tcPr>
                <w:p w14:paraId="349C3B74">
                  <w:pPr>
                    <w:jc w:val="center"/>
                    <w:rPr>
                      <w:rFonts w:hint="default" w:ascii="Times New Roman" w:hAnsi="Times New Roman" w:cs="Times New Roman" w:eastAsiaTheme="minorEastAsia"/>
                      <w:bCs w:val="0"/>
                      <w:color w:val="auto"/>
                      <w:kern w:val="2"/>
                      <w:sz w:val="21"/>
                      <w:szCs w:val="21"/>
                      <w:lang w:val="en-US" w:eastAsia="zh-CN" w:bidi="ar-SA"/>
                    </w:rPr>
                  </w:pPr>
                  <w:r>
                    <w:rPr>
                      <w:rFonts w:hint="eastAsia" w:cs="Times New Roman" w:eastAsiaTheme="minorEastAsia"/>
                      <w:b/>
                      <w:bCs/>
                      <w:color w:val="auto"/>
                      <w:kern w:val="2"/>
                      <w:sz w:val="21"/>
                      <w:szCs w:val="21"/>
                      <w:u w:val="single"/>
                      <w:lang w:val="en-US" w:eastAsia="zh-CN" w:bidi="ar-SA"/>
                    </w:rPr>
                    <w:t>3.466</w:t>
                  </w:r>
                </w:p>
              </w:tc>
              <w:tc>
                <w:tcPr>
                  <w:tcW w:w="954" w:type="dxa"/>
                  <w:vAlign w:val="center"/>
                </w:tcPr>
                <w:p w14:paraId="0FC0E817">
                  <w:pPr>
                    <w:keepNext w:val="0"/>
                    <w:keepLines w:val="0"/>
                    <w:widowControl/>
                    <w:suppressLineNumbers w:val="0"/>
                    <w:jc w:val="center"/>
                    <w:textAlignment w:val="center"/>
                    <w:rPr>
                      <w:rFonts w:hint="default" w:eastAsia="宋体"/>
                      <w:color w:val="auto"/>
                      <w:lang w:val="en-US" w:eastAsia="zh-CN"/>
                    </w:rPr>
                  </w:pPr>
                  <w:r>
                    <w:rPr>
                      <w:rFonts w:hint="eastAsia" w:cs="Times New Roman"/>
                      <w:i w:val="0"/>
                      <w:iCs w:val="0"/>
                      <w:color w:val="auto"/>
                      <w:kern w:val="0"/>
                      <w:sz w:val="21"/>
                      <w:szCs w:val="21"/>
                      <w:u w:val="none"/>
                      <w:lang w:val="en-US" w:eastAsia="zh-CN" w:bidi="ar"/>
                    </w:rPr>
                    <w:t>70</w:t>
                  </w:r>
                </w:p>
              </w:tc>
              <w:tc>
                <w:tcPr>
                  <w:tcW w:w="959" w:type="dxa"/>
                  <w:vAlign w:val="center"/>
                </w:tcPr>
                <w:p w14:paraId="62A07119">
                  <w:pPr>
                    <w:keepNext w:val="0"/>
                    <w:keepLines w:val="0"/>
                    <w:widowControl/>
                    <w:suppressLineNumbers w:val="0"/>
                    <w:jc w:val="center"/>
                    <w:textAlignment w:val="center"/>
                    <w:rPr>
                      <w:rFonts w:hint="default"/>
                      <w:color w:val="auto"/>
                      <w:szCs w:val="21"/>
                      <w:lang w:val="en-US"/>
                    </w:rPr>
                  </w:pPr>
                  <w:r>
                    <w:rPr>
                      <w:rFonts w:hint="eastAsia" w:cs="Times New Roman" w:eastAsiaTheme="minorEastAsia"/>
                      <w:b/>
                      <w:bCs/>
                      <w:color w:val="auto"/>
                      <w:kern w:val="2"/>
                      <w:sz w:val="21"/>
                      <w:szCs w:val="21"/>
                      <w:u w:val="single"/>
                      <w:lang w:val="en-US" w:eastAsia="zh-CN" w:bidi="ar-SA"/>
                    </w:rPr>
                    <w:t>2.4262</w:t>
                  </w:r>
                </w:p>
              </w:tc>
              <w:tc>
                <w:tcPr>
                  <w:tcW w:w="954" w:type="dxa"/>
                  <w:vAlign w:val="center"/>
                </w:tcPr>
                <w:p w14:paraId="10B431BC">
                  <w:pPr>
                    <w:keepNext w:val="0"/>
                    <w:keepLines w:val="0"/>
                    <w:widowControl/>
                    <w:suppressLineNumbers w:val="0"/>
                    <w:jc w:val="center"/>
                    <w:textAlignment w:val="center"/>
                    <w:rPr>
                      <w:rFonts w:hint="default" w:eastAsia="宋体"/>
                      <w:color w:val="auto"/>
                      <w:lang w:val="en-US" w:eastAsia="zh-CN"/>
                    </w:rPr>
                  </w:pPr>
                  <w:r>
                    <w:rPr>
                      <w:rFonts w:hint="eastAsia"/>
                      <w:color w:val="auto"/>
                      <w:lang w:val="en-US" w:eastAsia="zh-CN"/>
                    </w:rPr>
                    <w:t>17.6</w:t>
                  </w:r>
                </w:p>
              </w:tc>
              <w:tc>
                <w:tcPr>
                  <w:tcW w:w="955" w:type="dxa"/>
                  <w:vAlign w:val="center"/>
                </w:tcPr>
                <w:p w14:paraId="2A1D78C6">
                  <w:pPr>
                    <w:keepNext w:val="0"/>
                    <w:keepLines w:val="0"/>
                    <w:widowControl/>
                    <w:suppressLineNumbers w:val="0"/>
                    <w:jc w:val="center"/>
                    <w:textAlignment w:val="center"/>
                    <w:rPr>
                      <w:rFonts w:hint="default"/>
                      <w:color w:val="auto"/>
                      <w:szCs w:val="21"/>
                      <w:lang w:val="en-US"/>
                    </w:rPr>
                  </w:pPr>
                  <w:r>
                    <w:rPr>
                      <w:rFonts w:hint="eastAsia" w:cs="Times New Roman" w:eastAsiaTheme="minorEastAsia"/>
                      <w:b/>
                      <w:bCs/>
                      <w:color w:val="auto"/>
                      <w:kern w:val="2"/>
                      <w:sz w:val="21"/>
                      <w:szCs w:val="21"/>
                      <w:u w:val="single"/>
                      <w:lang w:val="en-US" w:eastAsia="zh-CN" w:bidi="ar-SA"/>
                    </w:rPr>
                    <w:t>0.6100</w:t>
                  </w:r>
                </w:p>
              </w:tc>
              <w:tc>
                <w:tcPr>
                  <w:tcW w:w="954" w:type="dxa"/>
                  <w:vAlign w:val="center"/>
                </w:tcPr>
                <w:p w14:paraId="10FBEB9D">
                  <w:pPr>
                    <w:keepNext w:val="0"/>
                    <w:keepLines w:val="0"/>
                    <w:widowControl/>
                    <w:suppressLineNumbers w:val="0"/>
                    <w:jc w:val="center"/>
                    <w:textAlignment w:val="center"/>
                    <w:rPr>
                      <w:rFonts w:hint="default"/>
                      <w:color w:val="auto"/>
                      <w:lang w:val="en-US"/>
                    </w:rPr>
                  </w:pPr>
                  <w:r>
                    <w:rPr>
                      <w:rFonts w:hint="eastAsia" w:ascii="Times New Roman" w:hAnsi="Times New Roman" w:cs="Times New Roman" w:eastAsiaTheme="minorEastAsia"/>
                      <w:bCs w:val="0"/>
                      <w:color w:val="auto"/>
                      <w:kern w:val="2"/>
                      <w:sz w:val="21"/>
                      <w:szCs w:val="21"/>
                      <w:lang w:val="en-US" w:eastAsia="zh-CN" w:bidi="ar-SA"/>
                    </w:rPr>
                    <w:t>12.4</w:t>
                  </w:r>
                </w:p>
              </w:tc>
              <w:tc>
                <w:tcPr>
                  <w:tcW w:w="966" w:type="dxa"/>
                  <w:vAlign w:val="center"/>
                </w:tcPr>
                <w:p w14:paraId="6508F02A">
                  <w:pPr>
                    <w:keepNext w:val="0"/>
                    <w:keepLines w:val="0"/>
                    <w:widowControl/>
                    <w:suppressLineNumbers w:val="0"/>
                    <w:jc w:val="center"/>
                    <w:textAlignment w:val="center"/>
                    <w:rPr>
                      <w:rFonts w:hint="default"/>
                      <w:color w:val="auto"/>
                      <w:szCs w:val="21"/>
                      <w:lang w:val="en-US"/>
                    </w:rPr>
                  </w:pPr>
                  <w:r>
                    <w:rPr>
                      <w:rFonts w:hint="eastAsia" w:cs="Times New Roman" w:eastAsiaTheme="minorEastAsia"/>
                      <w:b/>
                      <w:bCs/>
                      <w:color w:val="auto"/>
                      <w:kern w:val="2"/>
                      <w:sz w:val="21"/>
                      <w:szCs w:val="21"/>
                      <w:u w:val="single"/>
                      <w:lang w:val="en-US" w:eastAsia="zh-CN" w:bidi="ar-SA"/>
                    </w:rPr>
                    <w:t>0.4298</w:t>
                  </w:r>
                </w:p>
              </w:tc>
            </w:tr>
            <w:tr w14:paraId="3D62D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8" w:type="dxa"/>
                  <w:vAlign w:val="center"/>
                </w:tcPr>
                <w:p w14:paraId="06D721E4">
                  <w:pPr>
                    <w:jc w:val="center"/>
                    <w:rPr>
                      <w:rFonts w:hint="eastAsia" w:ascii="Times New Roman" w:hAnsi="Times New Roman" w:cs="Times New Roman" w:eastAsiaTheme="minorEastAsia"/>
                      <w:bCs w:val="0"/>
                      <w:color w:val="auto"/>
                      <w:kern w:val="2"/>
                      <w:sz w:val="21"/>
                      <w:szCs w:val="21"/>
                      <w:lang w:val="en-US" w:eastAsia="zh-CN" w:bidi="ar-SA"/>
                    </w:rPr>
                  </w:pPr>
                  <w:r>
                    <w:rPr>
                      <w:rFonts w:hint="eastAsia" w:ascii="Times New Roman" w:hAnsi="Times New Roman" w:cs="Times New Roman" w:eastAsiaTheme="minorEastAsia"/>
                      <w:bCs w:val="0"/>
                      <w:color w:val="auto"/>
                      <w:kern w:val="2"/>
                      <w:sz w:val="21"/>
                      <w:szCs w:val="21"/>
                      <w:lang w:val="en-US" w:eastAsia="zh-CN" w:bidi="ar-SA"/>
                    </w:rPr>
                    <w:t>水性底漆</w:t>
                  </w:r>
                </w:p>
              </w:tc>
              <w:tc>
                <w:tcPr>
                  <w:tcW w:w="924" w:type="dxa"/>
                  <w:vAlign w:val="center"/>
                </w:tcPr>
                <w:p w14:paraId="02ED7F67">
                  <w:pPr>
                    <w:jc w:val="center"/>
                    <w:rPr>
                      <w:rFonts w:hint="default" w:ascii="Times New Roman" w:hAnsi="Times New Roman" w:cs="Times New Roman" w:eastAsiaTheme="minorEastAsia"/>
                      <w:bCs w:val="0"/>
                      <w:color w:val="auto"/>
                      <w:kern w:val="2"/>
                      <w:sz w:val="21"/>
                      <w:szCs w:val="21"/>
                      <w:lang w:val="en-US" w:eastAsia="zh-CN" w:bidi="ar-SA"/>
                    </w:rPr>
                  </w:pPr>
                  <w:r>
                    <w:rPr>
                      <w:rFonts w:hint="eastAsia" w:ascii="Times New Roman" w:hAnsi="Times New Roman" w:cs="Times New Roman" w:eastAsiaTheme="minorEastAsia"/>
                      <w:bCs w:val="0"/>
                      <w:color w:val="auto"/>
                      <w:kern w:val="2"/>
                      <w:sz w:val="21"/>
                      <w:szCs w:val="21"/>
                      <w:lang w:val="en-US" w:eastAsia="zh-CN" w:bidi="ar-SA"/>
                    </w:rPr>
                    <w:t>4.898</w:t>
                  </w:r>
                </w:p>
              </w:tc>
              <w:tc>
                <w:tcPr>
                  <w:tcW w:w="954" w:type="dxa"/>
                  <w:vAlign w:val="center"/>
                </w:tcPr>
                <w:p w14:paraId="3B23293C">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35</w:t>
                  </w:r>
                </w:p>
              </w:tc>
              <w:tc>
                <w:tcPr>
                  <w:tcW w:w="959" w:type="dxa"/>
                  <w:vAlign w:val="center"/>
                </w:tcPr>
                <w:p w14:paraId="26E71937">
                  <w:pPr>
                    <w:keepNext w:val="0"/>
                    <w:keepLines w:val="0"/>
                    <w:widowControl/>
                    <w:suppressLineNumbers w:val="0"/>
                    <w:jc w:val="center"/>
                    <w:textAlignment w:val="center"/>
                    <w:rPr>
                      <w:color w:val="auto"/>
                      <w:szCs w:val="21"/>
                    </w:rPr>
                  </w:pPr>
                  <w:r>
                    <w:rPr>
                      <w:rFonts w:hint="default" w:ascii="Times New Roman" w:hAnsi="Times New Roman" w:cs="Times New Roman" w:eastAsiaTheme="minorEastAsia"/>
                      <w:bCs w:val="0"/>
                      <w:color w:val="auto"/>
                      <w:kern w:val="2"/>
                      <w:sz w:val="21"/>
                      <w:szCs w:val="21"/>
                      <w:lang w:val="en-US" w:eastAsia="zh-CN" w:bidi="ar-SA"/>
                    </w:rPr>
                    <w:t xml:space="preserve">1.7143 </w:t>
                  </w:r>
                </w:p>
              </w:tc>
              <w:tc>
                <w:tcPr>
                  <w:tcW w:w="954" w:type="dxa"/>
                  <w:vAlign w:val="center"/>
                </w:tcPr>
                <w:p w14:paraId="454C31C9">
                  <w:pPr>
                    <w:keepNext w:val="0"/>
                    <w:keepLines w:val="0"/>
                    <w:widowControl/>
                    <w:suppressLineNumbers w:val="0"/>
                    <w:jc w:val="center"/>
                    <w:textAlignment w:val="center"/>
                    <w:rPr>
                      <w:rFonts w:hint="default" w:eastAsia="宋体"/>
                      <w:color w:val="auto"/>
                      <w:lang w:val="en-US" w:eastAsia="zh-CN"/>
                    </w:rPr>
                  </w:pPr>
                  <w:r>
                    <w:rPr>
                      <w:rFonts w:hint="eastAsia" w:cs="Times New Roman"/>
                      <w:i w:val="0"/>
                      <w:iCs w:val="0"/>
                      <w:color w:val="auto"/>
                      <w:kern w:val="0"/>
                      <w:sz w:val="21"/>
                      <w:szCs w:val="21"/>
                      <w:u w:val="none"/>
                      <w:lang w:val="en-US" w:eastAsia="zh-CN" w:bidi="ar"/>
                    </w:rPr>
                    <w:t>55</w:t>
                  </w:r>
                </w:p>
              </w:tc>
              <w:tc>
                <w:tcPr>
                  <w:tcW w:w="955" w:type="dxa"/>
                  <w:vAlign w:val="center"/>
                </w:tcPr>
                <w:p w14:paraId="05FDBCAE">
                  <w:pPr>
                    <w:keepNext w:val="0"/>
                    <w:keepLines w:val="0"/>
                    <w:widowControl/>
                    <w:suppressLineNumbers w:val="0"/>
                    <w:jc w:val="center"/>
                    <w:textAlignment w:val="center"/>
                    <w:rPr>
                      <w:rFonts w:hint="default"/>
                      <w:color w:val="auto"/>
                      <w:szCs w:val="21"/>
                      <w:lang w:val="en-US"/>
                    </w:rPr>
                  </w:pPr>
                  <w:r>
                    <w:rPr>
                      <w:rFonts w:hint="eastAsia" w:cs="Times New Roman"/>
                      <w:i w:val="0"/>
                      <w:iCs w:val="0"/>
                      <w:color w:val="auto"/>
                      <w:kern w:val="0"/>
                      <w:sz w:val="21"/>
                      <w:szCs w:val="21"/>
                      <w:u w:val="none"/>
                      <w:lang w:val="en-US" w:eastAsia="zh-CN" w:bidi="ar"/>
                    </w:rPr>
                    <w:t>2.6939</w:t>
                  </w:r>
                </w:p>
              </w:tc>
              <w:tc>
                <w:tcPr>
                  <w:tcW w:w="954" w:type="dxa"/>
                  <w:vAlign w:val="center"/>
                </w:tcPr>
                <w:p w14:paraId="162E7988">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0</w:t>
                  </w:r>
                </w:p>
              </w:tc>
              <w:tc>
                <w:tcPr>
                  <w:tcW w:w="966" w:type="dxa"/>
                  <w:vAlign w:val="center"/>
                </w:tcPr>
                <w:p w14:paraId="70D2D0AE">
                  <w:pPr>
                    <w:jc w:val="center"/>
                    <w:rPr>
                      <w:rFonts w:hint="eastAsia" w:eastAsia="宋体"/>
                      <w:color w:val="auto"/>
                      <w:szCs w:val="21"/>
                      <w:lang w:val="en-US" w:eastAsia="zh-CN"/>
                    </w:rPr>
                  </w:pPr>
                  <w:r>
                    <w:rPr>
                      <w:rFonts w:hint="eastAsia"/>
                      <w:color w:val="auto"/>
                      <w:szCs w:val="21"/>
                      <w:lang w:val="en-US" w:eastAsia="zh-CN"/>
                    </w:rPr>
                    <w:t>0</w:t>
                  </w:r>
                </w:p>
              </w:tc>
            </w:tr>
            <w:tr w14:paraId="00EC2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8" w:type="dxa"/>
                  <w:vAlign w:val="center"/>
                </w:tcPr>
                <w:p w14:paraId="1C911AFC">
                  <w:pPr>
                    <w:jc w:val="center"/>
                    <w:rPr>
                      <w:rFonts w:hint="eastAsia" w:ascii="Times New Roman" w:hAnsi="Times New Roman" w:cs="Times New Roman" w:eastAsiaTheme="minorEastAsia"/>
                      <w:bCs w:val="0"/>
                      <w:color w:val="auto"/>
                      <w:kern w:val="2"/>
                      <w:sz w:val="21"/>
                      <w:szCs w:val="21"/>
                      <w:lang w:val="en-US" w:eastAsia="zh-CN" w:bidi="ar-SA"/>
                    </w:rPr>
                  </w:pPr>
                  <w:r>
                    <w:rPr>
                      <w:rFonts w:hint="eastAsia" w:ascii="Times New Roman" w:hAnsi="Times New Roman" w:cs="Times New Roman" w:eastAsiaTheme="minorEastAsia"/>
                      <w:bCs w:val="0"/>
                      <w:color w:val="auto"/>
                      <w:kern w:val="2"/>
                      <w:sz w:val="21"/>
                      <w:szCs w:val="21"/>
                      <w:lang w:val="en-US" w:eastAsia="zh-CN" w:bidi="ar-SA"/>
                    </w:rPr>
                    <w:t>水性面漆</w:t>
                  </w:r>
                </w:p>
              </w:tc>
              <w:tc>
                <w:tcPr>
                  <w:tcW w:w="924" w:type="dxa"/>
                  <w:vAlign w:val="center"/>
                </w:tcPr>
                <w:p w14:paraId="5B3C0A0E">
                  <w:pPr>
                    <w:jc w:val="center"/>
                    <w:rPr>
                      <w:rFonts w:hint="eastAsia" w:ascii="Times New Roman" w:hAnsi="Times New Roman" w:cs="Times New Roman" w:eastAsiaTheme="minorEastAsia"/>
                      <w:bCs w:val="0"/>
                      <w:color w:val="auto"/>
                      <w:kern w:val="2"/>
                      <w:sz w:val="21"/>
                      <w:szCs w:val="21"/>
                      <w:lang w:val="en-US" w:eastAsia="zh-CN" w:bidi="ar-SA"/>
                    </w:rPr>
                  </w:pPr>
                  <w:r>
                    <w:rPr>
                      <w:rFonts w:hint="eastAsia" w:ascii="Times New Roman" w:hAnsi="Times New Roman" w:cs="Times New Roman" w:eastAsiaTheme="minorEastAsia"/>
                      <w:bCs w:val="0"/>
                      <w:color w:val="auto"/>
                      <w:kern w:val="2"/>
                      <w:sz w:val="21"/>
                      <w:szCs w:val="21"/>
                      <w:lang w:val="en-US" w:eastAsia="zh-CN" w:bidi="ar-SA"/>
                    </w:rPr>
                    <w:t>3.375</w:t>
                  </w:r>
                </w:p>
              </w:tc>
              <w:tc>
                <w:tcPr>
                  <w:tcW w:w="954" w:type="dxa"/>
                  <w:vAlign w:val="center"/>
                </w:tcPr>
                <w:p w14:paraId="0503C784">
                  <w:pPr>
                    <w:keepNext w:val="0"/>
                    <w:keepLines w:val="0"/>
                    <w:widowControl/>
                    <w:suppressLineNumbers w:val="0"/>
                    <w:jc w:val="center"/>
                    <w:textAlignment w:val="center"/>
                    <w:rPr>
                      <w:rFonts w:hint="default" w:eastAsia="宋体"/>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40</w:t>
                  </w:r>
                </w:p>
              </w:tc>
              <w:tc>
                <w:tcPr>
                  <w:tcW w:w="959" w:type="dxa"/>
                  <w:vAlign w:val="center"/>
                </w:tcPr>
                <w:p w14:paraId="7F7E501E">
                  <w:pPr>
                    <w:keepNext w:val="0"/>
                    <w:keepLines w:val="0"/>
                    <w:widowControl/>
                    <w:suppressLineNumbers w:val="0"/>
                    <w:jc w:val="center"/>
                    <w:textAlignment w:val="center"/>
                    <w:rPr>
                      <w:color w:val="auto"/>
                      <w:kern w:val="0"/>
                      <w:szCs w:val="21"/>
                      <w:lang w:bidi="ar"/>
                    </w:rPr>
                  </w:pPr>
                  <w:r>
                    <w:rPr>
                      <w:rFonts w:hint="default" w:ascii="Times New Roman" w:hAnsi="Times New Roman" w:cs="Times New Roman" w:eastAsiaTheme="minorEastAsia"/>
                      <w:bCs w:val="0"/>
                      <w:color w:val="auto"/>
                      <w:kern w:val="2"/>
                      <w:sz w:val="21"/>
                      <w:szCs w:val="21"/>
                      <w:lang w:val="en-US" w:eastAsia="zh-CN" w:bidi="ar-SA"/>
                    </w:rPr>
                    <w:t xml:space="preserve">1.3500 </w:t>
                  </w:r>
                </w:p>
              </w:tc>
              <w:tc>
                <w:tcPr>
                  <w:tcW w:w="954" w:type="dxa"/>
                  <w:vAlign w:val="center"/>
                </w:tcPr>
                <w:p w14:paraId="37F792C7">
                  <w:pPr>
                    <w:keepNext w:val="0"/>
                    <w:keepLines w:val="0"/>
                    <w:widowControl/>
                    <w:suppressLineNumbers w:val="0"/>
                    <w:jc w:val="center"/>
                    <w:textAlignment w:val="center"/>
                    <w:rPr>
                      <w:rFonts w:hint="default" w:eastAsia="宋体"/>
                      <w:color w:val="auto"/>
                      <w:lang w:val="en-US" w:eastAsia="zh-CN"/>
                    </w:rPr>
                  </w:pPr>
                  <w:r>
                    <w:rPr>
                      <w:rFonts w:hint="eastAsia" w:cs="Times New Roman"/>
                      <w:i w:val="0"/>
                      <w:iCs w:val="0"/>
                      <w:color w:val="auto"/>
                      <w:kern w:val="0"/>
                      <w:sz w:val="21"/>
                      <w:szCs w:val="21"/>
                      <w:u w:val="none"/>
                      <w:lang w:val="en-US" w:eastAsia="zh-CN" w:bidi="ar"/>
                    </w:rPr>
                    <w:t>50</w:t>
                  </w:r>
                </w:p>
              </w:tc>
              <w:tc>
                <w:tcPr>
                  <w:tcW w:w="955" w:type="dxa"/>
                  <w:vAlign w:val="center"/>
                </w:tcPr>
                <w:p w14:paraId="704A15BF">
                  <w:pPr>
                    <w:keepNext w:val="0"/>
                    <w:keepLines w:val="0"/>
                    <w:widowControl/>
                    <w:suppressLineNumbers w:val="0"/>
                    <w:jc w:val="center"/>
                    <w:textAlignment w:val="center"/>
                    <w:rPr>
                      <w:color w:val="auto"/>
                      <w:kern w:val="0"/>
                      <w:szCs w:val="21"/>
                      <w:lang w:bidi="ar"/>
                    </w:rPr>
                  </w:pPr>
                  <w:r>
                    <w:rPr>
                      <w:rFonts w:hint="eastAsia" w:cs="Times New Roman"/>
                      <w:i w:val="0"/>
                      <w:iCs w:val="0"/>
                      <w:color w:val="auto"/>
                      <w:kern w:val="0"/>
                      <w:sz w:val="21"/>
                      <w:szCs w:val="21"/>
                      <w:u w:val="none"/>
                      <w:lang w:val="en-US" w:eastAsia="zh-CN" w:bidi="ar"/>
                    </w:rPr>
                    <w:t>1.6875</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954" w:type="dxa"/>
                  <w:vAlign w:val="center"/>
                </w:tcPr>
                <w:p w14:paraId="16921E3E">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0</w:t>
                  </w:r>
                </w:p>
              </w:tc>
              <w:tc>
                <w:tcPr>
                  <w:tcW w:w="966" w:type="dxa"/>
                  <w:vAlign w:val="center"/>
                </w:tcPr>
                <w:p w14:paraId="3A297EBE">
                  <w:pPr>
                    <w:jc w:val="center"/>
                    <w:rPr>
                      <w:rFonts w:hint="eastAsia" w:eastAsia="宋体"/>
                      <w:color w:val="auto"/>
                      <w:kern w:val="0"/>
                      <w:szCs w:val="21"/>
                      <w:lang w:val="en-US" w:eastAsia="zh-CN" w:bidi="ar"/>
                    </w:rPr>
                  </w:pPr>
                  <w:r>
                    <w:rPr>
                      <w:rFonts w:hint="eastAsia"/>
                      <w:color w:val="auto"/>
                      <w:kern w:val="0"/>
                      <w:szCs w:val="21"/>
                      <w:lang w:val="en-US" w:eastAsia="zh-CN" w:bidi="ar"/>
                    </w:rPr>
                    <w:t>0</w:t>
                  </w:r>
                </w:p>
              </w:tc>
            </w:tr>
            <w:tr w14:paraId="40C1A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8" w:type="dxa"/>
                  <w:vAlign w:val="center"/>
                </w:tcPr>
                <w:p w14:paraId="5C888FF7">
                  <w:pPr>
                    <w:jc w:val="center"/>
                    <w:rPr>
                      <w:rFonts w:hint="eastAsia" w:ascii="Times New Roman" w:hAnsi="Times New Roman" w:cs="Times New Roman" w:eastAsiaTheme="minorEastAsia"/>
                      <w:bCs w:val="0"/>
                      <w:color w:val="auto"/>
                      <w:kern w:val="2"/>
                      <w:sz w:val="21"/>
                      <w:szCs w:val="21"/>
                      <w:lang w:val="en-US" w:eastAsia="zh-CN" w:bidi="ar-SA"/>
                    </w:rPr>
                  </w:pPr>
                  <w:r>
                    <w:rPr>
                      <w:rFonts w:hint="eastAsia" w:ascii="Times New Roman" w:hAnsi="Times New Roman" w:cs="Times New Roman" w:eastAsiaTheme="minorEastAsia"/>
                      <w:bCs w:val="0"/>
                      <w:color w:val="auto"/>
                      <w:kern w:val="2"/>
                      <w:sz w:val="21"/>
                      <w:szCs w:val="21"/>
                      <w:lang w:val="en-US" w:eastAsia="zh-CN" w:bidi="ar-SA"/>
                    </w:rPr>
                    <w:t>UV油漆</w:t>
                  </w:r>
                </w:p>
              </w:tc>
              <w:tc>
                <w:tcPr>
                  <w:tcW w:w="924" w:type="dxa"/>
                  <w:vAlign w:val="center"/>
                </w:tcPr>
                <w:p w14:paraId="1581027D">
                  <w:pPr>
                    <w:jc w:val="center"/>
                    <w:rPr>
                      <w:rFonts w:hint="default" w:ascii="Times New Roman" w:hAnsi="Times New Roman" w:cs="Times New Roman" w:eastAsiaTheme="minorEastAsia"/>
                      <w:bCs w:val="0"/>
                      <w:color w:val="auto"/>
                      <w:kern w:val="2"/>
                      <w:sz w:val="21"/>
                      <w:szCs w:val="21"/>
                      <w:lang w:val="en-US" w:eastAsia="zh-CN" w:bidi="ar-SA"/>
                    </w:rPr>
                  </w:pPr>
                  <w:r>
                    <w:rPr>
                      <w:rFonts w:hint="eastAsia" w:cs="Times New Roman" w:eastAsiaTheme="minorEastAsia"/>
                      <w:b/>
                      <w:bCs/>
                      <w:color w:val="auto"/>
                      <w:kern w:val="2"/>
                      <w:sz w:val="21"/>
                      <w:szCs w:val="21"/>
                      <w:u w:val="single"/>
                      <w:lang w:val="en-US" w:eastAsia="zh-CN" w:bidi="ar-SA"/>
                    </w:rPr>
                    <w:t>0.345</w:t>
                  </w:r>
                </w:p>
              </w:tc>
              <w:tc>
                <w:tcPr>
                  <w:tcW w:w="954" w:type="dxa"/>
                  <w:vAlign w:val="center"/>
                </w:tcPr>
                <w:p w14:paraId="57F58DF7">
                  <w:pPr>
                    <w:keepNext w:val="0"/>
                    <w:keepLines w:val="0"/>
                    <w:widowControl/>
                    <w:suppressLineNumbers w:val="0"/>
                    <w:jc w:val="center"/>
                    <w:textAlignment w:val="center"/>
                    <w:rPr>
                      <w:rFonts w:hint="default"/>
                      <w:color w:val="auto"/>
                      <w:lang w:val="en-US"/>
                    </w:rPr>
                  </w:pPr>
                  <w:r>
                    <w:rPr>
                      <w:rFonts w:hint="eastAsia" w:cs="Times New Roman"/>
                      <w:i w:val="0"/>
                      <w:iCs w:val="0"/>
                      <w:color w:val="auto"/>
                      <w:kern w:val="0"/>
                      <w:sz w:val="21"/>
                      <w:szCs w:val="21"/>
                      <w:u w:val="none"/>
                      <w:lang w:val="en-US" w:eastAsia="zh-CN" w:bidi="ar"/>
                    </w:rPr>
                    <w:t>100</w:t>
                  </w:r>
                </w:p>
              </w:tc>
              <w:tc>
                <w:tcPr>
                  <w:tcW w:w="959" w:type="dxa"/>
                  <w:vAlign w:val="center"/>
                </w:tcPr>
                <w:p w14:paraId="12829F01">
                  <w:pPr>
                    <w:keepNext w:val="0"/>
                    <w:keepLines w:val="0"/>
                    <w:widowControl/>
                    <w:suppressLineNumbers w:val="0"/>
                    <w:jc w:val="center"/>
                    <w:textAlignment w:val="center"/>
                    <w:rPr>
                      <w:rFonts w:hint="default"/>
                      <w:color w:val="auto"/>
                      <w:kern w:val="0"/>
                      <w:szCs w:val="21"/>
                      <w:lang w:val="en-US" w:bidi="ar"/>
                    </w:rPr>
                  </w:pPr>
                  <w:r>
                    <w:rPr>
                      <w:rFonts w:hint="eastAsia" w:cs="Times New Roman" w:eastAsiaTheme="minorEastAsia"/>
                      <w:b/>
                      <w:bCs/>
                      <w:color w:val="auto"/>
                      <w:kern w:val="2"/>
                      <w:sz w:val="21"/>
                      <w:szCs w:val="21"/>
                      <w:u w:val="single"/>
                      <w:lang w:val="en-US" w:eastAsia="zh-CN" w:bidi="ar-SA"/>
                    </w:rPr>
                    <w:t>0.345</w:t>
                  </w:r>
                </w:p>
              </w:tc>
              <w:tc>
                <w:tcPr>
                  <w:tcW w:w="954" w:type="dxa"/>
                  <w:vAlign w:val="center"/>
                </w:tcPr>
                <w:p w14:paraId="3A1BD5D0">
                  <w:pPr>
                    <w:keepNext w:val="0"/>
                    <w:keepLines w:val="0"/>
                    <w:widowControl/>
                    <w:suppressLineNumbers w:val="0"/>
                    <w:jc w:val="center"/>
                    <w:textAlignment w:val="center"/>
                    <w:rPr>
                      <w:color w:val="auto"/>
                    </w:rPr>
                  </w:pPr>
                  <w:r>
                    <w:rPr>
                      <w:rFonts w:hint="eastAsia" w:cs="Times New Roman"/>
                      <w:i w:val="0"/>
                      <w:iCs w:val="0"/>
                      <w:color w:val="auto"/>
                      <w:kern w:val="0"/>
                      <w:sz w:val="21"/>
                      <w:szCs w:val="21"/>
                      <w:highlight w:val="none"/>
                      <w:u w:val="none"/>
                      <w:lang w:val="en-US" w:eastAsia="zh-CN" w:bidi="ar"/>
                    </w:rPr>
                    <w:t>0</w:t>
                  </w:r>
                </w:p>
              </w:tc>
              <w:tc>
                <w:tcPr>
                  <w:tcW w:w="955" w:type="dxa"/>
                  <w:vAlign w:val="center"/>
                </w:tcPr>
                <w:p w14:paraId="16A4EF16">
                  <w:pPr>
                    <w:keepNext w:val="0"/>
                    <w:keepLines w:val="0"/>
                    <w:widowControl/>
                    <w:suppressLineNumbers w:val="0"/>
                    <w:jc w:val="center"/>
                    <w:textAlignment w:val="center"/>
                    <w:rPr>
                      <w:color w:val="auto"/>
                      <w:kern w:val="0"/>
                      <w:szCs w:val="21"/>
                      <w:lang w:bidi="ar"/>
                    </w:rPr>
                  </w:pPr>
                  <w:r>
                    <w:rPr>
                      <w:rFonts w:hint="eastAsia" w:cs="Times New Roman" w:eastAsiaTheme="minorEastAsia"/>
                      <w:bCs w:val="0"/>
                      <w:color w:val="auto"/>
                      <w:kern w:val="2"/>
                      <w:sz w:val="21"/>
                      <w:szCs w:val="21"/>
                      <w:lang w:val="en-US" w:eastAsia="zh-CN" w:bidi="ar-SA"/>
                    </w:rPr>
                    <w:t>0</w:t>
                  </w:r>
                  <w:r>
                    <w:rPr>
                      <w:rFonts w:hint="default" w:ascii="Times New Roman" w:hAnsi="Times New Roman" w:cs="Times New Roman" w:eastAsiaTheme="minorEastAsia"/>
                      <w:bCs w:val="0"/>
                      <w:color w:val="auto"/>
                      <w:kern w:val="2"/>
                      <w:sz w:val="21"/>
                      <w:szCs w:val="21"/>
                      <w:lang w:val="en-US" w:eastAsia="zh-CN" w:bidi="ar-SA"/>
                    </w:rPr>
                    <w:t xml:space="preserve"> </w:t>
                  </w:r>
                </w:p>
              </w:tc>
              <w:tc>
                <w:tcPr>
                  <w:tcW w:w="954" w:type="dxa"/>
                  <w:vAlign w:val="center"/>
                </w:tcPr>
                <w:p w14:paraId="5C861A79">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0</w:t>
                  </w:r>
                </w:p>
              </w:tc>
              <w:tc>
                <w:tcPr>
                  <w:tcW w:w="966" w:type="dxa"/>
                  <w:vAlign w:val="center"/>
                </w:tcPr>
                <w:p w14:paraId="7CB3F075">
                  <w:pPr>
                    <w:jc w:val="center"/>
                    <w:rPr>
                      <w:rFonts w:hint="eastAsia" w:eastAsia="宋体"/>
                      <w:color w:val="auto"/>
                      <w:kern w:val="0"/>
                      <w:szCs w:val="21"/>
                      <w:lang w:val="en-US" w:eastAsia="zh-CN" w:bidi="ar"/>
                    </w:rPr>
                  </w:pPr>
                  <w:r>
                    <w:rPr>
                      <w:rFonts w:hint="eastAsia"/>
                      <w:color w:val="auto"/>
                      <w:kern w:val="0"/>
                      <w:szCs w:val="21"/>
                      <w:lang w:val="en-US" w:eastAsia="zh-CN" w:bidi="ar"/>
                    </w:rPr>
                    <w:t>0</w:t>
                  </w:r>
                </w:p>
              </w:tc>
            </w:tr>
            <w:tr w14:paraId="621D7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8" w:type="dxa"/>
                  <w:vAlign w:val="center"/>
                </w:tcPr>
                <w:p w14:paraId="1A9DDF76">
                  <w:pPr>
                    <w:pStyle w:val="80"/>
                    <w:spacing w:line="240" w:lineRule="auto"/>
                    <w:rPr>
                      <w:rFonts w:hint="eastAsia" w:ascii="Times New Roman" w:hAnsi="Times New Roman" w:cs="Times New Roman" w:eastAsiaTheme="minorEastAsia"/>
                      <w:bCs w:val="0"/>
                      <w:color w:val="auto"/>
                      <w:kern w:val="2"/>
                      <w:sz w:val="21"/>
                      <w:szCs w:val="21"/>
                      <w:lang w:val="en-US" w:eastAsia="zh-CN" w:bidi="ar-SA"/>
                    </w:rPr>
                  </w:pPr>
                  <w:r>
                    <w:rPr>
                      <w:rFonts w:hint="eastAsia" w:ascii="Times New Roman" w:hAnsi="Times New Roman" w:cs="Times New Roman" w:eastAsiaTheme="minorEastAsia"/>
                      <w:bCs w:val="0"/>
                      <w:color w:val="auto"/>
                      <w:kern w:val="2"/>
                      <w:sz w:val="21"/>
                      <w:szCs w:val="21"/>
                      <w:lang w:val="en-US" w:eastAsia="zh-CN" w:bidi="ar-SA"/>
                    </w:rPr>
                    <w:t>合计</w:t>
                  </w:r>
                </w:p>
              </w:tc>
              <w:tc>
                <w:tcPr>
                  <w:tcW w:w="924" w:type="dxa"/>
                  <w:vAlign w:val="center"/>
                </w:tcPr>
                <w:p w14:paraId="37D408C4">
                  <w:pPr>
                    <w:keepNext w:val="0"/>
                    <w:keepLines w:val="0"/>
                    <w:widowControl/>
                    <w:suppressLineNumbers w:val="0"/>
                    <w:jc w:val="center"/>
                    <w:textAlignment w:val="center"/>
                    <w:rPr>
                      <w:rFonts w:hint="default" w:ascii="Times New Roman" w:hAnsi="Times New Roman" w:cs="Times New Roman" w:eastAsiaTheme="minorEastAsia"/>
                      <w:bCs w:val="0"/>
                      <w:color w:val="auto"/>
                      <w:kern w:val="2"/>
                      <w:sz w:val="21"/>
                      <w:szCs w:val="21"/>
                      <w:lang w:val="en-US" w:eastAsia="zh-CN" w:bidi="ar-SA"/>
                    </w:rPr>
                  </w:pPr>
                  <w:r>
                    <w:rPr>
                      <w:rFonts w:hint="eastAsia" w:ascii="Times New Roman" w:hAnsi="Times New Roman" w:cs="Times New Roman" w:eastAsiaTheme="minorEastAsia"/>
                      <w:b/>
                      <w:bCs/>
                      <w:color w:val="auto"/>
                      <w:kern w:val="2"/>
                      <w:sz w:val="21"/>
                      <w:szCs w:val="21"/>
                      <w:u w:val="single"/>
                      <w:lang w:val="en-US" w:eastAsia="zh-CN" w:bidi="ar-SA"/>
                    </w:rPr>
                    <w:t>20.1687</w:t>
                  </w:r>
                </w:p>
              </w:tc>
              <w:tc>
                <w:tcPr>
                  <w:tcW w:w="954" w:type="dxa"/>
                  <w:vAlign w:val="center"/>
                </w:tcPr>
                <w:p w14:paraId="1CB93545">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w:t>
                  </w:r>
                </w:p>
              </w:tc>
              <w:tc>
                <w:tcPr>
                  <w:tcW w:w="959" w:type="dxa"/>
                  <w:vAlign w:val="center"/>
                </w:tcPr>
                <w:p w14:paraId="2A3FFBF6">
                  <w:pPr>
                    <w:keepNext w:val="0"/>
                    <w:keepLines w:val="0"/>
                    <w:widowControl/>
                    <w:suppressLineNumbers w:val="0"/>
                    <w:jc w:val="center"/>
                    <w:textAlignment w:val="center"/>
                    <w:rPr>
                      <w:rFonts w:hint="default"/>
                      <w:b/>
                      <w:bCs/>
                      <w:color w:val="auto"/>
                      <w:szCs w:val="21"/>
                      <w:u w:val="single"/>
                      <w:lang w:val="en-US"/>
                    </w:rPr>
                  </w:pPr>
                  <w:r>
                    <w:rPr>
                      <w:rFonts w:hint="default" w:ascii="Times New Roman" w:hAnsi="Times New Roman" w:cs="Times New Roman" w:eastAsiaTheme="minorEastAsia"/>
                      <w:b/>
                      <w:bCs/>
                      <w:color w:val="auto"/>
                      <w:kern w:val="2"/>
                      <w:sz w:val="21"/>
                      <w:szCs w:val="21"/>
                      <w:u w:val="single"/>
                      <w:lang w:val="en-US" w:eastAsia="zh-CN" w:bidi="ar-SA"/>
                    </w:rPr>
                    <w:t>9.7691</w:t>
                  </w:r>
                </w:p>
              </w:tc>
              <w:tc>
                <w:tcPr>
                  <w:tcW w:w="954" w:type="dxa"/>
                  <w:vAlign w:val="center"/>
                </w:tcPr>
                <w:p w14:paraId="5E4232EC">
                  <w:pPr>
                    <w:keepNext w:val="0"/>
                    <w:keepLines w:val="0"/>
                    <w:widowControl/>
                    <w:suppressLineNumbers w:val="0"/>
                    <w:jc w:val="center"/>
                    <w:textAlignment w:val="center"/>
                    <w:rPr>
                      <w:b/>
                      <w:bCs/>
                      <w:color w:val="auto"/>
                      <w:u w:val="single"/>
                    </w:rPr>
                  </w:pPr>
                  <w:r>
                    <w:rPr>
                      <w:rFonts w:hint="default" w:ascii="Times New Roman" w:hAnsi="Times New Roman" w:eastAsia="宋体" w:cs="Times New Roman"/>
                      <w:b/>
                      <w:bCs/>
                      <w:i w:val="0"/>
                      <w:iCs w:val="0"/>
                      <w:color w:val="auto"/>
                      <w:kern w:val="0"/>
                      <w:sz w:val="21"/>
                      <w:szCs w:val="21"/>
                      <w:u w:val="single"/>
                      <w:lang w:val="en-US" w:eastAsia="zh-CN" w:bidi="ar"/>
                    </w:rPr>
                    <w:t>/</w:t>
                  </w:r>
                </w:p>
              </w:tc>
              <w:tc>
                <w:tcPr>
                  <w:tcW w:w="955" w:type="dxa"/>
                  <w:vAlign w:val="center"/>
                </w:tcPr>
                <w:p w14:paraId="68F80166">
                  <w:pPr>
                    <w:keepNext w:val="0"/>
                    <w:keepLines w:val="0"/>
                    <w:widowControl/>
                    <w:suppressLineNumbers w:val="0"/>
                    <w:jc w:val="center"/>
                    <w:textAlignment w:val="center"/>
                    <w:rPr>
                      <w:rFonts w:hint="default"/>
                      <w:b/>
                      <w:bCs/>
                      <w:color w:val="auto"/>
                      <w:szCs w:val="21"/>
                      <w:u w:val="single"/>
                      <w:lang w:val="en-US"/>
                    </w:rPr>
                  </w:pPr>
                  <w:r>
                    <w:rPr>
                      <w:rFonts w:hint="default" w:ascii="Times New Roman" w:hAnsi="Times New Roman" w:cs="Times New Roman" w:eastAsiaTheme="minorEastAsia"/>
                      <w:b/>
                      <w:bCs/>
                      <w:color w:val="auto"/>
                      <w:kern w:val="2"/>
                      <w:sz w:val="21"/>
                      <w:szCs w:val="21"/>
                      <w:u w:val="single"/>
                      <w:lang w:val="en-US" w:eastAsia="zh-CN" w:bidi="ar-SA"/>
                    </w:rPr>
                    <w:t>7.867</w:t>
                  </w:r>
                  <w:r>
                    <w:rPr>
                      <w:rFonts w:hint="eastAsia" w:cs="Times New Roman" w:eastAsiaTheme="minorEastAsia"/>
                      <w:b/>
                      <w:bCs/>
                      <w:color w:val="auto"/>
                      <w:kern w:val="2"/>
                      <w:sz w:val="21"/>
                      <w:szCs w:val="21"/>
                      <w:u w:val="single"/>
                      <w:lang w:val="en-US" w:eastAsia="zh-CN" w:bidi="ar-SA"/>
                    </w:rPr>
                    <w:t>0</w:t>
                  </w:r>
                </w:p>
              </w:tc>
              <w:tc>
                <w:tcPr>
                  <w:tcW w:w="954" w:type="dxa"/>
                  <w:vAlign w:val="center"/>
                </w:tcPr>
                <w:p w14:paraId="27E6E4B0">
                  <w:pPr>
                    <w:keepNext w:val="0"/>
                    <w:keepLines w:val="0"/>
                    <w:widowControl/>
                    <w:suppressLineNumbers w:val="0"/>
                    <w:jc w:val="center"/>
                    <w:textAlignment w:val="center"/>
                    <w:rPr>
                      <w:b/>
                      <w:bCs/>
                      <w:color w:val="auto"/>
                      <w:u w:val="single"/>
                    </w:rPr>
                  </w:pPr>
                  <w:r>
                    <w:rPr>
                      <w:rFonts w:hint="default" w:ascii="Times New Roman" w:hAnsi="Times New Roman" w:eastAsia="宋体" w:cs="Times New Roman"/>
                      <w:b/>
                      <w:bCs/>
                      <w:i w:val="0"/>
                      <w:iCs w:val="0"/>
                      <w:color w:val="auto"/>
                      <w:kern w:val="0"/>
                      <w:sz w:val="21"/>
                      <w:szCs w:val="21"/>
                      <w:u w:val="single"/>
                      <w:lang w:val="en-US" w:eastAsia="zh-CN" w:bidi="ar"/>
                    </w:rPr>
                    <w:t>/</w:t>
                  </w:r>
                </w:p>
              </w:tc>
              <w:tc>
                <w:tcPr>
                  <w:tcW w:w="966" w:type="dxa"/>
                  <w:vAlign w:val="center"/>
                </w:tcPr>
                <w:p w14:paraId="59412FA6">
                  <w:pPr>
                    <w:keepNext w:val="0"/>
                    <w:keepLines w:val="0"/>
                    <w:widowControl/>
                    <w:suppressLineNumbers w:val="0"/>
                    <w:jc w:val="center"/>
                    <w:textAlignment w:val="center"/>
                    <w:rPr>
                      <w:b/>
                      <w:bCs/>
                      <w:color w:val="auto"/>
                      <w:szCs w:val="21"/>
                      <w:u w:val="single"/>
                    </w:rPr>
                  </w:pPr>
                  <w:r>
                    <w:rPr>
                      <w:rFonts w:hint="default" w:ascii="Times New Roman" w:hAnsi="Times New Roman" w:cs="Times New Roman" w:eastAsiaTheme="minorEastAsia"/>
                      <w:b/>
                      <w:bCs/>
                      <w:color w:val="auto"/>
                      <w:kern w:val="2"/>
                      <w:sz w:val="21"/>
                      <w:szCs w:val="21"/>
                      <w:u w:val="single"/>
                      <w:lang w:val="en-US" w:eastAsia="zh-CN" w:bidi="ar-SA"/>
                    </w:rPr>
                    <w:t>1.7053</w:t>
                  </w:r>
                </w:p>
              </w:tc>
            </w:tr>
          </w:tbl>
          <w:p w14:paraId="58FB5BCC">
            <w:pPr>
              <w:pStyle w:val="79"/>
              <w:spacing w:line="360" w:lineRule="auto"/>
              <w:ind w:firstLine="480"/>
              <w:jc w:val="both"/>
              <w:rPr>
                <w:rFonts w:hint="default" w:hAnsi="宋体" w:eastAsia="宋体"/>
                <w:b/>
                <w:bCs/>
                <w:color w:val="auto"/>
                <w:sz w:val="21"/>
                <w:szCs w:val="20"/>
                <w:lang w:val="en-US" w:eastAsia="zh-CN"/>
              </w:rPr>
            </w:pPr>
            <w:r>
              <w:rPr>
                <w:rFonts w:hint="eastAsia" w:hAnsi="宋体"/>
                <w:b/>
                <w:bCs/>
                <w:color w:val="auto"/>
                <w:sz w:val="21"/>
                <w:szCs w:val="20"/>
                <w:lang w:val="en-US" w:eastAsia="zh-CN"/>
              </w:rPr>
              <w:t>注：水性漆料中含有10%的去离子水，共计0.8273t/a。</w:t>
            </w:r>
          </w:p>
          <w:p w14:paraId="7F39778B">
            <w:pPr>
              <w:pStyle w:val="79"/>
              <w:spacing w:line="360" w:lineRule="auto"/>
              <w:ind w:firstLine="480"/>
              <w:jc w:val="both"/>
              <w:rPr>
                <w:rFonts w:hint="eastAsia"/>
                <w:color w:val="auto"/>
              </w:rPr>
            </w:pPr>
            <w:r>
              <w:rPr>
                <w:rFonts w:hint="eastAsia" w:hAnsi="宋体"/>
                <w:color w:val="auto"/>
              </w:rPr>
              <w:t>根据建设单位提供的资料可知</w:t>
            </w:r>
            <w:r>
              <w:rPr>
                <w:rFonts w:hAnsi="宋体"/>
                <w:color w:val="auto"/>
              </w:rPr>
              <w:t>，</w:t>
            </w:r>
            <w:r>
              <w:rPr>
                <w:rFonts w:hint="eastAsia" w:hAnsi="宋体"/>
                <w:color w:val="auto"/>
              </w:rPr>
              <w:t>本项目油漆</w:t>
            </w:r>
            <w:r>
              <w:rPr>
                <w:rFonts w:hAnsi="宋体"/>
                <w:color w:val="auto"/>
              </w:rPr>
              <w:t>固体份附着率约</w:t>
            </w:r>
            <w:r>
              <w:rPr>
                <w:rFonts w:hint="eastAsia"/>
                <w:color w:val="auto"/>
              </w:rPr>
              <w:t>70</w:t>
            </w:r>
            <w:r>
              <w:rPr>
                <w:color w:val="auto"/>
              </w:rPr>
              <w:t>%</w:t>
            </w:r>
            <w:r>
              <w:rPr>
                <w:rFonts w:hint="eastAsia"/>
                <w:color w:val="auto"/>
              </w:rPr>
              <w:t>（UV辊涂油漆上漆率</w:t>
            </w:r>
            <w:r>
              <w:rPr>
                <w:rFonts w:hint="eastAsia"/>
                <w:color w:val="auto"/>
                <w:lang w:val="en-US" w:eastAsia="zh-CN"/>
              </w:rPr>
              <w:t>100</w:t>
            </w:r>
            <w:r>
              <w:rPr>
                <w:rFonts w:hint="eastAsia"/>
                <w:color w:val="auto"/>
              </w:rPr>
              <w:t>%，</w:t>
            </w:r>
            <w:r>
              <w:rPr>
                <w:rFonts w:hint="eastAsia"/>
                <w:color w:val="auto"/>
                <w:highlight w:val="none"/>
              </w:rPr>
              <w:t>无漆雾产生</w:t>
            </w:r>
            <w:r>
              <w:rPr>
                <w:rFonts w:hint="eastAsia"/>
                <w:color w:val="auto"/>
              </w:rPr>
              <w:t>）</w:t>
            </w:r>
            <w:r>
              <w:rPr>
                <w:rFonts w:hAnsi="宋体"/>
                <w:color w:val="auto"/>
              </w:rPr>
              <w:t>，喷漆时废气挥发量约为挥发份的</w:t>
            </w:r>
            <w:r>
              <w:rPr>
                <w:rFonts w:hint="eastAsia"/>
                <w:color w:val="auto"/>
              </w:rPr>
              <w:t>6</w:t>
            </w:r>
            <w:r>
              <w:rPr>
                <w:color w:val="auto"/>
              </w:rPr>
              <w:t>0%</w:t>
            </w:r>
            <w:r>
              <w:rPr>
                <w:rFonts w:hAnsi="宋体"/>
                <w:color w:val="auto"/>
              </w:rPr>
              <w:t>，</w:t>
            </w:r>
            <w:r>
              <w:rPr>
                <w:rFonts w:hint="eastAsia" w:hAnsi="宋体"/>
                <w:color w:val="auto"/>
              </w:rPr>
              <w:t>晾干时废气</w:t>
            </w:r>
            <w:r>
              <w:rPr>
                <w:rFonts w:hAnsi="宋体"/>
                <w:color w:val="auto"/>
              </w:rPr>
              <w:t>挥发量约为挥发份的</w:t>
            </w:r>
            <w:r>
              <w:rPr>
                <w:rFonts w:hint="eastAsia"/>
                <w:color w:val="auto"/>
              </w:rPr>
              <w:t>4</w:t>
            </w:r>
            <w:r>
              <w:rPr>
                <w:color w:val="auto"/>
              </w:rPr>
              <w:t>0%</w:t>
            </w:r>
            <w:r>
              <w:rPr>
                <w:rFonts w:hint="eastAsia"/>
                <w:color w:val="auto"/>
              </w:rPr>
              <w:t>，因此，本</w:t>
            </w:r>
            <w:r>
              <w:rPr>
                <w:rFonts w:hAnsi="宋体"/>
                <w:color w:val="auto"/>
              </w:rPr>
              <w:t>项目喷漆工序漆雾</w:t>
            </w:r>
            <w:r>
              <w:rPr>
                <w:rFonts w:hint="eastAsia" w:hAnsi="宋体"/>
                <w:color w:val="auto"/>
              </w:rPr>
              <w:t>（颗粒物）</w:t>
            </w:r>
            <w:r>
              <w:rPr>
                <w:rFonts w:hAnsi="宋体"/>
                <w:color w:val="auto"/>
              </w:rPr>
              <w:t>产生量为</w:t>
            </w:r>
            <w:r>
              <w:rPr>
                <w:rFonts w:hint="eastAsia" w:hAnsi="宋体"/>
                <w:color w:val="auto"/>
              </w:rPr>
              <w:t>油漆固体份的30%，即</w:t>
            </w:r>
            <w:r>
              <w:rPr>
                <w:rFonts w:hint="eastAsia" w:cs="Times New Roman" w:eastAsiaTheme="minorEastAsia"/>
                <w:b/>
                <w:bCs/>
                <w:color w:val="auto"/>
                <w:kern w:val="2"/>
                <w:sz w:val="24"/>
                <w:szCs w:val="24"/>
                <w:u w:val="single"/>
                <w:lang w:val="en-US" w:eastAsia="zh-CN" w:bidi="ar-SA"/>
              </w:rPr>
              <w:t>2.8272</w:t>
            </w:r>
            <w:r>
              <w:rPr>
                <w:color w:val="auto"/>
              </w:rPr>
              <w:t>t/a</w:t>
            </w:r>
            <w:r>
              <w:rPr>
                <w:rFonts w:hAnsi="宋体"/>
                <w:color w:val="auto"/>
              </w:rPr>
              <w:t>，</w:t>
            </w:r>
            <w:r>
              <w:rPr>
                <w:rFonts w:hint="eastAsia" w:hAnsi="宋体"/>
                <w:color w:val="auto"/>
                <w:lang w:val="en-US" w:eastAsia="zh-CN"/>
              </w:rPr>
              <w:t>调漆、</w:t>
            </w:r>
            <w:r>
              <w:rPr>
                <w:rFonts w:hAnsi="宋体"/>
                <w:color w:val="auto"/>
              </w:rPr>
              <w:t>喷漆</w:t>
            </w:r>
            <w:r>
              <w:rPr>
                <w:rFonts w:hint="eastAsia" w:hAnsi="宋体"/>
                <w:color w:val="auto"/>
                <w:lang w:eastAsia="zh-CN"/>
              </w:rPr>
              <w:t>、</w:t>
            </w:r>
            <w:r>
              <w:rPr>
                <w:rFonts w:hint="eastAsia" w:hAnsi="宋体"/>
                <w:color w:val="auto"/>
                <w:lang w:val="en-US" w:eastAsia="zh-CN"/>
              </w:rPr>
              <w:t>晾干、修色</w:t>
            </w:r>
            <w:r>
              <w:rPr>
                <w:rFonts w:hAnsi="宋体"/>
                <w:color w:val="auto"/>
              </w:rPr>
              <w:t>工序非甲烷总烃产生量为</w:t>
            </w:r>
            <w:r>
              <w:rPr>
                <w:rFonts w:hint="eastAsia" w:cs="Times New Roman" w:eastAsiaTheme="minorEastAsia"/>
                <w:b/>
                <w:bCs/>
                <w:color w:val="auto"/>
                <w:kern w:val="2"/>
                <w:sz w:val="24"/>
                <w:szCs w:val="24"/>
                <w:u w:val="single"/>
                <w:lang w:val="en-US" w:eastAsia="zh-CN" w:bidi="ar-SA"/>
              </w:rPr>
              <w:t>7.8670</w:t>
            </w:r>
            <w:r>
              <w:rPr>
                <w:color w:val="auto"/>
              </w:rPr>
              <w:t>t/a</w:t>
            </w:r>
            <w:r>
              <w:rPr>
                <w:rFonts w:hAnsi="宋体"/>
                <w:color w:val="auto"/>
              </w:rPr>
              <w:t>，其中</w:t>
            </w:r>
            <w:r>
              <w:rPr>
                <w:rFonts w:hint="eastAsia" w:hAnsi="宋体"/>
                <w:color w:val="auto"/>
              </w:rPr>
              <w:t>甲苯+</w:t>
            </w:r>
            <w:r>
              <w:rPr>
                <w:rFonts w:hAnsi="宋体"/>
                <w:color w:val="auto"/>
              </w:rPr>
              <w:t>二甲苯产生量为</w:t>
            </w:r>
            <w:r>
              <w:rPr>
                <w:rFonts w:hint="eastAsia" w:cs="Times New Roman" w:eastAsiaTheme="minorEastAsia"/>
                <w:b/>
                <w:bCs/>
                <w:color w:val="auto"/>
                <w:kern w:val="2"/>
                <w:sz w:val="24"/>
                <w:szCs w:val="24"/>
                <w:u w:val="single"/>
                <w:lang w:val="en-US" w:eastAsia="zh-CN" w:bidi="ar-SA"/>
              </w:rPr>
              <w:t>1.7053</w:t>
            </w:r>
            <w:r>
              <w:rPr>
                <w:color w:val="auto"/>
              </w:rPr>
              <w:t>t/a</w:t>
            </w:r>
            <w:r>
              <w:rPr>
                <w:rFonts w:hint="eastAsia"/>
                <w:color w:val="auto"/>
              </w:rPr>
              <w:t>。</w:t>
            </w:r>
          </w:p>
          <w:p w14:paraId="2A8C0990">
            <w:pPr>
              <w:spacing w:line="360" w:lineRule="auto"/>
              <w:ind w:firstLine="480" w:firstLineChars="200"/>
              <w:rPr>
                <w:rFonts w:hint="eastAsia"/>
                <w:bCs/>
                <w:color w:val="auto"/>
                <w:sz w:val="24"/>
              </w:rPr>
            </w:pPr>
            <w:r>
              <w:rPr>
                <w:rFonts w:hint="eastAsia"/>
                <w:bCs/>
                <w:color w:val="auto"/>
                <w:sz w:val="24"/>
              </w:rPr>
              <w:t>本项目喷漆废气经过滤棉预处理后，与晾干废气一同进入活性炭吸附箱体经吸附后由1根15m排气筒（DA004）排放，活性炭吸附装置达到一定负荷时，切换另一套活性炭吸附箱进行废气处理，满负荷的活性炭吸附装置启动脱附程序进行脱附，脱附后的有机废气进入催化燃烧装置处理后同样由1根15m排气筒（DA004）排放。</w:t>
            </w:r>
          </w:p>
          <w:p w14:paraId="22318A18">
            <w:pPr>
              <w:adjustRightInd w:val="0"/>
              <w:snapToGrid w:val="0"/>
              <w:spacing w:line="360" w:lineRule="auto"/>
              <w:ind w:firstLine="482" w:firstLineChars="200"/>
              <w:rPr>
                <w:color w:val="auto"/>
                <w:sz w:val="24"/>
              </w:rPr>
            </w:pPr>
            <w:r>
              <w:rPr>
                <w:b/>
                <w:bCs/>
                <w:color w:val="auto"/>
                <w:sz w:val="24"/>
                <w:u w:val="single"/>
              </w:rPr>
              <w:t>本项目喷漆房、</w:t>
            </w:r>
            <w:r>
              <w:rPr>
                <w:rFonts w:hint="eastAsia"/>
                <w:b/>
                <w:bCs/>
                <w:color w:val="auto"/>
                <w:sz w:val="24"/>
                <w:u w:val="single"/>
              </w:rPr>
              <w:t>晾干</w:t>
            </w:r>
            <w:r>
              <w:rPr>
                <w:b/>
                <w:bCs/>
                <w:color w:val="auto"/>
                <w:sz w:val="24"/>
                <w:u w:val="single"/>
              </w:rPr>
              <w:t>房均</w:t>
            </w:r>
            <w:r>
              <w:rPr>
                <w:rFonts w:hint="eastAsia"/>
                <w:b/>
                <w:bCs/>
                <w:color w:val="auto"/>
                <w:sz w:val="24"/>
                <w:u w:val="single"/>
              </w:rPr>
              <w:t>全封闭工作间且保证</w:t>
            </w:r>
            <w:r>
              <w:rPr>
                <w:b/>
                <w:bCs/>
                <w:color w:val="auto"/>
                <w:sz w:val="24"/>
                <w:u w:val="single"/>
              </w:rPr>
              <w:t>负压运行，</w:t>
            </w:r>
            <w:r>
              <w:rPr>
                <w:rFonts w:hint="eastAsia"/>
                <w:b/>
                <w:bCs/>
                <w:color w:val="auto"/>
                <w:sz w:val="24"/>
                <w:u w:val="single"/>
                <w:lang w:val="en-US" w:eastAsia="zh-CN"/>
              </w:rPr>
              <w:t>调漆、</w:t>
            </w:r>
            <w:r>
              <w:rPr>
                <w:b/>
                <w:bCs/>
                <w:color w:val="auto"/>
                <w:sz w:val="24"/>
                <w:u w:val="single"/>
              </w:rPr>
              <w:t>喷漆</w:t>
            </w:r>
            <w:r>
              <w:rPr>
                <w:rFonts w:hint="eastAsia"/>
                <w:b/>
                <w:bCs/>
                <w:color w:val="auto"/>
                <w:sz w:val="24"/>
                <w:u w:val="single"/>
              </w:rPr>
              <w:t>、晾干</w:t>
            </w:r>
            <w:r>
              <w:rPr>
                <w:rFonts w:hint="eastAsia"/>
                <w:b/>
                <w:bCs/>
                <w:color w:val="auto"/>
                <w:sz w:val="24"/>
                <w:u w:val="single"/>
                <w:lang w:eastAsia="zh-CN"/>
              </w:rPr>
              <w:t>、</w:t>
            </w:r>
            <w:r>
              <w:rPr>
                <w:rFonts w:hint="eastAsia"/>
                <w:b/>
                <w:bCs/>
                <w:color w:val="auto"/>
                <w:sz w:val="24"/>
                <w:u w:val="single"/>
                <w:lang w:val="en-US" w:eastAsia="zh-CN"/>
              </w:rPr>
              <w:t>修色</w:t>
            </w:r>
            <w:r>
              <w:rPr>
                <w:b/>
                <w:bCs/>
                <w:color w:val="auto"/>
                <w:sz w:val="24"/>
                <w:u w:val="single"/>
              </w:rPr>
              <w:t>过程中</w:t>
            </w:r>
            <w:r>
              <w:rPr>
                <w:rFonts w:hint="eastAsia"/>
                <w:b/>
                <w:bCs/>
                <w:color w:val="auto"/>
                <w:sz w:val="24"/>
                <w:u w:val="single"/>
              </w:rPr>
              <w:t>无</w:t>
            </w:r>
            <w:r>
              <w:rPr>
                <w:b/>
                <w:bCs/>
                <w:color w:val="auto"/>
                <w:sz w:val="24"/>
                <w:u w:val="single"/>
              </w:rPr>
              <w:t>气体溢出，仅在喷漆房、</w:t>
            </w:r>
            <w:r>
              <w:rPr>
                <w:rFonts w:hint="eastAsia"/>
                <w:b/>
                <w:bCs/>
                <w:color w:val="auto"/>
                <w:sz w:val="24"/>
                <w:u w:val="single"/>
              </w:rPr>
              <w:t>晾干</w:t>
            </w:r>
            <w:r>
              <w:rPr>
                <w:b/>
                <w:bCs/>
                <w:color w:val="auto"/>
                <w:sz w:val="24"/>
                <w:u w:val="single"/>
              </w:rPr>
              <w:t>房开闭过程中会有少量气体溢出</w:t>
            </w:r>
            <w:r>
              <w:rPr>
                <w:color w:val="auto"/>
                <w:sz w:val="24"/>
              </w:rPr>
              <w:t>。本次评价</w:t>
            </w:r>
            <w:r>
              <w:rPr>
                <w:rFonts w:hint="eastAsia"/>
                <w:color w:val="auto"/>
                <w:sz w:val="24"/>
              </w:rPr>
              <w:t>喷漆、晾干</w:t>
            </w:r>
            <w:r>
              <w:rPr>
                <w:color w:val="auto"/>
                <w:sz w:val="24"/>
              </w:rPr>
              <w:t>废气的收集效率</w:t>
            </w:r>
            <w:r>
              <w:rPr>
                <w:rFonts w:hint="eastAsia"/>
                <w:color w:val="auto"/>
                <w:sz w:val="24"/>
              </w:rPr>
              <w:t>以</w:t>
            </w:r>
            <w:r>
              <w:rPr>
                <w:color w:val="auto"/>
                <w:sz w:val="24"/>
              </w:rPr>
              <w:t>95%计，无组织排放量</w:t>
            </w:r>
            <w:r>
              <w:rPr>
                <w:rFonts w:hint="eastAsia"/>
                <w:color w:val="auto"/>
                <w:sz w:val="24"/>
              </w:rPr>
              <w:t>以</w:t>
            </w:r>
            <w:r>
              <w:rPr>
                <w:color w:val="auto"/>
                <w:sz w:val="24"/>
              </w:rPr>
              <w:t>5%计。</w:t>
            </w:r>
            <w:r>
              <w:rPr>
                <w:rFonts w:hint="eastAsia"/>
                <w:color w:val="auto"/>
                <w:sz w:val="24"/>
              </w:rPr>
              <w:t>过滤棉过滤效率90%，活性炭吸附效率90%、催化燃烧效率97%</w:t>
            </w:r>
            <w:r>
              <w:rPr>
                <w:color w:val="auto"/>
                <w:sz w:val="24"/>
              </w:rPr>
              <w:t>。本项目</w:t>
            </w:r>
            <w:r>
              <w:rPr>
                <w:rFonts w:hint="eastAsia"/>
                <w:color w:val="auto"/>
                <w:sz w:val="24"/>
              </w:rPr>
              <w:t>涂料</w:t>
            </w:r>
            <w:r>
              <w:rPr>
                <w:color w:val="auto"/>
                <w:sz w:val="24"/>
              </w:rPr>
              <w:t>物料平衡图见图</w:t>
            </w:r>
            <w:r>
              <w:rPr>
                <w:rFonts w:hint="eastAsia"/>
                <w:color w:val="auto"/>
                <w:sz w:val="24"/>
                <w:lang w:val="en-US" w:eastAsia="zh-CN"/>
              </w:rPr>
              <w:t>6、图7</w:t>
            </w:r>
            <w:r>
              <w:rPr>
                <w:color w:val="auto"/>
                <w:sz w:val="24"/>
              </w:rPr>
              <w:t>。</w:t>
            </w:r>
          </w:p>
          <w:p w14:paraId="1E154F6E">
            <w:pPr>
              <w:adjustRightInd w:val="0"/>
              <w:snapToGrid w:val="0"/>
              <w:spacing w:line="360" w:lineRule="auto"/>
              <w:rPr>
                <w:rFonts w:hint="eastAsia"/>
                <w:color w:val="auto"/>
                <w:sz w:val="24"/>
              </w:rPr>
            </w:pPr>
            <w:r>
              <w:rPr>
                <w:rFonts w:hint="eastAsia"/>
                <w:color w:val="auto"/>
                <w:sz w:val="24"/>
              </w:rPr>
              <w:object>
                <v:shape id="_x0000_i1026" o:spt="75" type="#_x0000_t75" style="height:267.75pt;width:430.55pt;" o:ole="t" filled="f" o:preferrelative="t" stroked="f" coordsize="21600,21600">
                  <v:path/>
                  <v:fill on="f" focussize="0,0"/>
                  <v:stroke on="f"/>
                  <v:imagedata r:id="rId19" o:title=""/>
                  <o:lock v:ext="edit" aspectratio="f"/>
                  <w10:wrap type="none"/>
                  <w10:anchorlock/>
                </v:shape>
                <o:OLEObject Type="Embed" ProgID="Visio.Drawing.15" ShapeID="_x0000_i1026" DrawAspect="Content" ObjectID="_1468075726" r:id="rId18">
                  <o:LockedField>false</o:LockedField>
                </o:OLEObject>
              </w:object>
            </w:r>
          </w:p>
          <w:p w14:paraId="3E66ECE2">
            <w:pPr>
              <w:pStyle w:val="2"/>
              <w:keepNext/>
              <w:keepLines w:val="0"/>
              <w:pageBreakBefore w:val="0"/>
              <w:widowControl w:val="0"/>
              <w:kinsoku/>
              <w:wordWrap/>
              <w:overflowPunct w:val="0"/>
              <w:topLinePunct w:val="0"/>
              <w:autoSpaceDE/>
              <w:autoSpaceDN/>
              <w:bidi w:val="0"/>
              <w:adjustRightInd/>
              <w:snapToGrid w:val="0"/>
              <w:spacing w:before="0" w:after="0" w:line="240" w:lineRule="auto"/>
              <w:ind w:left="0" w:firstLine="0"/>
              <w:jc w:val="center"/>
              <w:textAlignment w:val="auto"/>
              <w:rPr>
                <w:rFonts w:hint="default" w:ascii="Times New Roman" w:hAnsi="Times New Roman" w:cs="Times New Roman" w:eastAsiaTheme="minorEastAsia"/>
                <w:color w:val="auto"/>
              </w:rPr>
            </w:pPr>
            <w:r>
              <w:rPr>
                <w:rFonts w:hint="default" w:ascii="Times New Roman" w:hAnsi="Times New Roman" w:cs="Times New Roman" w:eastAsiaTheme="minorEastAsia"/>
                <w:b/>
                <w:color w:val="auto"/>
                <w:sz w:val="24"/>
                <w:u w:val="single"/>
              </w:rPr>
              <w:t>图</w:t>
            </w:r>
            <w:r>
              <w:rPr>
                <w:rFonts w:hint="eastAsia" w:cs="Times New Roman" w:eastAsiaTheme="minorEastAsia"/>
                <w:b/>
                <w:color w:val="auto"/>
                <w:sz w:val="24"/>
                <w:u w:val="single"/>
                <w:lang w:val="en-US" w:eastAsia="zh-CN"/>
              </w:rPr>
              <w:t>6</w:t>
            </w:r>
            <w:r>
              <w:rPr>
                <w:rFonts w:hint="default" w:ascii="Times New Roman" w:hAnsi="Times New Roman" w:cs="Times New Roman" w:eastAsiaTheme="minorEastAsia"/>
                <w:b/>
                <w:color w:val="auto"/>
                <w:sz w:val="24"/>
                <w:u w:val="single"/>
              </w:rPr>
              <w:t xml:space="preserve">  项目溶剂型涂料物料平衡图  单位：t/a</w:t>
            </w:r>
          </w:p>
          <w:p w14:paraId="0A553BEE">
            <w:pPr>
              <w:spacing w:line="336" w:lineRule="auto"/>
              <w:ind w:firstLine="480" w:firstLineChars="200"/>
              <w:rPr>
                <w:rFonts w:hAnsi="宋体"/>
                <w:color w:val="auto"/>
                <w:sz w:val="24"/>
              </w:rPr>
            </w:pPr>
          </w:p>
          <w:p w14:paraId="3809D8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rFonts w:hint="eastAsia"/>
                <w:color w:val="auto"/>
                <w:sz w:val="24"/>
              </w:rPr>
              <w:object>
                <v:shape id="_x0000_i1027" o:spt="75" type="#_x0000_t75" style="height:267.75pt;width:430.55pt;" o:ole="t" filled="f" o:preferrelative="t" stroked="f" coordsize="21600,21600">
                  <v:path/>
                  <v:fill on="f" focussize="0,0"/>
                  <v:stroke on="f"/>
                  <v:imagedata r:id="rId21" o:title=""/>
                  <o:lock v:ext="edit" aspectratio="f"/>
                  <w10:wrap type="none"/>
                  <w10:anchorlock/>
                </v:shape>
                <o:OLEObject Type="Embed" ProgID="Visio.Drawing.15" ShapeID="_x0000_i1027" DrawAspect="Content" ObjectID="_1468075727" r:id="rId20">
                  <o:LockedField>false</o:LockedField>
                </o:OLEObject>
              </w:object>
            </w:r>
          </w:p>
          <w:p w14:paraId="7B1441D6">
            <w:pPr>
              <w:pStyle w:val="2"/>
              <w:keepNext/>
              <w:keepLines w:val="0"/>
              <w:pageBreakBefore w:val="0"/>
              <w:widowControl w:val="0"/>
              <w:kinsoku/>
              <w:wordWrap/>
              <w:overflowPunct w:val="0"/>
              <w:topLinePunct w:val="0"/>
              <w:autoSpaceDE/>
              <w:autoSpaceDN/>
              <w:bidi w:val="0"/>
              <w:adjustRightInd/>
              <w:snapToGrid w:val="0"/>
              <w:spacing w:before="0" w:after="0" w:line="240" w:lineRule="auto"/>
              <w:ind w:left="0" w:firstLine="0"/>
              <w:jc w:val="center"/>
              <w:textAlignment w:val="auto"/>
              <w:rPr>
                <w:rFonts w:hint="default" w:ascii="Times New Roman" w:hAnsi="Times New Roman" w:cs="Times New Roman" w:eastAsiaTheme="minorEastAsia"/>
                <w:b/>
                <w:color w:val="auto"/>
                <w:sz w:val="24"/>
                <w:u w:val="single"/>
              </w:rPr>
            </w:pPr>
            <w:r>
              <w:rPr>
                <w:rFonts w:hint="eastAsia" w:ascii="Times New Roman" w:hAnsi="Times New Roman" w:cs="Times New Roman" w:eastAsiaTheme="minorEastAsia"/>
                <w:b/>
                <w:color w:val="auto"/>
                <w:sz w:val="24"/>
                <w:u w:val="single"/>
              </w:rPr>
              <w:t>图</w:t>
            </w:r>
            <w:r>
              <w:rPr>
                <w:rFonts w:hint="eastAsia" w:cs="Times New Roman" w:eastAsiaTheme="minorEastAsia"/>
                <w:b/>
                <w:color w:val="auto"/>
                <w:sz w:val="24"/>
                <w:u w:val="single"/>
                <w:lang w:val="en-US" w:eastAsia="zh-CN"/>
              </w:rPr>
              <w:t>7</w:t>
            </w:r>
            <w:r>
              <w:rPr>
                <w:rFonts w:hint="eastAsia" w:ascii="Times New Roman" w:hAnsi="Times New Roman" w:cs="Times New Roman" w:eastAsiaTheme="minorEastAsia"/>
                <w:b/>
                <w:color w:val="auto"/>
                <w:sz w:val="24"/>
                <w:u w:val="single"/>
              </w:rPr>
              <w:t xml:space="preserve">  项目水性漆料平衡示意图  单位：t/a </w:t>
            </w:r>
          </w:p>
          <w:p w14:paraId="0B46F12D">
            <w:pPr>
              <w:spacing w:line="336" w:lineRule="auto"/>
              <w:ind w:firstLine="480" w:firstLineChars="200"/>
              <w:rPr>
                <w:rFonts w:hint="eastAsia" w:hAnsi="宋体"/>
                <w:color w:val="auto"/>
                <w:sz w:val="24"/>
              </w:rPr>
            </w:pPr>
            <w:r>
              <w:rPr>
                <w:rFonts w:hAnsi="宋体"/>
                <w:color w:val="auto"/>
                <w:sz w:val="24"/>
              </w:rPr>
              <w:t>本项目</w:t>
            </w:r>
            <w:r>
              <w:rPr>
                <w:rFonts w:hint="eastAsia"/>
                <w:color w:val="auto"/>
                <w:sz w:val="24"/>
              </w:rPr>
              <w:t>喷漆、晾干房废气处理设施</w:t>
            </w:r>
            <w:r>
              <w:rPr>
                <w:rFonts w:hint="eastAsia" w:hAnsi="宋体"/>
                <w:color w:val="auto"/>
                <w:sz w:val="24"/>
              </w:rPr>
              <w:t>设计风机风量</w:t>
            </w:r>
            <w:r>
              <w:rPr>
                <w:rFonts w:hAnsi="宋体"/>
                <w:color w:val="auto"/>
                <w:sz w:val="24"/>
              </w:rPr>
              <w:t>为</w:t>
            </w:r>
            <w:r>
              <w:rPr>
                <w:rFonts w:hint="eastAsia" w:hAnsi="宋体"/>
                <w:color w:val="auto"/>
                <w:sz w:val="24"/>
                <w:lang w:val="en-US" w:eastAsia="zh-CN"/>
              </w:rPr>
              <w:t>4</w:t>
            </w:r>
            <w:r>
              <w:rPr>
                <w:rFonts w:hint="eastAsia" w:hAnsi="宋体"/>
                <w:color w:val="auto"/>
                <w:sz w:val="24"/>
              </w:rPr>
              <w:t>0</w:t>
            </w:r>
            <w:r>
              <w:rPr>
                <w:color w:val="auto"/>
                <w:sz w:val="24"/>
              </w:rPr>
              <w:t>000m</w:t>
            </w:r>
            <w:r>
              <w:rPr>
                <w:color w:val="auto"/>
                <w:sz w:val="24"/>
                <w:vertAlign w:val="superscript"/>
              </w:rPr>
              <w:t>3</w:t>
            </w:r>
            <w:r>
              <w:rPr>
                <w:color w:val="auto"/>
                <w:sz w:val="24"/>
              </w:rPr>
              <w:t>/h</w:t>
            </w:r>
            <w:r>
              <w:rPr>
                <w:rFonts w:hAnsi="宋体"/>
                <w:color w:val="auto"/>
                <w:sz w:val="24"/>
              </w:rPr>
              <w:t>，</w:t>
            </w:r>
            <w:r>
              <w:rPr>
                <w:rFonts w:hint="eastAsia" w:hAnsi="宋体"/>
                <w:color w:val="auto"/>
                <w:sz w:val="24"/>
              </w:rPr>
              <w:t>脱附风机风量为3000</w:t>
            </w:r>
            <w:r>
              <w:rPr>
                <w:color w:val="auto"/>
                <w:sz w:val="24"/>
              </w:rPr>
              <w:t>m</w:t>
            </w:r>
            <w:r>
              <w:rPr>
                <w:color w:val="auto"/>
                <w:sz w:val="24"/>
                <w:vertAlign w:val="superscript"/>
              </w:rPr>
              <w:t>3</w:t>
            </w:r>
            <w:r>
              <w:rPr>
                <w:color w:val="auto"/>
                <w:sz w:val="24"/>
              </w:rPr>
              <w:t>/h</w:t>
            </w:r>
            <w:r>
              <w:rPr>
                <w:rFonts w:hAnsi="宋体"/>
                <w:color w:val="auto"/>
                <w:sz w:val="24"/>
              </w:rPr>
              <w:t>，</w:t>
            </w:r>
            <w:r>
              <w:rPr>
                <w:rFonts w:hint="eastAsia" w:hAnsi="宋体"/>
                <w:color w:val="auto"/>
                <w:sz w:val="24"/>
              </w:rPr>
              <w:t>喷漆</w:t>
            </w:r>
            <w:r>
              <w:rPr>
                <w:rFonts w:hAnsi="宋体"/>
                <w:color w:val="auto"/>
                <w:sz w:val="24"/>
              </w:rPr>
              <w:t>运行时间约</w:t>
            </w:r>
            <w:r>
              <w:rPr>
                <w:rFonts w:hint="eastAsia"/>
                <w:color w:val="auto"/>
                <w:sz w:val="24"/>
              </w:rPr>
              <w:t>2400</w:t>
            </w:r>
            <w:r>
              <w:rPr>
                <w:color w:val="auto"/>
                <w:sz w:val="24"/>
              </w:rPr>
              <w:t>h/a</w:t>
            </w:r>
            <w:r>
              <w:rPr>
                <w:rFonts w:hAnsi="宋体"/>
                <w:color w:val="auto"/>
                <w:sz w:val="24"/>
              </w:rPr>
              <w:t>，</w:t>
            </w:r>
            <w:r>
              <w:rPr>
                <w:rFonts w:hint="eastAsia" w:hAnsi="宋体"/>
                <w:color w:val="auto"/>
                <w:sz w:val="24"/>
              </w:rPr>
              <w:t>晾干</w:t>
            </w:r>
            <w:r>
              <w:rPr>
                <w:rFonts w:hAnsi="宋体"/>
                <w:color w:val="auto"/>
                <w:sz w:val="24"/>
              </w:rPr>
              <w:t>运行时间约</w:t>
            </w:r>
            <w:r>
              <w:rPr>
                <w:rFonts w:hint="eastAsia"/>
                <w:color w:val="auto"/>
                <w:sz w:val="24"/>
              </w:rPr>
              <w:t>2400</w:t>
            </w:r>
            <w:r>
              <w:rPr>
                <w:color w:val="auto"/>
                <w:sz w:val="24"/>
              </w:rPr>
              <w:t>h/a</w:t>
            </w:r>
            <w:r>
              <w:rPr>
                <w:rFonts w:hAnsi="宋体"/>
                <w:color w:val="auto"/>
                <w:sz w:val="24"/>
              </w:rPr>
              <w:t>，脱附时间约</w:t>
            </w:r>
            <w:r>
              <w:rPr>
                <w:rFonts w:hint="eastAsia"/>
                <w:color w:val="auto"/>
                <w:sz w:val="24"/>
              </w:rPr>
              <w:t>1200</w:t>
            </w:r>
            <w:r>
              <w:rPr>
                <w:color w:val="auto"/>
                <w:sz w:val="24"/>
              </w:rPr>
              <w:t>h/a</w:t>
            </w:r>
            <w:r>
              <w:rPr>
                <w:rFonts w:hint="eastAsia"/>
                <w:color w:val="auto"/>
                <w:sz w:val="24"/>
              </w:rPr>
              <w:t>，催化燃烧装置尾气与活性炭吸附后尾气共用一根排气筒DA004排放</w:t>
            </w:r>
            <w:r>
              <w:rPr>
                <w:rFonts w:hAnsi="宋体"/>
                <w:color w:val="auto"/>
                <w:sz w:val="24"/>
              </w:rPr>
              <w:t>。</w:t>
            </w:r>
          </w:p>
          <w:p w14:paraId="54AC1F40">
            <w:pPr>
              <w:spacing w:line="336" w:lineRule="auto"/>
              <w:ind w:firstLine="480" w:firstLineChars="200"/>
              <w:rPr>
                <w:rFonts w:hint="eastAsia"/>
                <w:color w:val="auto"/>
                <w:sz w:val="24"/>
              </w:rPr>
            </w:pPr>
            <w:r>
              <w:rPr>
                <w:rFonts w:hint="eastAsia"/>
                <w:color w:val="auto"/>
                <w:sz w:val="24"/>
              </w:rPr>
              <w:t>由于本项目喷漆、晾干废气污染物中挥发性有机物浓度较低，需使用活性炭进行吸附富集后脱附，然后进行催化燃烧，方能达到较高的处理效率。</w:t>
            </w:r>
          </w:p>
          <w:p w14:paraId="3572F3A4">
            <w:pPr>
              <w:spacing w:line="336" w:lineRule="auto"/>
              <w:ind w:firstLine="480" w:firstLineChars="200"/>
              <w:rPr>
                <w:rFonts w:hint="eastAsia"/>
                <w:color w:val="auto"/>
                <w:sz w:val="24"/>
              </w:rPr>
            </w:pPr>
            <w:r>
              <w:rPr>
                <w:rFonts w:hint="eastAsia"/>
                <w:color w:val="auto"/>
                <w:sz w:val="24"/>
              </w:rPr>
              <w:t>本项目采用活性炭在线脱附运行方式，其排气筒污染物排放情况为两种：第一种情况为脱附、催化燃烧程序不运行，仅活性炭吸附程序运行，废气经活性炭吸附处理后排放</w:t>
            </w:r>
            <w:r>
              <w:rPr>
                <w:rFonts w:hint="eastAsia"/>
                <w:color w:val="auto"/>
                <w:sz w:val="24"/>
                <w:lang w:eastAsia="zh-CN"/>
              </w:rPr>
              <w:t>（</w:t>
            </w:r>
            <w:r>
              <w:rPr>
                <w:rFonts w:hint="eastAsia"/>
                <w:color w:val="auto"/>
                <w:sz w:val="24"/>
                <w:lang w:val="en-US" w:eastAsia="zh-CN"/>
              </w:rPr>
              <w:t>年排放2400h</w:t>
            </w:r>
            <w:r>
              <w:rPr>
                <w:rFonts w:hint="eastAsia"/>
                <w:color w:val="auto"/>
                <w:sz w:val="24"/>
                <w:lang w:eastAsia="zh-CN"/>
              </w:rPr>
              <w:t>）</w:t>
            </w:r>
            <w:r>
              <w:rPr>
                <w:rFonts w:hint="eastAsia"/>
                <w:color w:val="auto"/>
                <w:sz w:val="24"/>
              </w:rPr>
              <w:t>；第二种情况为脱附程序、活性炭吸附程序和催化燃烧程序同时运行，脱附程序产生的废气污染物经催化燃烧处理后与喷漆、晾干废气经活性炭吸附处理后一同排放</w:t>
            </w:r>
            <w:r>
              <w:rPr>
                <w:rFonts w:hint="eastAsia"/>
                <w:color w:val="auto"/>
                <w:sz w:val="24"/>
                <w:lang w:eastAsia="zh-CN"/>
              </w:rPr>
              <w:t>（</w:t>
            </w:r>
            <w:r>
              <w:rPr>
                <w:rFonts w:hint="eastAsia"/>
                <w:color w:val="auto"/>
                <w:sz w:val="24"/>
                <w:lang w:val="en-US" w:eastAsia="zh-CN"/>
              </w:rPr>
              <w:t>年排放1200h</w:t>
            </w:r>
            <w:r>
              <w:rPr>
                <w:rFonts w:hint="eastAsia"/>
                <w:color w:val="auto"/>
                <w:sz w:val="24"/>
                <w:lang w:eastAsia="zh-CN"/>
              </w:rPr>
              <w:t>）</w:t>
            </w:r>
            <w:r>
              <w:rPr>
                <w:rFonts w:hint="eastAsia"/>
                <w:color w:val="auto"/>
                <w:sz w:val="24"/>
              </w:rPr>
              <w:t>。</w:t>
            </w:r>
          </w:p>
          <w:p w14:paraId="62C8C22E">
            <w:pPr>
              <w:pStyle w:val="7"/>
              <w:numPr>
                <w:ilvl w:val="0"/>
                <w:numId w:val="11"/>
              </w:numPr>
              <w:spacing w:line="360" w:lineRule="auto"/>
              <w:ind w:firstLine="480" w:firstLineChars="200"/>
              <w:rPr>
                <w:rFonts w:hint="eastAsia"/>
                <w:color w:val="auto"/>
                <w:sz w:val="24"/>
              </w:rPr>
            </w:pPr>
            <w:r>
              <w:rPr>
                <w:rFonts w:hint="eastAsia"/>
                <w:color w:val="auto"/>
                <w:sz w:val="24"/>
              </w:rPr>
              <w:t>第一种情况：</w:t>
            </w:r>
          </w:p>
          <w:p w14:paraId="74EA9D67">
            <w:pPr>
              <w:pStyle w:val="7"/>
              <w:snapToGrid w:val="0"/>
              <w:spacing w:line="360" w:lineRule="auto"/>
              <w:ind w:firstLine="480" w:firstLineChars="200"/>
              <w:rPr>
                <w:rFonts w:hint="eastAsia"/>
                <w:color w:val="auto"/>
                <w:sz w:val="24"/>
              </w:rPr>
            </w:pPr>
            <w:r>
              <w:rPr>
                <w:color w:val="auto"/>
                <w:sz w:val="24"/>
              </w:rPr>
              <w:t>喷漆工段</w:t>
            </w:r>
            <w:r>
              <w:rPr>
                <w:rFonts w:hint="eastAsia"/>
                <w:color w:val="auto"/>
                <w:sz w:val="24"/>
              </w:rPr>
              <w:t>漆雾（颗粒物）产生</w:t>
            </w:r>
            <w:r>
              <w:rPr>
                <w:color w:val="auto"/>
                <w:sz w:val="24"/>
              </w:rPr>
              <w:t>量为</w:t>
            </w:r>
            <w:r>
              <w:rPr>
                <w:rFonts w:hint="eastAsia"/>
                <w:b/>
                <w:bCs/>
                <w:color w:val="auto"/>
                <w:sz w:val="24"/>
                <w:u w:val="single"/>
                <w:lang w:val="en-US" w:eastAsia="zh-CN"/>
              </w:rPr>
              <w:t>2.8272</w:t>
            </w:r>
            <w:r>
              <w:rPr>
                <w:color w:val="auto"/>
                <w:sz w:val="24"/>
              </w:rPr>
              <w:t>t/a</w:t>
            </w:r>
            <w:r>
              <w:rPr>
                <w:rFonts w:hint="eastAsia"/>
                <w:color w:val="auto"/>
                <w:sz w:val="24"/>
              </w:rPr>
              <w:t>（</w:t>
            </w:r>
            <w:r>
              <w:rPr>
                <w:rFonts w:hint="eastAsia"/>
                <w:b/>
                <w:bCs/>
                <w:color w:val="auto"/>
                <w:sz w:val="24"/>
                <w:u w:val="single"/>
                <w:lang w:val="en-US" w:eastAsia="zh-CN"/>
              </w:rPr>
              <w:t>1.1780</w:t>
            </w:r>
            <w:r>
              <w:rPr>
                <w:rFonts w:hint="eastAsia"/>
                <w:color w:val="auto"/>
                <w:sz w:val="24"/>
              </w:rPr>
              <w:t>kg/h），废气收集效率以95%计，则喷漆工段漆雾（颗粒物）收集量为</w:t>
            </w:r>
            <w:r>
              <w:rPr>
                <w:rFonts w:hint="eastAsia"/>
                <w:b/>
                <w:bCs/>
                <w:color w:val="auto"/>
                <w:sz w:val="24"/>
                <w:u w:val="single"/>
                <w:lang w:val="en-US" w:eastAsia="zh-CN"/>
              </w:rPr>
              <w:t>2.6858</w:t>
            </w:r>
            <w:r>
              <w:rPr>
                <w:b/>
                <w:bCs/>
                <w:color w:val="auto"/>
                <w:sz w:val="24"/>
                <w:u w:val="single"/>
              </w:rPr>
              <w:t>t/a</w:t>
            </w:r>
            <w:r>
              <w:rPr>
                <w:rFonts w:hint="eastAsia"/>
                <w:b/>
                <w:bCs/>
                <w:color w:val="auto"/>
                <w:sz w:val="24"/>
                <w:u w:val="single"/>
              </w:rPr>
              <w:t>（</w:t>
            </w:r>
            <w:r>
              <w:rPr>
                <w:rFonts w:hint="eastAsia"/>
                <w:b/>
                <w:bCs/>
                <w:color w:val="auto"/>
                <w:sz w:val="24"/>
                <w:u w:val="single"/>
                <w:lang w:val="en-US" w:eastAsia="zh-CN"/>
              </w:rPr>
              <w:t>1.1191</w:t>
            </w:r>
            <w:r>
              <w:rPr>
                <w:rFonts w:hint="eastAsia"/>
                <w:b/>
                <w:bCs/>
                <w:color w:val="auto"/>
                <w:sz w:val="24"/>
                <w:u w:val="single"/>
              </w:rPr>
              <w:t>kg/h）</w:t>
            </w:r>
            <w:r>
              <w:rPr>
                <w:rFonts w:hint="eastAsia"/>
                <w:color w:val="auto"/>
                <w:sz w:val="24"/>
              </w:rPr>
              <w:t>，过滤棉对漆雾（颗粒物）去除效率以90%计，则</w:t>
            </w:r>
            <w:r>
              <w:rPr>
                <w:color w:val="auto"/>
                <w:sz w:val="24"/>
              </w:rPr>
              <w:t>经过滤棉</w:t>
            </w:r>
            <w:r>
              <w:rPr>
                <w:rFonts w:hint="eastAsia"/>
                <w:color w:val="auto"/>
                <w:sz w:val="24"/>
              </w:rPr>
              <w:t>吸附后漆雾（颗粒物）有组织排放量为</w:t>
            </w:r>
            <w:r>
              <w:rPr>
                <w:rFonts w:hint="eastAsia"/>
                <w:b/>
                <w:bCs/>
                <w:color w:val="auto"/>
                <w:sz w:val="24"/>
                <w:u w:val="single"/>
                <w:lang w:val="en-US" w:eastAsia="zh-CN"/>
              </w:rPr>
              <w:t>0.2686</w:t>
            </w:r>
            <w:r>
              <w:rPr>
                <w:rFonts w:hint="eastAsia"/>
                <w:b/>
                <w:bCs/>
                <w:color w:val="auto"/>
                <w:sz w:val="24"/>
                <w:u w:val="single"/>
              </w:rPr>
              <w:t>t/a（</w:t>
            </w:r>
            <w:r>
              <w:rPr>
                <w:rFonts w:hint="eastAsia"/>
                <w:b/>
                <w:bCs/>
                <w:color w:val="auto"/>
                <w:sz w:val="24"/>
                <w:u w:val="single"/>
                <w:lang w:val="en-US" w:eastAsia="zh-CN"/>
              </w:rPr>
              <w:t>0.1119</w:t>
            </w:r>
            <w:r>
              <w:rPr>
                <w:rFonts w:hint="eastAsia"/>
                <w:b/>
                <w:bCs/>
                <w:color w:val="auto"/>
                <w:sz w:val="24"/>
                <w:u w:val="single"/>
              </w:rPr>
              <w:t>kg/h）</w:t>
            </w:r>
            <w:r>
              <w:rPr>
                <w:rFonts w:hint="eastAsia"/>
                <w:color w:val="auto"/>
                <w:sz w:val="24"/>
              </w:rPr>
              <w:t>；无组织排放量为</w:t>
            </w:r>
            <w:r>
              <w:rPr>
                <w:rFonts w:hint="eastAsia"/>
                <w:b/>
                <w:bCs/>
                <w:color w:val="auto"/>
                <w:sz w:val="24"/>
                <w:u w:val="single"/>
                <w:lang w:val="en-US" w:eastAsia="zh-CN"/>
              </w:rPr>
              <w:t>0.1414</w:t>
            </w:r>
            <w:r>
              <w:rPr>
                <w:rFonts w:hint="eastAsia"/>
                <w:b/>
                <w:bCs/>
                <w:color w:val="auto"/>
                <w:sz w:val="24"/>
                <w:u w:val="single"/>
              </w:rPr>
              <w:t>t/a（</w:t>
            </w:r>
            <w:r>
              <w:rPr>
                <w:rFonts w:hint="eastAsia"/>
                <w:b/>
                <w:bCs/>
                <w:color w:val="auto"/>
                <w:sz w:val="24"/>
                <w:u w:val="single"/>
                <w:lang w:val="en-US" w:eastAsia="zh-CN"/>
              </w:rPr>
              <w:t>0.0589</w:t>
            </w:r>
            <w:r>
              <w:rPr>
                <w:rFonts w:hint="eastAsia"/>
                <w:b/>
                <w:bCs/>
                <w:color w:val="auto"/>
                <w:sz w:val="24"/>
                <w:u w:val="single"/>
              </w:rPr>
              <w:t>kg/h）</w:t>
            </w:r>
            <w:r>
              <w:rPr>
                <w:rFonts w:hint="eastAsia"/>
                <w:color w:val="auto"/>
                <w:sz w:val="24"/>
              </w:rPr>
              <w:t>。</w:t>
            </w:r>
          </w:p>
          <w:p w14:paraId="7635CFC4">
            <w:pPr>
              <w:pStyle w:val="7"/>
              <w:spacing w:line="360" w:lineRule="auto"/>
              <w:ind w:firstLine="482" w:firstLineChars="200"/>
              <w:rPr>
                <w:rFonts w:hint="eastAsia"/>
                <w:color w:val="auto"/>
                <w:sz w:val="24"/>
              </w:rPr>
            </w:pPr>
            <w:r>
              <w:rPr>
                <w:rFonts w:hint="eastAsia"/>
                <w:b/>
                <w:bCs/>
                <w:color w:val="auto"/>
                <w:sz w:val="24"/>
                <w:u w:val="single"/>
                <w:lang w:val="en-US" w:eastAsia="zh-CN"/>
              </w:rPr>
              <w:t>调漆、</w:t>
            </w:r>
            <w:r>
              <w:rPr>
                <w:b/>
                <w:bCs/>
                <w:color w:val="auto"/>
                <w:sz w:val="24"/>
                <w:u w:val="single"/>
              </w:rPr>
              <w:t>喷漆</w:t>
            </w:r>
            <w:r>
              <w:rPr>
                <w:rFonts w:hint="eastAsia"/>
                <w:b/>
                <w:bCs/>
                <w:color w:val="auto"/>
                <w:sz w:val="24"/>
                <w:u w:val="single"/>
                <w:lang w:eastAsia="zh-CN"/>
              </w:rPr>
              <w:t>、</w:t>
            </w:r>
            <w:r>
              <w:rPr>
                <w:rFonts w:hint="eastAsia"/>
                <w:b/>
                <w:bCs/>
                <w:color w:val="auto"/>
                <w:sz w:val="24"/>
                <w:u w:val="single"/>
                <w:lang w:val="en-US" w:eastAsia="zh-CN"/>
              </w:rPr>
              <w:t>晾干、修色</w:t>
            </w:r>
            <w:r>
              <w:rPr>
                <w:color w:val="auto"/>
                <w:sz w:val="24"/>
              </w:rPr>
              <w:t>工段非甲烷总烃</w:t>
            </w:r>
            <w:r>
              <w:rPr>
                <w:rFonts w:hint="eastAsia"/>
                <w:color w:val="auto"/>
                <w:sz w:val="24"/>
              </w:rPr>
              <w:t>（不含甲苯+二甲苯）</w:t>
            </w:r>
            <w:r>
              <w:rPr>
                <w:color w:val="auto"/>
                <w:sz w:val="24"/>
              </w:rPr>
              <w:t>产生量为</w:t>
            </w:r>
            <w:r>
              <w:rPr>
                <w:rFonts w:hint="eastAsia"/>
                <w:b/>
                <w:bCs/>
                <w:color w:val="auto"/>
                <w:sz w:val="24"/>
                <w:u w:val="single"/>
                <w:lang w:val="en-US" w:eastAsia="zh-CN"/>
              </w:rPr>
              <w:t>7.8670</w:t>
            </w:r>
            <w:r>
              <w:rPr>
                <w:color w:val="auto"/>
                <w:sz w:val="24"/>
              </w:rPr>
              <w:t>t/a</w:t>
            </w:r>
            <w:r>
              <w:rPr>
                <w:rFonts w:hint="eastAsia"/>
                <w:color w:val="auto"/>
                <w:sz w:val="24"/>
              </w:rPr>
              <w:t>（</w:t>
            </w:r>
            <w:r>
              <w:rPr>
                <w:rFonts w:hint="eastAsia"/>
                <w:b/>
                <w:bCs/>
                <w:color w:val="auto"/>
                <w:sz w:val="24"/>
                <w:u w:val="single"/>
                <w:lang w:val="en-US" w:eastAsia="zh-CN"/>
              </w:rPr>
              <w:t>3.2779</w:t>
            </w:r>
            <w:r>
              <w:rPr>
                <w:rFonts w:hint="eastAsia"/>
                <w:color w:val="auto"/>
                <w:sz w:val="24"/>
              </w:rPr>
              <w:t>kg/h），废气收集效率以95%计，则</w:t>
            </w:r>
            <w:r>
              <w:rPr>
                <w:rFonts w:hint="eastAsia"/>
                <w:b/>
                <w:bCs/>
                <w:color w:val="auto"/>
                <w:sz w:val="24"/>
                <w:u w:val="single"/>
                <w:lang w:val="en-US" w:eastAsia="zh-CN"/>
              </w:rPr>
              <w:t>调漆、</w:t>
            </w:r>
            <w:r>
              <w:rPr>
                <w:b/>
                <w:bCs/>
                <w:color w:val="auto"/>
                <w:sz w:val="24"/>
                <w:u w:val="single"/>
              </w:rPr>
              <w:t>喷漆</w:t>
            </w:r>
            <w:r>
              <w:rPr>
                <w:rFonts w:hint="eastAsia"/>
                <w:b/>
                <w:bCs/>
                <w:color w:val="auto"/>
                <w:sz w:val="24"/>
                <w:u w:val="single"/>
                <w:lang w:eastAsia="zh-CN"/>
              </w:rPr>
              <w:t>、</w:t>
            </w:r>
            <w:r>
              <w:rPr>
                <w:rFonts w:hint="eastAsia"/>
                <w:b/>
                <w:bCs/>
                <w:color w:val="auto"/>
                <w:sz w:val="24"/>
                <w:u w:val="single"/>
                <w:lang w:val="en-US" w:eastAsia="zh-CN"/>
              </w:rPr>
              <w:t>晾干、修色</w:t>
            </w:r>
            <w:r>
              <w:rPr>
                <w:rFonts w:hint="eastAsia"/>
                <w:color w:val="auto"/>
                <w:sz w:val="24"/>
              </w:rPr>
              <w:t>废气污染物非甲烷总烃收集量为</w:t>
            </w:r>
            <w:r>
              <w:rPr>
                <w:rFonts w:hint="eastAsia"/>
                <w:b/>
                <w:bCs/>
                <w:color w:val="auto"/>
                <w:sz w:val="24"/>
                <w:u w:val="single"/>
                <w:lang w:val="en-US" w:eastAsia="zh-CN"/>
              </w:rPr>
              <w:t>7.4737</w:t>
            </w:r>
            <w:r>
              <w:rPr>
                <w:color w:val="auto"/>
                <w:sz w:val="24"/>
              </w:rPr>
              <w:t>t/a</w:t>
            </w:r>
            <w:r>
              <w:rPr>
                <w:rFonts w:hint="eastAsia"/>
                <w:color w:val="auto"/>
                <w:sz w:val="24"/>
              </w:rPr>
              <w:t>（</w:t>
            </w:r>
            <w:r>
              <w:rPr>
                <w:rFonts w:hint="eastAsia"/>
                <w:b/>
                <w:bCs/>
                <w:color w:val="auto"/>
                <w:sz w:val="24"/>
                <w:u w:val="single"/>
                <w:lang w:val="en-US" w:eastAsia="zh-CN"/>
              </w:rPr>
              <w:t>3.1140</w:t>
            </w:r>
            <w:r>
              <w:rPr>
                <w:rFonts w:hint="eastAsia"/>
                <w:color w:val="auto"/>
                <w:sz w:val="24"/>
              </w:rPr>
              <w:t>kg/h），活性炭吸附效率以</w:t>
            </w:r>
            <w:r>
              <w:rPr>
                <w:rFonts w:hint="eastAsia"/>
                <w:color w:val="auto"/>
                <w:sz w:val="24"/>
                <w:lang w:val="en-US" w:eastAsia="zh-CN"/>
              </w:rPr>
              <w:t>90</w:t>
            </w:r>
            <w:r>
              <w:rPr>
                <w:rFonts w:hint="eastAsia"/>
                <w:color w:val="auto"/>
                <w:sz w:val="24"/>
              </w:rPr>
              <w:t>%计，则</w:t>
            </w:r>
            <w:r>
              <w:rPr>
                <w:rFonts w:hint="eastAsia"/>
                <w:b/>
                <w:bCs/>
                <w:color w:val="auto"/>
                <w:sz w:val="24"/>
                <w:u w:val="single"/>
                <w:lang w:val="en-US" w:eastAsia="zh-CN"/>
              </w:rPr>
              <w:t>调漆、</w:t>
            </w:r>
            <w:r>
              <w:rPr>
                <w:b/>
                <w:bCs/>
                <w:color w:val="auto"/>
                <w:sz w:val="24"/>
                <w:u w:val="single"/>
              </w:rPr>
              <w:t>喷漆</w:t>
            </w:r>
            <w:r>
              <w:rPr>
                <w:rFonts w:hint="eastAsia"/>
                <w:b/>
                <w:bCs/>
                <w:color w:val="auto"/>
                <w:sz w:val="24"/>
                <w:u w:val="single"/>
                <w:lang w:eastAsia="zh-CN"/>
              </w:rPr>
              <w:t>、</w:t>
            </w:r>
            <w:r>
              <w:rPr>
                <w:rFonts w:hint="eastAsia"/>
                <w:b/>
                <w:bCs/>
                <w:color w:val="auto"/>
                <w:sz w:val="24"/>
                <w:u w:val="single"/>
                <w:lang w:val="en-US" w:eastAsia="zh-CN"/>
              </w:rPr>
              <w:t>晾干、修色</w:t>
            </w:r>
            <w:r>
              <w:rPr>
                <w:rFonts w:hint="eastAsia"/>
                <w:color w:val="auto"/>
                <w:sz w:val="24"/>
              </w:rPr>
              <w:t>废气经活性炭吸附处理后非甲烷总烃（不含甲苯+二甲苯）</w:t>
            </w:r>
            <w:r>
              <w:rPr>
                <w:color w:val="auto"/>
                <w:sz w:val="24"/>
              </w:rPr>
              <w:t>排放量为</w:t>
            </w:r>
            <w:r>
              <w:rPr>
                <w:rFonts w:hint="eastAsia"/>
                <w:b/>
                <w:bCs/>
                <w:color w:val="auto"/>
                <w:sz w:val="24"/>
                <w:u w:val="single"/>
                <w:lang w:val="en-US" w:eastAsia="zh-CN"/>
              </w:rPr>
              <w:t>0.7473</w:t>
            </w:r>
            <w:r>
              <w:rPr>
                <w:b/>
                <w:bCs/>
                <w:color w:val="auto"/>
                <w:sz w:val="24"/>
                <w:u w:val="single"/>
              </w:rPr>
              <w:t>t/a</w:t>
            </w:r>
            <w:r>
              <w:rPr>
                <w:rFonts w:hint="eastAsia"/>
                <w:b/>
                <w:bCs/>
                <w:color w:val="auto"/>
                <w:sz w:val="24"/>
                <w:u w:val="single"/>
              </w:rPr>
              <w:t>（</w:t>
            </w:r>
            <w:r>
              <w:rPr>
                <w:rFonts w:hint="eastAsia"/>
                <w:b/>
                <w:bCs/>
                <w:color w:val="auto"/>
                <w:sz w:val="24"/>
                <w:u w:val="single"/>
                <w:lang w:val="en-US" w:eastAsia="zh-CN"/>
              </w:rPr>
              <w:t>0.3114</w:t>
            </w:r>
            <w:r>
              <w:rPr>
                <w:rFonts w:hint="eastAsia"/>
                <w:b/>
                <w:bCs/>
                <w:color w:val="auto"/>
                <w:sz w:val="24"/>
                <w:u w:val="single"/>
              </w:rPr>
              <w:t>kg/h）</w:t>
            </w:r>
            <w:r>
              <w:rPr>
                <w:rFonts w:hint="eastAsia"/>
                <w:color w:val="auto"/>
                <w:sz w:val="24"/>
              </w:rPr>
              <w:t>；无组织排放量为</w:t>
            </w:r>
            <w:r>
              <w:rPr>
                <w:rFonts w:hint="eastAsia"/>
                <w:b/>
                <w:bCs/>
                <w:color w:val="auto"/>
                <w:sz w:val="24"/>
                <w:u w:val="single"/>
                <w:lang w:val="en-US" w:eastAsia="zh-CN"/>
              </w:rPr>
              <w:t>0.3934</w:t>
            </w:r>
            <w:r>
              <w:rPr>
                <w:b/>
                <w:bCs/>
                <w:color w:val="auto"/>
                <w:sz w:val="24"/>
                <w:u w:val="single"/>
              </w:rPr>
              <w:t>t/a</w:t>
            </w:r>
            <w:r>
              <w:rPr>
                <w:rFonts w:hint="eastAsia"/>
                <w:b/>
                <w:bCs/>
                <w:color w:val="auto"/>
                <w:sz w:val="24"/>
                <w:u w:val="single"/>
              </w:rPr>
              <w:t>（</w:t>
            </w:r>
            <w:r>
              <w:rPr>
                <w:rFonts w:hint="eastAsia"/>
                <w:b/>
                <w:bCs/>
                <w:color w:val="auto"/>
                <w:sz w:val="24"/>
                <w:u w:val="single"/>
                <w:lang w:val="en-US" w:eastAsia="zh-CN"/>
              </w:rPr>
              <w:t>0.1639</w:t>
            </w:r>
            <w:r>
              <w:rPr>
                <w:rFonts w:hint="eastAsia"/>
                <w:b/>
                <w:bCs/>
                <w:color w:val="auto"/>
                <w:sz w:val="24"/>
                <w:u w:val="single"/>
              </w:rPr>
              <w:t>kg/h）</w:t>
            </w:r>
            <w:r>
              <w:rPr>
                <w:rFonts w:hint="eastAsia"/>
                <w:color w:val="auto"/>
                <w:sz w:val="24"/>
              </w:rPr>
              <w:t>。</w:t>
            </w:r>
          </w:p>
          <w:p w14:paraId="711FE2EC">
            <w:pPr>
              <w:pStyle w:val="7"/>
              <w:spacing w:line="360" w:lineRule="auto"/>
              <w:ind w:firstLine="482" w:firstLineChars="200"/>
              <w:rPr>
                <w:color w:val="auto"/>
                <w:sz w:val="24"/>
              </w:rPr>
            </w:pPr>
            <w:r>
              <w:rPr>
                <w:rFonts w:hint="eastAsia"/>
                <w:b/>
                <w:bCs/>
                <w:color w:val="auto"/>
                <w:sz w:val="24"/>
                <w:u w:val="single"/>
                <w:lang w:val="en-US" w:eastAsia="zh-CN"/>
              </w:rPr>
              <w:t>调漆、</w:t>
            </w:r>
            <w:r>
              <w:rPr>
                <w:b/>
                <w:bCs/>
                <w:color w:val="auto"/>
                <w:sz w:val="24"/>
                <w:u w:val="single"/>
              </w:rPr>
              <w:t>喷漆</w:t>
            </w:r>
            <w:r>
              <w:rPr>
                <w:rFonts w:hint="eastAsia"/>
                <w:b/>
                <w:bCs/>
                <w:color w:val="auto"/>
                <w:sz w:val="24"/>
                <w:u w:val="single"/>
                <w:lang w:eastAsia="zh-CN"/>
              </w:rPr>
              <w:t>、</w:t>
            </w:r>
            <w:r>
              <w:rPr>
                <w:rFonts w:hint="eastAsia"/>
                <w:b/>
                <w:bCs/>
                <w:color w:val="auto"/>
                <w:sz w:val="24"/>
                <w:u w:val="single"/>
                <w:lang w:val="en-US" w:eastAsia="zh-CN"/>
              </w:rPr>
              <w:t>晾干、修色</w:t>
            </w:r>
            <w:r>
              <w:rPr>
                <w:color w:val="auto"/>
                <w:sz w:val="24"/>
              </w:rPr>
              <w:t>工段</w:t>
            </w:r>
            <w:r>
              <w:rPr>
                <w:rFonts w:hint="eastAsia"/>
                <w:color w:val="auto"/>
                <w:sz w:val="24"/>
              </w:rPr>
              <w:t>甲苯+二甲苯</w:t>
            </w:r>
            <w:r>
              <w:rPr>
                <w:color w:val="auto"/>
                <w:sz w:val="24"/>
              </w:rPr>
              <w:t>产生量为</w:t>
            </w:r>
            <w:r>
              <w:rPr>
                <w:rFonts w:hint="eastAsia"/>
                <w:b/>
                <w:bCs/>
                <w:color w:val="auto"/>
                <w:sz w:val="24"/>
                <w:u w:val="single"/>
                <w:lang w:val="en-US" w:eastAsia="zh-CN"/>
              </w:rPr>
              <w:t>1.7053</w:t>
            </w:r>
            <w:r>
              <w:rPr>
                <w:color w:val="auto"/>
                <w:sz w:val="24"/>
              </w:rPr>
              <w:t>t/a</w:t>
            </w:r>
            <w:r>
              <w:rPr>
                <w:rFonts w:hint="eastAsia"/>
                <w:color w:val="auto"/>
                <w:sz w:val="24"/>
              </w:rPr>
              <w:t>（</w:t>
            </w:r>
            <w:r>
              <w:rPr>
                <w:rFonts w:hint="eastAsia"/>
                <w:b/>
                <w:bCs/>
                <w:color w:val="auto"/>
                <w:sz w:val="24"/>
                <w:u w:val="single"/>
                <w:lang w:val="en-US" w:eastAsia="zh-CN"/>
              </w:rPr>
              <w:t>0.7105</w:t>
            </w:r>
            <w:r>
              <w:rPr>
                <w:rFonts w:hint="eastAsia"/>
                <w:color w:val="auto"/>
                <w:sz w:val="24"/>
              </w:rPr>
              <w:t>kg/h），废气收集效率以95%计，则</w:t>
            </w:r>
            <w:r>
              <w:rPr>
                <w:rFonts w:hint="eastAsia"/>
                <w:b/>
                <w:bCs/>
                <w:color w:val="auto"/>
                <w:sz w:val="24"/>
                <w:u w:val="single"/>
                <w:lang w:val="en-US" w:eastAsia="zh-CN"/>
              </w:rPr>
              <w:t>调漆、</w:t>
            </w:r>
            <w:r>
              <w:rPr>
                <w:b/>
                <w:bCs/>
                <w:color w:val="auto"/>
                <w:sz w:val="24"/>
                <w:u w:val="single"/>
              </w:rPr>
              <w:t>喷漆</w:t>
            </w:r>
            <w:r>
              <w:rPr>
                <w:rFonts w:hint="eastAsia"/>
                <w:b/>
                <w:bCs/>
                <w:color w:val="auto"/>
                <w:sz w:val="24"/>
                <w:u w:val="single"/>
                <w:lang w:eastAsia="zh-CN"/>
              </w:rPr>
              <w:t>、</w:t>
            </w:r>
            <w:r>
              <w:rPr>
                <w:rFonts w:hint="eastAsia"/>
                <w:b/>
                <w:bCs/>
                <w:color w:val="auto"/>
                <w:sz w:val="24"/>
                <w:u w:val="single"/>
                <w:lang w:val="en-US" w:eastAsia="zh-CN"/>
              </w:rPr>
              <w:t>晾干、修色</w:t>
            </w:r>
            <w:r>
              <w:rPr>
                <w:rFonts w:hint="eastAsia"/>
                <w:color w:val="auto"/>
                <w:sz w:val="24"/>
              </w:rPr>
              <w:t>废气污染物二甲苯收集量为</w:t>
            </w:r>
            <w:r>
              <w:rPr>
                <w:rFonts w:hint="eastAsia"/>
                <w:b/>
                <w:bCs/>
                <w:color w:val="auto"/>
                <w:sz w:val="24"/>
                <w:highlight w:val="none"/>
                <w:u w:val="single"/>
                <w:lang w:val="en-US" w:eastAsia="zh-CN"/>
              </w:rPr>
              <w:t>1.6200</w:t>
            </w:r>
            <w:r>
              <w:rPr>
                <w:b/>
                <w:bCs/>
                <w:color w:val="auto"/>
                <w:sz w:val="24"/>
                <w:highlight w:val="none"/>
                <w:u w:val="single"/>
              </w:rPr>
              <w:t>t/a</w:t>
            </w:r>
            <w:r>
              <w:rPr>
                <w:rFonts w:hint="eastAsia"/>
                <w:b/>
                <w:bCs/>
                <w:color w:val="auto"/>
                <w:sz w:val="24"/>
                <w:highlight w:val="none"/>
                <w:u w:val="single"/>
              </w:rPr>
              <w:t>（</w:t>
            </w:r>
            <w:r>
              <w:rPr>
                <w:rFonts w:hint="eastAsia"/>
                <w:b/>
                <w:bCs/>
                <w:color w:val="auto"/>
                <w:sz w:val="24"/>
                <w:highlight w:val="none"/>
                <w:u w:val="single"/>
                <w:lang w:val="en-US" w:eastAsia="zh-CN"/>
              </w:rPr>
              <w:t>0.6750</w:t>
            </w:r>
            <w:r>
              <w:rPr>
                <w:rFonts w:hint="eastAsia"/>
                <w:b/>
                <w:bCs/>
                <w:color w:val="auto"/>
                <w:sz w:val="24"/>
                <w:highlight w:val="none"/>
                <w:u w:val="single"/>
              </w:rPr>
              <w:t>kg/h）</w:t>
            </w:r>
            <w:r>
              <w:rPr>
                <w:rFonts w:hint="eastAsia"/>
                <w:color w:val="auto"/>
                <w:sz w:val="24"/>
              </w:rPr>
              <w:t>，活性炭吸附效率以</w:t>
            </w:r>
            <w:r>
              <w:rPr>
                <w:rFonts w:hint="eastAsia"/>
                <w:color w:val="auto"/>
                <w:sz w:val="24"/>
                <w:lang w:val="en-US" w:eastAsia="zh-CN"/>
              </w:rPr>
              <w:t>90</w:t>
            </w:r>
            <w:r>
              <w:rPr>
                <w:rFonts w:hint="eastAsia"/>
                <w:color w:val="auto"/>
                <w:sz w:val="24"/>
              </w:rPr>
              <w:t>%计，则</w:t>
            </w:r>
            <w:r>
              <w:rPr>
                <w:rFonts w:hint="eastAsia"/>
                <w:b/>
                <w:bCs/>
                <w:color w:val="auto"/>
                <w:sz w:val="24"/>
                <w:u w:val="single"/>
                <w:lang w:val="en-US" w:eastAsia="zh-CN"/>
              </w:rPr>
              <w:t>调漆、</w:t>
            </w:r>
            <w:r>
              <w:rPr>
                <w:b/>
                <w:bCs/>
                <w:color w:val="auto"/>
                <w:sz w:val="24"/>
                <w:u w:val="single"/>
              </w:rPr>
              <w:t>喷漆</w:t>
            </w:r>
            <w:r>
              <w:rPr>
                <w:rFonts w:hint="eastAsia"/>
                <w:b/>
                <w:bCs/>
                <w:color w:val="auto"/>
                <w:sz w:val="24"/>
                <w:u w:val="single"/>
                <w:lang w:eastAsia="zh-CN"/>
              </w:rPr>
              <w:t>、</w:t>
            </w:r>
            <w:r>
              <w:rPr>
                <w:rFonts w:hint="eastAsia"/>
                <w:b/>
                <w:bCs/>
                <w:color w:val="auto"/>
                <w:sz w:val="24"/>
                <w:u w:val="single"/>
                <w:lang w:val="en-US" w:eastAsia="zh-CN"/>
              </w:rPr>
              <w:t>晾干、修色</w:t>
            </w:r>
            <w:r>
              <w:rPr>
                <w:rFonts w:hint="eastAsia"/>
                <w:color w:val="auto"/>
                <w:sz w:val="24"/>
              </w:rPr>
              <w:t>废气经</w:t>
            </w:r>
            <w:r>
              <w:rPr>
                <w:color w:val="auto"/>
                <w:sz w:val="24"/>
              </w:rPr>
              <w:t>活性炭吸附</w:t>
            </w:r>
            <w:r>
              <w:rPr>
                <w:rFonts w:hint="eastAsia"/>
                <w:color w:val="auto"/>
                <w:sz w:val="24"/>
              </w:rPr>
              <w:t>处理后甲苯+二甲苯</w:t>
            </w:r>
            <w:r>
              <w:rPr>
                <w:color w:val="auto"/>
                <w:sz w:val="24"/>
              </w:rPr>
              <w:t>排放量为</w:t>
            </w:r>
            <w:r>
              <w:rPr>
                <w:rFonts w:hint="eastAsia"/>
                <w:b/>
                <w:bCs/>
                <w:color w:val="auto"/>
                <w:sz w:val="24"/>
                <w:u w:val="single"/>
                <w:lang w:val="en-US" w:eastAsia="zh-CN"/>
              </w:rPr>
              <w:t>0.1620</w:t>
            </w:r>
            <w:r>
              <w:rPr>
                <w:b/>
                <w:bCs/>
                <w:color w:val="auto"/>
                <w:sz w:val="24"/>
                <w:u w:val="single"/>
              </w:rPr>
              <w:t>t/a</w:t>
            </w:r>
            <w:r>
              <w:rPr>
                <w:rFonts w:hint="eastAsia"/>
                <w:b/>
                <w:bCs/>
                <w:color w:val="auto"/>
                <w:sz w:val="24"/>
                <w:u w:val="single"/>
              </w:rPr>
              <w:t>（</w:t>
            </w:r>
            <w:r>
              <w:rPr>
                <w:rFonts w:hint="eastAsia"/>
                <w:b/>
                <w:bCs/>
                <w:color w:val="auto"/>
                <w:sz w:val="24"/>
                <w:u w:val="single"/>
                <w:lang w:val="en-US" w:eastAsia="zh-CN"/>
              </w:rPr>
              <w:t>0.0675</w:t>
            </w:r>
            <w:r>
              <w:rPr>
                <w:rFonts w:hint="eastAsia"/>
                <w:b/>
                <w:bCs/>
                <w:color w:val="auto"/>
                <w:sz w:val="24"/>
                <w:u w:val="single"/>
              </w:rPr>
              <w:t>kg/h）</w:t>
            </w:r>
            <w:r>
              <w:rPr>
                <w:rFonts w:hint="eastAsia"/>
                <w:color w:val="auto"/>
                <w:sz w:val="24"/>
              </w:rPr>
              <w:t>；无组织排放量为</w:t>
            </w:r>
            <w:r>
              <w:rPr>
                <w:rFonts w:hint="eastAsia"/>
                <w:b/>
                <w:bCs/>
                <w:color w:val="auto"/>
                <w:sz w:val="24"/>
                <w:u w:val="single"/>
                <w:lang w:val="en-US" w:eastAsia="zh-CN"/>
              </w:rPr>
              <w:t>0.0853</w:t>
            </w:r>
            <w:r>
              <w:rPr>
                <w:b/>
                <w:bCs/>
                <w:color w:val="auto"/>
                <w:sz w:val="24"/>
                <w:u w:val="single"/>
              </w:rPr>
              <w:t>t/a</w:t>
            </w:r>
            <w:r>
              <w:rPr>
                <w:rFonts w:hint="eastAsia"/>
                <w:b/>
                <w:bCs/>
                <w:color w:val="auto"/>
                <w:sz w:val="24"/>
                <w:u w:val="single"/>
              </w:rPr>
              <w:t>（</w:t>
            </w:r>
            <w:r>
              <w:rPr>
                <w:rFonts w:hint="eastAsia"/>
                <w:b/>
                <w:bCs/>
                <w:color w:val="auto"/>
                <w:sz w:val="24"/>
                <w:u w:val="single"/>
                <w:lang w:val="en-US" w:eastAsia="zh-CN"/>
              </w:rPr>
              <w:t>0.0355</w:t>
            </w:r>
            <w:r>
              <w:rPr>
                <w:rFonts w:hint="eastAsia"/>
                <w:b/>
                <w:bCs/>
                <w:color w:val="auto"/>
                <w:sz w:val="24"/>
                <w:u w:val="single"/>
              </w:rPr>
              <w:t>kg/h）</w:t>
            </w:r>
            <w:r>
              <w:rPr>
                <w:color w:val="auto"/>
                <w:sz w:val="24"/>
              </w:rPr>
              <w:t>。</w:t>
            </w:r>
          </w:p>
          <w:p w14:paraId="26FA8BB4">
            <w:pPr>
              <w:pStyle w:val="7"/>
              <w:spacing w:line="360" w:lineRule="auto"/>
              <w:ind w:firstLine="480" w:firstLineChars="200"/>
              <w:rPr>
                <w:color w:val="auto"/>
                <w:sz w:val="24"/>
              </w:rPr>
            </w:pPr>
            <w:r>
              <w:rPr>
                <w:rFonts w:hint="eastAsia"/>
                <w:color w:val="auto"/>
                <w:sz w:val="24"/>
              </w:rPr>
              <w:t>第一种情况污染物产生及排放情况见表3</w:t>
            </w:r>
            <w:r>
              <w:rPr>
                <w:rFonts w:hint="eastAsia"/>
                <w:color w:val="auto"/>
                <w:sz w:val="24"/>
                <w:lang w:val="en-US" w:eastAsia="zh-CN"/>
              </w:rPr>
              <w:t>1</w:t>
            </w:r>
            <w:r>
              <w:rPr>
                <w:rFonts w:hint="eastAsia"/>
                <w:color w:val="auto"/>
                <w:sz w:val="24"/>
              </w:rPr>
              <w:t>。</w:t>
            </w:r>
          </w:p>
          <w:p w14:paraId="546AF5EF">
            <w:pPr>
              <w:pStyle w:val="46"/>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eastAsia" w:ascii="Times New Roman" w:hAnsi="Arial Unicode MS" w:eastAsia="宋体" w:cs="Times New Roman"/>
                <w:b/>
                <w:color w:val="auto"/>
                <w:kern w:val="2"/>
                <w:sz w:val="24"/>
                <w:szCs w:val="24"/>
                <w:lang w:val="en-US" w:eastAsia="zh-CN" w:bidi="ar-SA"/>
              </w:rPr>
            </w:pPr>
            <w:r>
              <w:rPr>
                <w:rFonts w:hint="eastAsia" w:ascii="Times New Roman" w:hAnsi="Arial Unicode MS" w:eastAsia="宋体" w:cs="Times New Roman"/>
                <w:b/>
                <w:color w:val="auto"/>
                <w:kern w:val="2"/>
                <w:sz w:val="24"/>
                <w:szCs w:val="24"/>
                <w:lang w:val="en-US" w:eastAsia="zh-CN" w:bidi="ar-SA"/>
              </w:rPr>
              <w:t>吸附阶段污染产排情况一览表         单位：t/a</w:t>
            </w:r>
          </w:p>
          <w:tbl>
            <w:tblPr>
              <w:tblStyle w:val="25"/>
              <w:tblW w:w="86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7"/>
              <w:gridCol w:w="1687"/>
              <w:gridCol w:w="1398"/>
              <w:gridCol w:w="1272"/>
            </w:tblGrid>
            <w:tr w14:paraId="50C17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247" w:type="dxa"/>
                  <w:vMerge w:val="restart"/>
                  <w:tcBorders>
                    <w:tl2br w:val="single" w:color="auto" w:sz="4" w:space="0"/>
                  </w:tcBorders>
                  <w:vAlign w:val="center"/>
                </w:tcPr>
                <w:p w14:paraId="4F314EEE">
                  <w:pPr>
                    <w:snapToGrid w:val="0"/>
                    <w:jc w:val="right"/>
                    <w:rPr>
                      <w:color w:val="auto"/>
                      <w:sz w:val="21"/>
                      <w:szCs w:val="21"/>
                    </w:rPr>
                  </w:pPr>
                  <w:r>
                    <w:rPr>
                      <w:rFonts w:hint="eastAsia"/>
                      <w:color w:val="auto"/>
                      <w:sz w:val="21"/>
                      <w:szCs w:val="21"/>
                    </w:rPr>
                    <w:t>污染物</w:t>
                  </w:r>
                </w:p>
                <w:p w14:paraId="5F4B9A98">
                  <w:pPr>
                    <w:snapToGrid w:val="0"/>
                    <w:jc w:val="left"/>
                    <w:rPr>
                      <w:color w:val="auto"/>
                      <w:sz w:val="21"/>
                      <w:szCs w:val="21"/>
                    </w:rPr>
                  </w:pPr>
                  <w:r>
                    <w:rPr>
                      <w:rFonts w:hint="eastAsia"/>
                      <w:color w:val="auto"/>
                      <w:sz w:val="21"/>
                      <w:szCs w:val="21"/>
                    </w:rPr>
                    <w:t>排放量</w:t>
                  </w:r>
                </w:p>
              </w:tc>
              <w:tc>
                <w:tcPr>
                  <w:tcW w:w="1687" w:type="dxa"/>
                  <w:vMerge w:val="restart"/>
                  <w:vAlign w:val="center"/>
                </w:tcPr>
                <w:p w14:paraId="4A61680D">
                  <w:pPr>
                    <w:snapToGrid w:val="0"/>
                    <w:jc w:val="center"/>
                    <w:rPr>
                      <w:rFonts w:hint="eastAsia"/>
                      <w:color w:val="auto"/>
                      <w:sz w:val="21"/>
                      <w:szCs w:val="21"/>
                    </w:rPr>
                  </w:pPr>
                  <w:r>
                    <w:rPr>
                      <w:rFonts w:hint="eastAsia"/>
                      <w:color w:val="auto"/>
                      <w:sz w:val="21"/>
                      <w:szCs w:val="21"/>
                    </w:rPr>
                    <w:t>漆雾（颗粒物）</w:t>
                  </w:r>
                </w:p>
              </w:tc>
              <w:tc>
                <w:tcPr>
                  <w:tcW w:w="1398" w:type="dxa"/>
                  <w:vMerge w:val="restart"/>
                  <w:vAlign w:val="center"/>
                </w:tcPr>
                <w:p w14:paraId="7CD617B5">
                  <w:pPr>
                    <w:snapToGrid w:val="0"/>
                    <w:jc w:val="center"/>
                    <w:rPr>
                      <w:rFonts w:hint="eastAsia"/>
                      <w:color w:val="auto"/>
                      <w:sz w:val="21"/>
                      <w:szCs w:val="21"/>
                    </w:rPr>
                  </w:pPr>
                  <w:r>
                    <w:rPr>
                      <w:rFonts w:hint="eastAsia"/>
                      <w:color w:val="auto"/>
                      <w:sz w:val="21"/>
                      <w:szCs w:val="21"/>
                    </w:rPr>
                    <w:t>非甲烷总烃（不含甲苯+二甲苯）</w:t>
                  </w:r>
                </w:p>
              </w:tc>
              <w:tc>
                <w:tcPr>
                  <w:tcW w:w="1272" w:type="dxa"/>
                  <w:vMerge w:val="restart"/>
                  <w:vAlign w:val="center"/>
                </w:tcPr>
                <w:p w14:paraId="379A309B">
                  <w:pPr>
                    <w:snapToGrid w:val="0"/>
                    <w:jc w:val="center"/>
                    <w:rPr>
                      <w:rFonts w:hint="eastAsia"/>
                      <w:color w:val="auto"/>
                      <w:sz w:val="21"/>
                      <w:szCs w:val="21"/>
                    </w:rPr>
                  </w:pPr>
                  <w:r>
                    <w:rPr>
                      <w:rFonts w:hint="eastAsia"/>
                      <w:color w:val="auto"/>
                      <w:sz w:val="21"/>
                      <w:szCs w:val="21"/>
                      <w:lang w:val="en-US" w:eastAsia="zh-CN"/>
                    </w:rPr>
                    <w:t>甲苯+</w:t>
                  </w:r>
                  <w:r>
                    <w:rPr>
                      <w:rFonts w:hint="eastAsia"/>
                      <w:color w:val="auto"/>
                      <w:sz w:val="21"/>
                      <w:szCs w:val="21"/>
                    </w:rPr>
                    <w:t>二甲苯</w:t>
                  </w:r>
                </w:p>
              </w:tc>
            </w:tr>
            <w:tr w14:paraId="3CB4B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247" w:type="dxa"/>
                  <w:vMerge w:val="continue"/>
                  <w:tcBorders>
                    <w:tl2br w:val="single" w:color="auto" w:sz="4" w:space="0"/>
                  </w:tcBorders>
                  <w:vAlign w:val="center"/>
                </w:tcPr>
                <w:p w14:paraId="1C48857F">
                  <w:pPr>
                    <w:snapToGrid w:val="0"/>
                    <w:jc w:val="center"/>
                    <w:rPr>
                      <w:color w:val="auto"/>
                      <w:sz w:val="21"/>
                      <w:szCs w:val="21"/>
                    </w:rPr>
                  </w:pPr>
                </w:p>
              </w:tc>
              <w:tc>
                <w:tcPr>
                  <w:tcW w:w="1687" w:type="dxa"/>
                  <w:vMerge w:val="continue"/>
                  <w:vAlign w:val="center"/>
                </w:tcPr>
                <w:p w14:paraId="3B025BA4">
                  <w:pPr>
                    <w:snapToGrid w:val="0"/>
                    <w:jc w:val="center"/>
                    <w:rPr>
                      <w:rFonts w:hint="eastAsia"/>
                      <w:color w:val="auto"/>
                      <w:sz w:val="21"/>
                      <w:szCs w:val="21"/>
                    </w:rPr>
                  </w:pPr>
                </w:p>
              </w:tc>
              <w:tc>
                <w:tcPr>
                  <w:tcW w:w="1398" w:type="dxa"/>
                  <w:vMerge w:val="continue"/>
                  <w:vAlign w:val="center"/>
                </w:tcPr>
                <w:p w14:paraId="55CEEFD1">
                  <w:pPr>
                    <w:snapToGrid w:val="0"/>
                    <w:jc w:val="center"/>
                    <w:rPr>
                      <w:rFonts w:hint="eastAsia"/>
                      <w:color w:val="auto"/>
                      <w:sz w:val="21"/>
                      <w:szCs w:val="21"/>
                    </w:rPr>
                  </w:pPr>
                </w:p>
              </w:tc>
              <w:tc>
                <w:tcPr>
                  <w:tcW w:w="1272" w:type="dxa"/>
                  <w:vMerge w:val="continue"/>
                  <w:vAlign w:val="center"/>
                </w:tcPr>
                <w:p w14:paraId="04E9A018">
                  <w:pPr>
                    <w:snapToGrid w:val="0"/>
                    <w:jc w:val="center"/>
                    <w:rPr>
                      <w:rFonts w:hint="eastAsia"/>
                      <w:color w:val="auto"/>
                      <w:sz w:val="21"/>
                      <w:szCs w:val="21"/>
                    </w:rPr>
                  </w:pPr>
                </w:p>
              </w:tc>
            </w:tr>
            <w:tr w14:paraId="5F274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4247" w:type="dxa"/>
                  <w:vAlign w:val="center"/>
                </w:tcPr>
                <w:p w14:paraId="2CF61DF6">
                  <w:pPr>
                    <w:snapToGrid w:val="0"/>
                    <w:jc w:val="center"/>
                    <w:rPr>
                      <w:rFonts w:hint="eastAsia"/>
                      <w:color w:val="auto"/>
                      <w:sz w:val="21"/>
                      <w:szCs w:val="21"/>
                    </w:rPr>
                  </w:pPr>
                  <w:r>
                    <w:rPr>
                      <w:rFonts w:hint="eastAsia"/>
                      <w:color w:val="auto"/>
                      <w:sz w:val="21"/>
                      <w:szCs w:val="21"/>
                    </w:rPr>
                    <w:t>总产生量</w:t>
                  </w:r>
                </w:p>
              </w:tc>
              <w:tc>
                <w:tcPr>
                  <w:tcW w:w="1687" w:type="dxa"/>
                  <w:vAlign w:val="center"/>
                </w:tcPr>
                <w:p w14:paraId="469D7E0F">
                  <w:pPr>
                    <w:snapToGrid w:val="0"/>
                    <w:jc w:val="center"/>
                    <w:rPr>
                      <w:rFonts w:hint="default"/>
                      <w:b/>
                      <w:bCs/>
                      <w:color w:val="auto"/>
                      <w:sz w:val="21"/>
                      <w:szCs w:val="21"/>
                      <w:u w:val="single"/>
                      <w:lang w:val="en-US"/>
                    </w:rPr>
                  </w:pPr>
                  <w:r>
                    <w:rPr>
                      <w:rFonts w:hint="eastAsia"/>
                      <w:b/>
                      <w:bCs/>
                      <w:color w:val="auto"/>
                      <w:sz w:val="21"/>
                      <w:szCs w:val="21"/>
                      <w:u w:val="single"/>
                      <w:lang w:val="en-US" w:eastAsia="zh-CN"/>
                    </w:rPr>
                    <w:t>2.8272</w:t>
                  </w:r>
                </w:p>
              </w:tc>
              <w:tc>
                <w:tcPr>
                  <w:tcW w:w="1398" w:type="dxa"/>
                  <w:vAlign w:val="center"/>
                </w:tcPr>
                <w:p w14:paraId="5500A631">
                  <w:pPr>
                    <w:snapToGrid w:val="0"/>
                    <w:jc w:val="center"/>
                    <w:rPr>
                      <w:rFonts w:hint="default"/>
                      <w:b/>
                      <w:bCs/>
                      <w:color w:val="auto"/>
                      <w:sz w:val="21"/>
                      <w:szCs w:val="21"/>
                      <w:u w:val="single"/>
                      <w:lang w:val="en-US"/>
                    </w:rPr>
                  </w:pPr>
                  <w:r>
                    <w:rPr>
                      <w:rFonts w:hint="eastAsia"/>
                      <w:b/>
                      <w:bCs/>
                      <w:color w:val="auto"/>
                      <w:sz w:val="21"/>
                      <w:szCs w:val="21"/>
                      <w:u w:val="single"/>
                      <w:lang w:val="en-US" w:eastAsia="zh-CN"/>
                    </w:rPr>
                    <w:t>7.8670</w:t>
                  </w:r>
                </w:p>
              </w:tc>
              <w:tc>
                <w:tcPr>
                  <w:tcW w:w="1272" w:type="dxa"/>
                  <w:vAlign w:val="center"/>
                </w:tcPr>
                <w:p w14:paraId="4EBFA472">
                  <w:pPr>
                    <w:snapToGrid w:val="0"/>
                    <w:jc w:val="center"/>
                    <w:rPr>
                      <w:rFonts w:hint="default"/>
                      <w:b/>
                      <w:bCs/>
                      <w:color w:val="auto"/>
                      <w:sz w:val="21"/>
                      <w:szCs w:val="21"/>
                      <w:u w:val="single"/>
                      <w:lang w:val="en-US"/>
                    </w:rPr>
                  </w:pPr>
                  <w:r>
                    <w:rPr>
                      <w:rFonts w:hint="eastAsia"/>
                      <w:b/>
                      <w:bCs/>
                      <w:color w:val="auto"/>
                      <w:sz w:val="21"/>
                      <w:szCs w:val="21"/>
                      <w:u w:val="single"/>
                      <w:lang w:val="en-US" w:eastAsia="zh-CN"/>
                    </w:rPr>
                    <w:t>1.7053</w:t>
                  </w:r>
                </w:p>
              </w:tc>
            </w:tr>
            <w:tr w14:paraId="52DEF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4247" w:type="dxa"/>
                  <w:vAlign w:val="center"/>
                </w:tcPr>
                <w:p w14:paraId="33A91B42">
                  <w:pPr>
                    <w:snapToGrid w:val="0"/>
                    <w:jc w:val="center"/>
                    <w:rPr>
                      <w:color w:val="auto"/>
                      <w:sz w:val="21"/>
                      <w:szCs w:val="21"/>
                    </w:rPr>
                  </w:pPr>
                  <w:r>
                    <w:rPr>
                      <w:rFonts w:hint="eastAsia"/>
                      <w:color w:val="auto"/>
                      <w:sz w:val="21"/>
                      <w:szCs w:val="21"/>
                    </w:rPr>
                    <w:t>有组织产生量（95%收集）</w:t>
                  </w:r>
                </w:p>
              </w:tc>
              <w:tc>
                <w:tcPr>
                  <w:tcW w:w="1687" w:type="dxa"/>
                  <w:vAlign w:val="center"/>
                </w:tcPr>
                <w:p w14:paraId="3E7E65C0">
                  <w:pPr>
                    <w:snapToGrid w:val="0"/>
                    <w:jc w:val="center"/>
                    <w:rPr>
                      <w:rFonts w:hint="default"/>
                      <w:b/>
                      <w:bCs/>
                      <w:color w:val="auto"/>
                      <w:sz w:val="21"/>
                      <w:szCs w:val="21"/>
                      <w:u w:val="single"/>
                      <w:lang w:val="en-US"/>
                    </w:rPr>
                  </w:pPr>
                  <w:r>
                    <w:rPr>
                      <w:rFonts w:hint="eastAsia"/>
                      <w:b/>
                      <w:bCs/>
                      <w:color w:val="auto"/>
                      <w:sz w:val="21"/>
                      <w:szCs w:val="21"/>
                      <w:u w:val="single"/>
                      <w:lang w:val="en-US" w:eastAsia="zh-CN"/>
                    </w:rPr>
                    <w:t>2.6858</w:t>
                  </w:r>
                </w:p>
              </w:tc>
              <w:tc>
                <w:tcPr>
                  <w:tcW w:w="1398" w:type="dxa"/>
                  <w:vAlign w:val="center"/>
                </w:tcPr>
                <w:p w14:paraId="3BAFC123">
                  <w:pPr>
                    <w:snapToGrid w:val="0"/>
                    <w:jc w:val="center"/>
                    <w:rPr>
                      <w:rFonts w:hint="default" w:eastAsia="宋体"/>
                      <w:b/>
                      <w:bCs/>
                      <w:color w:val="auto"/>
                      <w:sz w:val="21"/>
                      <w:szCs w:val="21"/>
                      <w:u w:val="single"/>
                      <w:lang w:val="en-US" w:eastAsia="zh-CN"/>
                    </w:rPr>
                  </w:pPr>
                  <w:r>
                    <w:rPr>
                      <w:rFonts w:hint="eastAsia"/>
                      <w:b/>
                      <w:bCs/>
                      <w:color w:val="auto"/>
                      <w:sz w:val="21"/>
                      <w:szCs w:val="21"/>
                      <w:u w:val="single"/>
                      <w:lang w:val="en-US" w:eastAsia="zh-CN"/>
                    </w:rPr>
                    <w:t>7.4737</w:t>
                  </w:r>
                </w:p>
              </w:tc>
              <w:tc>
                <w:tcPr>
                  <w:tcW w:w="1272" w:type="dxa"/>
                  <w:vAlign w:val="center"/>
                </w:tcPr>
                <w:p w14:paraId="0D4AF9EC">
                  <w:pPr>
                    <w:snapToGrid w:val="0"/>
                    <w:jc w:val="center"/>
                    <w:rPr>
                      <w:rFonts w:hint="default"/>
                      <w:b/>
                      <w:bCs/>
                      <w:color w:val="auto"/>
                      <w:sz w:val="21"/>
                      <w:szCs w:val="21"/>
                      <w:u w:val="single"/>
                      <w:lang w:val="en-US"/>
                    </w:rPr>
                  </w:pPr>
                  <w:r>
                    <w:rPr>
                      <w:rFonts w:hint="eastAsia"/>
                      <w:b/>
                      <w:bCs/>
                      <w:color w:val="auto"/>
                      <w:sz w:val="21"/>
                      <w:szCs w:val="21"/>
                      <w:u w:val="single"/>
                      <w:lang w:val="en-US" w:eastAsia="zh-CN"/>
                    </w:rPr>
                    <w:t>1.6200</w:t>
                  </w:r>
                </w:p>
              </w:tc>
            </w:tr>
            <w:tr w14:paraId="68879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7" w:type="dxa"/>
                  <w:vAlign w:val="center"/>
                </w:tcPr>
                <w:p w14:paraId="1D8C87A1">
                  <w:pPr>
                    <w:snapToGrid w:val="0"/>
                    <w:jc w:val="center"/>
                    <w:rPr>
                      <w:color w:val="auto"/>
                      <w:sz w:val="21"/>
                      <w:szCs w:val="21"/>
                    </w:rPr>
                  </w:pPr>
                  <w:r>
                    <w:rPr>
                      <w:rFonts w:hint="eastAsia"/>
                      <w:color w:val="auto"/>
                      <w:sz w:val="21"/>
                      <w:szCs w:val="21"/>
                    </w:rPr>
                    <w:t>过滤棉吸附后排放量（颗粒物90%去除）</w:t>
                  </w:r>
                </w:p>
              </w:tc>
              <w:tc>
                <w:tcPr>
                  <w:tcW w:w="1687" w:type="dxa"/>
                  <w:vAlign w:val="center"/>
                </w:tcPr>
                <w:p w14:paraId="5F7114D8">
                  <w:pPr>
                    <w:snapToGrid w:val="0"/>
                    <w:jc w:val="center"/>
                    <w:rPr>
                      <w:rFonts w:hint="default"/>
                      <w:b/>
                      <w:bCs/>
                      <w:color w:val="auto"/>
                      <w:sz w:val="21"/>
                      <w:szCs w:val="21"/>
                      <w:u w:val="single"/>
                      <w:lang w:val="en-US"/>
                    </w:rPr>
                  </w:pPr>
                  <w:r>
                    <w:rPr>
                      <w:rFonts w:hint="eastAsia"/>
                      <w:b/>
                      <w:bCs/>
                      <w:color w:val="auto"/>
                      <w:sz w:val="21"/>
                      <w:szCs w:val="21"/>
                      <w:u w:val="single"/>
                      <w:lang w:val="en-US" w:eastAsia="zh-CN"/>
                    </w:rPr>
                    <w:t>0.2686</w:t>
                  </w:r>
                </w:p>
              </w:tc>
              <w:tc>
                <w:tcPr>
                  <w:tcW w:w="1398" w:type="dxa"/>
                  <w:vAlign w:val="center"/>
                </w:tcPr>
                <w:p w14:paraId="02C3C479">
                  <w:pPr>
                    <w:snapToGrid w:val="0"/>
                    <w:jc w:val="center"/>
                    <w:rPr>
                      <w:rFonts w:hint="default"/>
                      <w:b/>
                      <w:bCs/>
                      <w:color w:val="auto"/>
                      <w:sz w:val="21"/>
                      <w:szCs w:val="21"/>
                      <w:u w:val="single"/>
                      <w:lang w:val="en-US"/>
                    </w:rPr>
                  </w:pPr>
                  <w:r>
                    <w:rPr>
                      <w:rFonts w:hint="eastAsia"/>
                      <w:b/>
                      <w:bCs/>
                      <w:color w:val="auto"/>
                      <w:sz w:val="21"/>
                      <w:szCs w:val="21"/>
                      <w:u w:val="single"/>
                      <w:lang w:val="en-US" w:eastAsia="zh-CN"/>
                    </w:rPr>
                    <w:t>7.4737</w:t>
                  </w:r>
                </w:p>
              </w:tc>
              <w:tc>
                <w:tcPr>
                  <w:tcW w:w="1272" w:type="dxa"/>
                  <w:vAlign w:val="center"/>
                </w:tcPr>
                <w:p w14:paraId="35B09601">
                  <w:pPr>
                    <w:snapToGrid w:val="0"/>
                    <w:jc w:val="center"/>
                    <w:rPr>
                      <w:rFonts w:hint="default"/>
                      <w:b/>
                      <w:bCs/>
                      <w:color w:val="auto"/>
                      <w:sz w:val="21"/>
                      <w:szCs w:val="21"/>
                      <w:u w:val="single"/>
                      <w:lang w:val="en-US"/>
                    </w:rPr>
                  </w:pPr>
                  <w:r>
                    <w:rPr>
                      <w:rFonts w:hint="eastAsia"/>
                      <w:b/>
                      <w:bCs/>
                      <w:color w:val="auto"/>
                      <w:sz w:val="21"/>
                      <w:szCs w:val="21"/>
                      <w:u w:val="single"/>
                      <w:lang w:val="en-US" w:eastAsia="zh-CN"/>
                    </w:rPr>
                    <w:t>1.6200</w:t>
                  </w:r>
                </w:p>
              </w:tc>
            </w:tr>
            <w:tr w14:paraId="5E16C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7" w:type="dxa"/>
                  <w:vAlign w:val="center"/>
                </w:tcPr>
                <w:p w14:paraId="1F92D4F7">
                  <w:pPr>
                    <w:snapToGrid w:val="0"/>
                    <w:jc w:val="center"/>
                    <w:rPr>
                      <w:color w:val="auto"/>
                      <w:sz w:val="21"/>
                      <w:szCs w:val="21"/>
                    </w:rPr>
                  </w:pPr>
                  <w:r>
                    <w:rPr>
                      <w:rFonts w:hint="eastAsia"/>
                      <w:color w:val="auto"/>
                      <w:sz w:val="21"/>
                      <w:szCs w:val="21"/>
                    </w:rPr>
                    <w:t>活性炭吸附后排放量（</w:t>
                  </w:r>
                  <w:r>
                    <w:rPr>
                      <w:rFonts w:hint="eastAsia"/>
                      <w:color w:val="auto"/>
                      <w:sz w:val="21"/>
                      <w:szCs w:val="21"/>
                      <w:lang w:val="en-US" w:eastAsia="zh-CN"/>
                    </w:rPr>
                    <w:t>97</w:t>
                  </w:r>
                  <w:r>
                    <w:rPr>
                      <w:rFonts w:hint="eastAsia"/>
                      <w:color w:val="auto"/>
                      <w:sz w:val="21"/>
                      <w:szCs w:val="21"/>
                    </w:rPr>
                    <w:t>%去除）</w:t>
                  </w:r>
                </w:p>
              </w:tc>
              <w:tc>
                <w:tcPr>
                  <w:tcW w:w="1687" w:type="dxa"/>
                  <w:vAlign w:val="center"/>
                </w:tcPr>
                <w:p w14:paraId="1B012DB9">
                  <w:pPr>
                    <w:snapToGrid w:val="0"/>
                    <w:jc w:val="center"/>
                    <w:rPr>
                      <w:rFonts w:hint="default"/>
                      <w:b/>
                      <w:bCs/>
                      <w:color w:val="auto"/>
                      <w:sz w:val="21"/>
                      <w:szCs w:val="21"/>
                      <w:u w:val="single"/>
                      <w:lang w:val="en-US"/>
                    </w:rPr>
                  </w:pPr>
                  <w:r>
                    <w:rPr>
                      <w:rFonts w:hint="eastAsia"/>
                      <w:b/>
                      <w:bCs/>
                      <w:color w:val="auto"/>
                      <w:sz w:val="21"/>
                      <w:szCs w:val="21"/>
                      <w:u w:val="single"/>
                      <w:lang w:val="en-US" w:eastAsia="zh-CN"/>
                    </w:rPr>
                    <w:t>0.2686</w:t>
                  </w:r>
                </w:p>
              </w:tc>
              <w:tc>
                <w:tcPr>
                  <w:tcW w:w="1398" w:type="dxa"/>
                  <w:vAlign w:val="center"/>
                </w:tcPr>
                <w:p w14:paraId="07BE1794">
                  <w:pPr>
                    <w:snapToGrid w:val="0"/>
                    <w:jc w:val="center"/>
                    <w:rPr>
                      <w:rFonts w:hint="default" w:eastAsia="宋体"/>
                      <w:b/>
                      <w:bCs/>
                      <w:color w:val="auto"/>
                      <w:sz w:val="21"/>
                      <w:szCs w:val="21"/>
                      <w:u w:val="single"/>
                      <w:lang w:val="en-US" w:eastAsia="zh-CN"/>
                    </w:rPr>
                  </w:pPr>
                  <w:r>
                    <w:rPr>
                      <w:rFonts w:hint="eastAsia"/>
                      <w:b/>
                      <w:bCs/>
                      <w:color w:val="auto"/>
                      <w:sz w:val="21"/>
                      <w:szCs w:val="21"/>
                      <w:u w:val="single"/>
                      <w:lang w:val="en-US" w:eastAsia="zh-CN"/>
                    </w:rPr>
                    <w:t>0.7473</w:t>
                  </w:r>
                </w:p>
              </w:tc>
              <w:tc>
                <w:tcPr>
                  <w:tcW w:w="1272" w:type="dxa"/>
                  <w:vAlign w:val="center"/>
                </w:tcPr>
                <w:p w14:paraId="358BB895">
                  <w:pPr>
                    <w:snapToGrid w:val="0"/>
                    <w:jc w:val="center"/>
                    <w:rPr>
                      <w:rFonts w:hint="default" w:eastAsia="宋体"/>
                      <w:b/>
                      <w:bCs/>
                      <w:color w:val="auto"/>
                      <w:sz w:val="21"/>
                      <w:szCs w:val="21"/>
                      <w:u w:val="single"/>
                      <w:lang w:val="en-US" w:eastAsia="zh-CN"/>
                    </w:rPr>
                  </w:pPr>
                  <w:r>
                    <w:rPr>
                      <w:rFonts w:hint="eastAsia"/>
                      <w:b/>
                      <w:bCs/>
                      <w:color w:val="auto"/>
                      <w:sz w:val="21"/>
                      <w:szCs w:val="21"/>
                      <w:u w:val="single"/>
                      <w:lang w:val="en-US" w:eastAsia="zh-CN"/>
                    </w:rPr>
                    <w:t>0.1620</w:t>
                  </w:r>
                </w:p>
              </w:tc>
            </w:tr>
            <w:tr w14:paraId="7AD0D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7" w:type="dxa"/>
                  <w:vAlign w:val="center"/>
                </w:tcPr>
                <w:p w14:paraId="629E5735">
                  <w:pPr>
                    <w:snapToGrid w:val="0"/>
                    <w:jc w:val="center"/>
                    <w:rPr>
                      <w:color w:val="auto"/>
                      <w:sz w:val="21"/>
                      <w:szCs w:val="21"/>
                    </w:rPr>
                  </w:pPr>
                  <w:r>
                    <w:rPr>
                      <w:rFonts w:hint="eastAsia"/>
                      <w:color w:val="auto"/>
                      <w:sz w:val="21"/>
                      <w:szCs w:val="21"/>
                    </w:rPr>
                    <w:t>无组织排放量</w:t>
                  </w:r>
                </w:p>
              </w:tc>
              <w:tc>
                <w:tcPr>
                  <w:tcW w:w="1687" w:type="dxa"/>
                  <w:vAlign w:val="center"/>
                </w:tcPr>
                <w:p w14:paraId="71613887">
                  <w:pPr>
                    <w:snapToGrid w:val="0"/>
                    <w:jc w:val="center"/>
                    <w:rPr>
                      <w:rFonts w:hint="default" w:eastAsia="宋体"/>
                      <w:b/>
                      <w:bCs/>
                      <w:color w:val="auto"/>
                      <w:sz w:val="21"/>
                      <w:szCs w:val="21"/>
                      <w:u w:val="single"/>
                      <w:lang w:val="en-US" w:eastAsia="zh-CN"/>
                    </w:rPr>
                  </w:pPr>
                  <w:r>
                    <w:rPr>
                      <w:rFonts w:hint="eastAsia"/>
                      <w:b/>
                      <w:bCs/>
                      <w:color w:val="auto"/>
                      <w:sz w:val="21"/>
                      <w:szCs w:val="21"/>
                      <w:u w:val="single"/>
                      <w:lang w:val="en-US" w:eastAsia="zh-CN"/>
                    </w:rPr>
                    <w:t>0.1414</w:t>
                  </w:r>
                </w:p>
              </w:tc>
              <w:tc>
                <w:tcPr>
                  <w:tcW w:w="1398" w:type="dxa"/>
                  <w:vAlign w:val="center"/>
                </w:tcPr>
                <w:p w14:paraId="1DDB6E2C">
                  <w:pPr>
                    <w:snapToGrid w:val="0"/>
                    <w:jc w:val="center"/>
                    <w:rPr>
                      <w:rFonts w:hint="default" w:eastAsia="宋体"/>
                      <w:b/>
                      <w:bCs/>
                      <w:color w:val="auto"/>
                      <w:sz w:val="21"/>
                      <w:szCs w:val="21"/>
                      <w:u w:val="single"/>
                      <w:lang w:val="en-US" w:eastAsia="zh-CN"/>
                    </w:rPr>
                  </w:pPr>
                  <w:r>
                    <w:rPr>
                      <w:rFonts w:hint="eastAsia"/>
                      <w:b/>
                      <w:bCs/>
                      <w:color w:val="auto"/>
                      <w:sz w:val="21"/>
                      <w:szCs w:val="21"/>
                      <w:u w:val="single"/>
                      <w:lang w:val="en-US" w:eastAsia="zh-CN"/>
                    </w:rPr>
                    <w:t>0.3934</w:t>
                  </w:r>
                </w:p>
              </w:tc>
              <w:tc>
                <w:tcPr>
                  <w:tcW w:w="1272" w:type="dxa"/>
                  <w:vAlign w:val="center"/>
                </w:tcPr>
                <w:p w14:paraId="1710DC27">
                  <w:pPr>
                    <w:snapToGrid w:val="0"/>
                    <w:jc w:val="center"/>
                    <w:rPr>
                      <w:rFonts w:hint="default" w:eastAsia="宋体"/>
                      <w:b/>
                      <w:bCs/>
                      <w:color w:val="auto"/>
                      <w:sz w:val="21"/>
                      <w:szCs w:val="21"/>
                      <w:u w:val="single"/>
                      <w:lang w:val="en-US" w:eastAsia="zh-CN"/>
                    </w:rPr>
                  </w:pPr>
                  <w:r>
                    <w:rPr>
                      <w:rFonts w:hint="eastAsia"/>
                      <w:b/>
                      <w:bCs/>
                      <w:color w:val="auto"/>
                      <w:sz w:val="21"/>
                      <w:szCs w:val="21"/>
                      <w:u w:val="single"/>
                      <w:lang w:val="en-US" w:eastAsia="zh-CN"/>
                    </w:rPr>
                    <w:t>0.0853</w:t>
                  </w:r>
                </w:p>
              </w:tc>
            </w:tr>
          </w:tbl>
          <w:p w14:paraId="20EC3A51">
            <w:pPr>
              <w:spacing w:line="360" w:lineRule="auto"/>
              <w:ind w:firstLine="482" w:firstLineChars="200"/>
              <w:rPr>
                <w:bCs/>
                <w:color w:val="auto"/>
                <w:sz w:val="24"/>
              </w:rPr>
            </w:pPr>
            <w:r>
              <w:rPr>
                <w:rFonts w:hint="eastAsia"/>
                <w:b/>
                <w:bCs/>
                <w:color w:val="auto"/>
                <w:sz w:val="24"/>
                <w:u w:val="single"/>
                <w:lang w:val="en-US" w:eastAsia="zh-CN"/>
              </w:rPr>
              <w:t>调漆、</w:t>
            </w:r>
            <w:r>
              <w:rPr>
                <w:b/>
                <w:bCs/>
                <w:color w:val="auto"/>
                <w:sz w:val="24"/>
                <w:u w:val="single"/>
              </w:rPr>
              <w:t>喷漆</w:t>
            </w:r>
            <w:r>
              <w:rPr>
                <w:rFonts w:hint="eastAsia"/>
                <w:b/>
                <w:bCs/>
                <w:color w:val="auto"/>
                <w:sz w:val="24"/>
                <w:u w:val="single"/>
                <w:lang w:eastAsia="zh-CN"/>
              </w:rPr>
              <w:t>、</w:t>
            </w:r>
            <w:r>
              <w:rPr>
                <w:rFonts w:hint="eastAsia"/>
                <w:b/>
                <w:bCs/>
                <w:color w:val="auto"/>
                <w:sz w:val="24"/>
                <w:u w:val="single"/>
                <w:lang w:val="en-US" w:eastAsia="zh-CN"/>
              </w:rPr>
              <w:t>晾干、修色</w:t>
            </w:r>
            <w:r>
              <w:rPr>
                <w:rFonts w:hint="eastAsia"/>
                <w:color w:val="auto"/>
                <w:sz w:val="24"/>
              </w:rPr>
              <w:t>工段年运行时间为2400h，主风机风量为</w:t>
            </w:r>
            <w:r>
              <w:rPr>
                <w:rFonts w:hint="eastAsia"/>
                <w:color w:val="auto"/>
                <w:sz w:val="24"/>
                <w:lang w:val="en-US" w:eastAsia="zh-CN"/>
              </w:rPr>
              <w:t>4</w:t>
            </w:r>
            <w:r>
              <w:rPr>
                <w:rFonts w:hint="eastAsia"/>
                <w:color w:val="auto"/>
                <w:sz w:val="24"/>
              </w:rPr>
              <w:t>0000m</w:t>
            </w:r>
            <w:r>
              <w:rPr>
                <w:rFonts w:hint="eastAsia"/>
                <w:color w:val="auto"/>
                <w:sz w:val="24"/>
                <w:vertAlign w:val="superscript"/>
              </w:rPr>
              <w:t>3</w:t>
            </w:r>
            <w:r>
              <w:rPr>
                <w:rFonts w:hint="eastAsia"/>
                <w:color w:val="auto"/>
                <w:sz w:val="24"/>
              </w:rPr>
              <w:t>/h，非甲烷总烃（不含甲苯+二甲苯）排放浓度为</w:t>
            </w:r>
            <w:r>
              <w:rPr>
                <w:rFonts w:hint="eastAsia"/>
                <w:b/>
                <w:bCs/>
                <w:color w:val="auto"/>
                <w:sz w:val="24"/>
                <w:u w:val="single"/>
                <w:lang w:val="en-US" w:eastAsia="zh-CN"/>
              </w:rPr>
              <w:t>7.8</w:t>
            </w:r>
            <w:r>
              <w:rPr>
                <w:rFonts w:hint="eastAsia"/>
                <w:b/>
                <w:bCs/>
                <w:color w:val="auto"/>
                <w:sz w:val="24"/>
                <w:u w:val="single"/>
              </w:rPr>
              <w:t>mg/m</w:t>
            </w:r>
            <w:r>
              <w:rPr>
                <w:rFonts w:hint="eastAsia"/>
                <w:b/>
                <w:bCs/>
                <w:color w:val="auto"/>
                <w:sz w:val="24"/>
                <w:u w:val="single"/>
                <w:vertAlign w:val="superscript"/>
              </w:rPr>
              <w:t>3</w:t>
            </w:r>
            <w:r>
              <w:rPr>
                <w:rFonts w:hint="eastAsia"/>
                <w:color w:val="auto"/>
                <w:sz w:val="24"/>
              </w:rPr>
              <w:t>（</w:t>
            </w:r>
            <w:r>
              <w:rPr>
                <w:rFonts w:hint="eastAsia"/>
                <w:b/>
                <w:bCs/>
                <w:color w:val="auto"/>
                <w:sz w:val="24"/>
                <w:u w:val="single"/>
                <w:lang w:val="en-US" w:eastAsia="zh-CN"/>
              </w:rPr>
              <w:t>0.3114</w:t>
            </w:r>
            <w:r>
              <w:rPr>
                <w:rFonts w:hint="eastAsia"/>
                <w:b/>
                <w:bCs/>
                <w:color w:val="auto"/>
                <w:sz w:val="24"/>
                <w:u w:val="single"/>
              </w:rPr>
              <w:t>kg/h</w:t>
            </w:r>
            <w:r>
              <w:rPr>
                <w:rFonts w:hint="eastAsia"/>
                <w:color w:val="auto"/>
                <w:sz w:val="24"/>
              </w:rPr>
              <w:t>）</w:t>
            </w:r>
            <w:r>
              <w:rPr>
                <w:rFonts w:hint="eastAsia"/>
                <w:color w:val="auto"/>
                <w:sz w:val="24"/>
                <w:lang w:eastAsia="zh-CN"/>
              </w:rPr>
              <w:t>、</w:t>
            </w:r>
            <w:r>
              <w:rPr>
                <w:rFonts w:hint="eastAsia"/>
                <w:color w:val="auto"/>
                <w:sz w:val="24"/>
              </w:rPr>
              <w:t>涂胶工序非甲烷总烃</w:t>
            </w:r>
            <w:r>
              <w:rPr>
                <w:rFonts w:hint="eastAsia"/>
                <w:color w:val="auto"/>
                <w:sz w:val="24"/>
                <w:lang w:eastAsia="zh-CN"/>
              </w:rPr>
              <w:t>（</w:t>
            </w:r>
            <w:r>
              <w:rPr>
                <w:rFonts w:hint="eastAsia"/>
                <w:color w:val="auto"/>
                <w:sz w:val="24"/>
                <w:lang w:val="en-US" w:eastAsia="zh-CN"/>
              </w:rPr>
              <w:t>不含甲苯+二甲苯</w:t>
            </w:r>
            <w:r>
              <w:rPr>
                <w:rFonts w:hint="eastAsia"/>
                <w:color w:val="auto"/>
                <w:sz w:val="24"/>
                <w:lang w:eastAsia="zh-CN"/>
              </w:rPr>
              <w:t>）</w:t>
            </w:r>
            <w:r>
              <w:rPr>
                <w:rFonts w:hint="eastAsia"/>
                <w:color w:val="auto"/>
                <w:sz w:val="24"/>
              </w:rPr>
              <w:t>排放浓度为</w:t>
            </w:r>
            <w:r>
              <w:rPr>
                <w:rFonts w:hint="eastAsia"/>
                <w:b/>
                <w:bCs/>
                <w:color w:val="auto"/>
                <w:sz w:val="24"/>
                <w:u w:val="single"/>
                <w:lang w:val="en-US" w:eastAsia="zh-CN"/>
              </w:rPr>
              <w:t>0.5</w:t>
            </w:r>
            <w:r>
              <w:rPr>
                <w:rFonts w:hint="eastAsia"/>
                <w:b/>
                <w:bCs/>
                <w:color w:val="auto"/>
                <w:sz w:val="24"/>
                <w:u w:val="single"/>
              </w:rPr>
              <w:t>mg/m</w:t>
            </w:r>
            <w:r>
              <w:rPr>
                <w:rFonts w:hint="eastAsia"/>
                <w:b/>
                <w:bCs/>
                <w:color w:val="auto"/>
                <w:sz w:val="24"/>
                <w:u w:val="single"/>
                <w:vertAlign w:val="superscript"/>
              </w:rPr>
              <w:t>3</w:t>
            </w:r>
            <w:r>
              <w:rPr>
                <w:rFonts w:hint="eastAsia"/>
                <w:b/>
                <w:bCs/>
                <w:color w:val="auto"/>
                <w:sz w:val="24"/>
                <w:u w:val="single"/>
              </w:rPr>
              <w:t>（</w:t>
            </w:r>
            <w:r>
              <w:rPr>
                <w:rFonts w:hint="eastAsia"/>
                <w:b/>
                <w:bCs/>
                <w:color w:val="auto"/>
                <w:sz w:val="24"/>
                <w:u w:val="single"/>
                <w:lang w:val="en-US" w:eastAsia="zh-CN"/>
              </w:rPr>
              <w:t>0.0207</w:t>
            </w:r>
            <w:r>
              <w:rPr>
                <w:rFonts w:hint="eastAsia"/>
                <w:b/>
                <w:bCs/>
                <w:color w:val="auto"/>
                <w:sz w:val="24"/>
                <w:u w:val="single"/>
              </w:rPr>
              <w:t>kg/h）</w:t>
            </w:r>
            <w:r>
              <w:rPr>
                <w:rFonts w:hint="eastAsia"/>
                <w:color w:val="auto"/>
                <w:sz w:val="24"/>
              </w:rPr>
              <w:t>，故非甲烷总烃</w:t>
            </w:r>
            <w:r>
              <w:rPr>
                <w:rFonts w:hint="eastAsia"/>
                <w:color w:val="auto"/>
                <w:sz w:val="24"/>
                <w:lang w:eastAsia="zh-CN"/>
              </w:rPr>
              <w:t>（</w:t>
            </w:r>
            <w:r>
              <w:rPr>
                <w:rFonts w:hint="eastAsia"/>
                <w:color w:val="auto"/>
                <w:sz w:val="24"/>
                <w:lang w:val="en-US" w:eastAsia="zh-CN"/>
              </w:rPr>
              <w:t>不含甲苯+二甲苯</w:t>
            </w:r>
            <w:r>
              <w:rPr>
                <w:rFonts w:hint="eastAsia"/>
                <w:color w:val="auto"/>
                <w:sz w:val="24"/>
                <w:lang w:eastAsia="zh-CN"/>
              </w:rPr>
              <w:t>）</w:t>
            </w:r>
            <w:r>
              <w:rPr>
                <w:rFonts w:hint="eastAsia"/>
                <w:color w:val="auto"/>
                <w:sz w:val="24"/>
              </w:rPr>
              <w:t>排放浓度为</w:t>
            </w:r>
            <w:r>
              <w:rPr>
                <w:rFonts w:hint="eastAsia"/>
                <w:b/>
                <w:bCs/>
                <w:color w:val="auto"/>
                <w:sz w:val="24"/>
                <w:u w:val="single"/>
                <w:lang w:val="en-US" w:eastAsia="zh-CN"/>
              </w:rPr>
              <w:t>8.3</w:t>
            </w:r>
            <w:r>
              <w:rPr>
                <w:rFonts w:hint="eastAsia"/>
                <w:b/>
                <w:bCs/>
                <w:color w:val="auto"/>
                <w:sz w:val="24"/>
                <w:u w:val="single"/>
              </w:rPr>
              <w:t>mg/m</w:t>
            </w:r>
            <w:r>
              <w:rPr>
                <w:rFonts w:hint="eastAsia"/>
                <w:b/>
                <w:bCs/>
                <w:color w:val="auto"/>
                <w:sz w:val="24"/>
                <w:u w:val="single"/>
                <w:vertAlign w:val="superscript"/>
              </w:rPr>
              <w:t>3</w:t>
            </w:r>
            <w:r>
              <w:rPr>
                <w:rFonts w:hint="eastAsia"/>
                <w:b/>
                <w:bCs/>
                <w:color w:val="auto"/>
                <w:sz w:val="24"/>
                <w:u w:val="single"/>
              </w:rPr>
              <w:t>（</w:t>
            </w:r>
            <w:r>
              <w:rPr>
                <w:rFonts w:hint="eastAsia"/>
                <w:b/>
                <w:bCs/>
                <w:color w:val="auto"/>
                <w:sz w:val="24"/>
                <w:u w:val="single"/>
                <w:lang w:val="en-US" w:eastAsia="zh-CN"/>
              </w:rPr>
              <w:t>0.3321</w:t>
            </w:r>
            <w:r>
              <w:rPr>
                <w:rFonts w:hint="eastAsia"/>
                <w:b/>
                <w:bCs/>
                <w:color w:val="auto"/>
                <w:sz w:val="24"/>
                <w:u w:val="single"/>
              </w:rPr>
              <w:t>kg/h）</w:t>
            </w:r>
            <w:r>
              <w:rPr>
                <w:rFonts w:hint="eastAsia"/>
                <w:color w:val="auto"/>
                <w:sz w:val="24"/>
                <w:lang w:eastAsia="zh-CN"/>
              </w:rPr>
              <w:t>，</w:t>
            </w:r>
            <w:r>
              <w:rPr>
                <w:rFonts w:hint="eastAsia"/>
                <w:color w:val="auto"/>
                <w:sz w:val="24"/>
              </w:rPr>
              <w:t>甲苯+二甲苯排放浓度为</w:t>
            </w:r>
            <w:r>
              <w:rPr>
                <w:rFonts w:hint="eastAsia"/>
                <w:b/>
                <w:bCs/>
                <w:color w:val="auto"/>
                <w:sz w:val="24"/>
                <w:u w:val="single"/>
                <w:lang w:val="en-US" w:eastAsia="zh-CN"/>
              </w:rPr>
              <w:t>1.7</w:t>
            </w:r>
            <w:r>
              <w:rPr>
                <w:rFonts w:hint="eastAsia"/>
                <w:b/>
                <w:bCs/>
                <w:color w:val="auto"/>
                <w:sz w:val="24"/>
                <w:u w:val="single"/>
              </w:rPr>
              <w:t>mg/m</w:t>
            </w:r>
            <w:r>
              <w:rPr>
                <w:rFonts w:hint="eastAsia"/>
                <w:b/>
                <w:bCs/>
                <w:color w:val="auto"/>
                <w:sz w:val="24"/>
                <w:u w:val="single"/>
                <w:vertAlign w:val="superscript"/>
              </w:rPr>
              <w:t>3</w:t>
            </w:r>
            <w:r>
              <w:rPr>
                <w:rFonts w:hint="eastAsia"/>
                <w:b/>
                <w:bCs/>
                <w:color w:val="auto"/>
                <w:sz w:val="24"/>
                <w:u w:val="single"/>
              </w:rPr>
              <w:t>（</w:t>
            </w:r>
            <w:r>
              <w:rPr>
                <w:rFonts w:hint="eastAsia"/>
                <w:b/>
                <w:bCs/>
                <w:color w:val="auto"/>
                <w:sz w:val="24"/>
                <w:u w:val="single"/>
                <w:lang w:val="en-US" w:eastAsia="zh-CN"/>
              </w:rPr>
              <w:t>0.0675</w:t>
            </w:r>
            <w:r>
              <w:rPr>
                <w:rFonts w:hint="eastAsia"/>
                <w:b/>
                <w:bCs/>
                <w:color w:val="auto"/>
                <w:sz w:val="24"/>
                <w:u w:val="single"/>
              </w:rPr>
              <w:t>kg/h）</w:t>
            </w:r>
            <w:r>
              <w:rPr>
                <w:rFonts w:hint="eastAsia"/>
                <w:color w:val="auto"/>
                <w:sz w:val="24"/>
              </w:rPr>
              <w:t>，</w:t>
            </w:r>
            <w:r>
              <w:rPr>
                <w:rFonts w:hAnsi="宋体"/>
                <w:bCs/>
                <w:color w:val="auto"/>
                <w:sz w:val="24"/>
              </w:rPr>
              <w:t>可满足《工业涂装</w:t>
            </w:r>
            <w:r>
              <w:rPr>
                <w:rFonts w:hint="eastAsia" w:hAnsi="宋体"/>
                <w:bCs/>
                <w:color w:val="auto"/>
                <w:sz w:val="24"/>
              </w:rPr>
              <w:t>工序</w:t>
            </w:r>
            <w:r>
              <w:rPr>
                <w:rFonts w:hAnsi="宋体"/>
                <w:bCs/>
                <w:color w:val="auto"/>
                <w:sz w:val="24"/>
              </w:rPr>
              <w:t>挥发性有机物排放标准》（</w:t>
            </w:r>
            <w:r>
              <w:rPr>
                <w:bCs/>
                <w:color w:val="auto"/>
                <w:sz w:val="24"/>
              </w:rPr>
              <w:t>DB41/1951</w:t>
            </w:r>
            <w:r>
              <w:rPr>
                <w:rFonts w:hint="eastAsia"/>
                <w:bCs/>
                <w:color w:val="auto"/>
                <w:sz w:val="24"/>
              </w:rPr>
              <w:t>-</w:t>
            </w:r>
            <w:r>
              <w:rPr>
                <w:bCs/>
                <w:color w:val="auto"/>
                <w:sz w:val="24"/>
              </w:rPr>
              <w:t>2020</w:t>
            </w:r>
            <w:r>
              <w:rPr>
                <w:rFonts w:hAnsi="宋体"/>
                <w:bCs/>
                <w:color w:val="auto"/>
                <w:sz w:val="24"/>
              </w:rPr>
              <w:t>）</w:t>
            </w:r>
            <w:r>
              <w:rPr>
                <w:rFonts w:hint="eastAsia" w:hAnsi="宋体"/>
                <w:bCs/>
                <w:color w:val="auto"/>
                <w:sz w:val="24"/>
              </w:rPr>
              <w:t>、</w:t>
            </w:r>
            <w:r>
              <w:rPr>
                <w:rFonts w:hAnsi="宋体"/>
                <w:bCs/>
                <w:color w:val="auto"/>
                <w:sz w:val="24"/>
              </w:rPr>
              <w:t>《关于全省开展工业企业挥发性有机物专项治理工作中排放建议值的通知》</w:t>
            </w:r>
            <w:r>
              <w:rPr>
                <w:rFonts w:hint="eastAsia" w:hAnsi="宋体"/>
                <w:bCs/>
                <w:color w:val="auto"/>
                <w:sz w:val="24"/>
              </w:rPr>
              <w:t>（</w:t>
            </w:r>
            <w:r>
              <w:rPr>
                <w:rFonts w:hAnsi="宋体"/>
                <w:bCs/>
                <w:color w:val="auto"/>
                <w:sz w:val="24"/>
              </w:rPr>
              <w:t>豫环攻坚办</w:t>
            </w:r>
            <w:r>
              <w:rPr>
                <w:bCs/>
                <w:color w:val="auto"/>
                <w:sz w:val="24"/>
              </w:rPr>
              <w:t>[2017]162</w:t>
            </w:r>
            <w:r>
              <w:rPr>
                <w:rFonts w:hAnsi="宋体"/>
                <w:bCs/>
                <w:color w:val="auto"/>
                <w:sz w:val="24"/>
              </w:rPr>
              <w:t>号</w:t>
            </w:r>
            <w:r>
              <w:rPr>
                <w:rFonts w:hint="eastAsia" w:hAnsi="宋体"/>
                <w:bCs/>
                <w:color w:val="auto"/>
                <w:sz w:val="24"/>
              </w:rPr>
              <w:t>）</w:t>
            </w:r>
            <w:r>
              <w:rPr>
                <w:rFonts w:hAnsi="宋体"/>
                <w:bCs/>
                <w:color w:val="auto"/>
                <w:sz w:val="24"/>
              </w:rPr>
              <w:t>及《重污染天气重点行业应急减排措施制定技术指南》（</w:t>
            </w:r>
            <w:r>
              <w:rPr>
                <w:rFonts w:hint="eastAsia"/>
                <w:bCs/>
                <w:color w:val="auto"/>
                <w:sz w:val="24"/>
              </w:rPr>
              <w:t>环办大气函</w:t>
            </w:r>
            <w:r>
              <w:rPr>
                <w:bCs/>
                <w:color w:val="auto"/>
                <w:sz w:val="24"/>
              </w:rPr>
              <w:t>[</w:t>
            </w:r>
            <w:r>
              <w:rPr>
                <w:rFonts w:hint="eastAsia"/>
                <w:bCs/>
                <w:color w:val="auto"/>
                <w:sz w:val="24"/>
              </w:rPr>
              <w:t>2020</w:t>
            </w:r>
            <w:r>
              <w:rPr>
                <w:bCs/>
                <w:color w:val="auto"/>
                <w:sz w:val="24"/>
              </w:rPr>
              <w:t>]</w:t>
            </w:r>
            <w:r>
              <w:rPr>
                <w:rFonts w:hint="eastAsia"/>
                <w:bCs/>
                <w:color w:val="auto"/>
                <w:sz w:val="24"/>
              </w:rPr>
              <w:t>340号</w:t>
            </w:r>
            <w:r>
              <w:rPr>
                <w:rFonts w:hAnsi="宋体"/>
                <w:bCs/>
                <w:color w:val="auto"/>
                <w:sz w:val="24"/>
              </w:rPr>
              <w:t>）中的</w:t>
            </w:r>
            <w:r>
              <w:rPr>
                <w:rFonts w:hint="eastAsia" w:hAnsi="宋体"/>
                <w:bCs/>
                <w:color w:val="auto"/>
                <w:sz w:val="24"/>
              </w:rPr>
              <w:t>家具制造</w:t>
            </w:r>
            <w:r>
              <w:rPr>
                <w:rFonts w:hAnsi="宋体"/>
                <w:bCs/>
                <w:color w:val="auto"/>
                <w:sz w:val="24"/>
              </w:rPr>
              <w:t>行业</w:t>
            </w:r>
            <w:r>
              <w:rPr>
                <w:bCs/>
                <w:color w:val="auto"/>
                <w:sz w:val="24"/>
              </w:rPr>
              <w:t>A</w:t>
            </w:r>
            <w:r>
              <w:rPr>
                <w:rFonts w:hAnsi="宋体"/>
                <w:bCs/>
                <w:color w:val="auto"/>
                <w:sz w:val="24"/>
              </w:rPr>
              <w:t>级等相关要求。</w:t>
            </w:r>
          </w:p>
          <w:p w14:paraId="586BF638">
            <w:pPr>
              <w:spacing w:line="360" w:lineRule="auto"/>
              <w:ind w:firstLine="480" w:firstLineChars="200"/>
              <w:rPr>
                <w:color w:val="auto"/>
                <w:sz w:val="24"/>
                <w:szCs w:val="32"/>
              </w:rPr>
            </w:pPr>
            <w:r>
              <w:rPr>
                <w:rFonts w:hint="eastAsia"/>
                <w:color w:val="auto"/>
                <w:sz w:val="24"/>
                <w:szCs w:val="32"/>
              </w:rPr>
              <w:t>（2）第二种情况：</w:t>
            </w:r>
          </w:p>
          <w:p w14:paraId="367411C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szCs w:val="32"/>
              </w:rPr>
              <w:t>根据物料衡算，</w:t>
            </w:r>
            <w:r>
              <w:rPr>
                <w:rFonts w:hint="eastAsia"/>
                <w:color w:val="auto"/>
                <w:sz w:val="24"/>
              </w:rPr>
              <w:t>脱附程序、催化燃烧程序和活性炭吸附程序同时运行时，处理的有机废气为活性炭脱附的挥发性有机物和活性炭吸附的挥发性有机物，其中活性炭脱附的挥发性有机物即为</w:t>
            </w:r>
            <w:r>
              <w:rPr>
                <w:rFonts w:hint="eastAsia"/>
                <w:b/>
                <w:bCs/>
                <w:color w:val="auto"/>
                <w:sz w:val="24"/>
                <w:u w:val="single"/>
                <w:lang w:val="en-US" w:eastAsia="zh-CN"/>
              </w:rPr>
              <w:t>调漆、</w:t>
            </w:r>
            <w:r>
              <w:rPr>
                <w:b/>
                <w:bCs/>
                <w:color w:val="auto"/>
                <w:sz w:val="24"/>
                <w:u w:val="single"/>
              </w:rPr>
              <w:t>喷漆</w:t>
            </w:r>
            <w:r>
              <w:rPr>
                <w:rFonts w:hint="eastAsia"/>
                <w:b/>
                <w:bCs/>
                <w:color w:val="auto"/>
                <w:sz w:val="24"/>
                <w:u w:val="single"/>
                <w:lang w:eastAsia="zh-CN"/>
              </w:rPr>
              <w:t>、</w:t>
            </w:r>
            <w:r>
              <w:rPr>
                <w:rFonts w:hint="eastAsia"/>
                <w:b/>
                <w:bCs/>
                <w:color w:val="auto"/>
                <w:sz w:val="24"/>
                <w:u w:val="single"/>
                <w:lang w:val="en-US" w:eastAsia="zh-CN"/>
              </w:rPr>
              <w:t>晾干、修色</w:t>
            </w:r>
            <w:r>
              <w:rPr>
                <w:rFonts w:hint="eastAsia"/>
                <w:color w:val="auto"/>
                <w:sz w:val="24"/>
                <w:lang w:val="en-US" w:eastAsia="zh-CN"/>
              </w:rPr>
              <w:t>等</w:t>
            </w:r>
            <w:r>
              <w:rPr>
                <w:rFonts w:hint="eastAsia"/>
                <w:color w:val="auto"/>
                <w:sz w:val="24"/>
              </w:rPr>
              <w:t>工段有组织吸附量，即非甲烷总烃</w:t>
            </w:r>
            <w:r>
              <w:rPr>
                <w:rFonts w:hint="eastAsia"/>
                <w:color w:val="auto"/>
                <w:sz w:val="24"/>
                <w:lang w:eastAsia="zh-CN"/>
              </w:rPr>
              <w:t>（</w:t>
            </w:r>
            <w:r>
              <w:rPr>
                <w:rFonts w:hint="eastAsia"/>
                <w:color w:val="auto"/>
                <w:sz w:val="24"/>
                <w:lang w:val="en-US" w:eastAsia="zh-CN"/>
              </w:rPr>
              <w:t>不含甲苯+二甲苯</w:t>
            </w:r>
            <w:r>
              <w:rPr>
                <w:rFonts w:hint="eastAsia"/>
                <w:color w:val="auto"/>
                <w:sz w:val="24"/>
                <w:lang w:eastAsia="zh-CN"/>
              </w:rPr>
              <w:t>）</w:t>
            </w:r>
            <w:r>
              <w:rPr>
                <w:rFonts w:hint="eastAsia"/>
                <w:b/>
                <w:bCs/>
                <w:color w:val="auto"/>
                <w:sz w:val="24"/>
                <w:u w:val="single"/>
                <w:lang w:val="en-US" w:eastAsia="zh-CN"/>
              </w:rPr>
              <w:t>6.7262</w:t>
            </w:r>
            <w:r>
              <w:rPr>
                <w:rFonts w:hint="eastAsia"/>
                <w:color w:val="auto"/>
                <w:sz w:val="24"/>
              </w:rPr>
              <w:t>t/a、甲苯+二甲苯</w:t>
            </w:r>
            <w:r>
              <w:rPr>
                <w:rFonts w:hint="eastAsia"/>
                <w:b/>
                <w:bCs/>
                <w:color w:val="auto"/>
                <w:sz w:val="24"/>
                <w:u w:val="single"/>
                <w:lang w:val="en-US" w:eastAsia="zh-CN"/>
              </w:rPr>
              <w:t>1.4580</w:t>
            </w:r>
            <w:r>
              <w:rPr>
                <w:rFonts w:hint="eastAsia"/>
                <w:color w:val="auto"/>
                <w:sz w:val="24"/>
              </w:rPr>
              <w:t>t/a。脱附的挥发性有机物进入催化燃烧装置处理，处理效率为</w:t>
            </w:r>
            <w:r>
              <w:rPr>
                <w:rFonts w:hint="eastAsia"/>
                <w:color w:val="auto"/>
                <w:sz w:val="24"/>
                <w:lang w:val="en-US" w:eastAsia="zh-CN"/>
              </w:rPr>
              <w:t>97</w:t>
            </w:r>
            <w:r>
              <w:rPr>
                <w:rFonts w:hint="eastAsia"/>
                <w:color w:val="auto"/>
                <w:sz w:val="24"/>
              </w:rPr>
              <w:t>%，因此，脱附后的挥发性有机物排放量为非甲烷总烃</w:t>
            </w:r>
            <w:r>
              <w:rPr>
                <w:rFonts w:hint="eastAsia"/>
                <w:color w:val="auto"/>
                <w:sz w:val="24"/>
                <w:lang w:eastAsia="zh-CN"/>
              </w:rPr>
              <w:t>（</w:t>
            </w:r>
            <w:r>
              <w:rPr>
                <w:rFonts w:hint="eastAsia"/>
                <w:color w:val="auto"/>
                <w:sz w:val="24"/>
                <w:lang w:val="en-US" w:eastAsia="zh-CN"/>
              </w:rPr>
              <w:t>不含甲苯+二甲苯</w:t>
            </w:r>
            <w:r>
              <w:rPr>
                <w:rFonts w:hint="eastAsia"/>
                <w:color w:val="auto"/>
                <w:sz w:val="24"/>
                <w:lang w:eastAsia="zh-CN"/>
              </w:rPr>
              <w:t>）</w:t>
            </w:r>
            <w:r>
              <w:rPr>
                <w:rFonts w:hint="eastAsia"/>
                <w:b/>
                <w:bCs/>
                <w:color w:val="auto"/>
                <w:sz w:val="24"/>
                <w:u w:val="single"/>
                <w:lang w:val="en-US" w:eastAsia="zh-CN"/>
              </w:rPr>
              <w:t>0.2018</w:t>
            </w:r>
            <w:r>
              <w:rPr>
                <w:rFonts w:hint="eastAsia"/>
                <w:color w:val="auto"/>
                <w:sz w:val="24"/>
              </w:rPr>
              <w:t>t/a、甲苯+二甲苯</w:t>
            </w:r>
            <w:r>
              <w:rPr>
                <w:rFonts w:hint="eastAsia"/>
                <w:b/>
                <w:bCs/>
                <w:color w:val="auto"/>
                <w:sz w:val="24"/>
                <w:u w:val="single"/>
                <w:lang w:val="en-US" w:eastAsia="zh-CN"/>
              </w:rPr>
              <w:t>0.0437</w:t>
            </w:r>
            <w:r>
              <w:rPr>
                <w:rFonts w:hint="eastAsia"/>
                <w:color w:val="auto"/>
                <w:sz w:val="24"/>
              </w:rPr>
              <w:t>t/a。脱附风机运行时间为1200h/a，因此脱附非甲烷总烃</w:t>
            </w:r>
            <w:r>
              <w:rPr>
                <w:rFonts w:hint="eastAsia"/>
                <w:color w:val="auto"/>
                <w:sz w:val="24"/>
                <w:lang w:eastAsia="zh-CN"/>
              </w:rPr>
              <w:t>（</w:t>
            </w:r>
            <w:r>
              <w:rPr>
                <w:rFonts w:hint="eastAsia"/>
                <w:color w:val="auto"/>
                <w:sz w:val="24"/>
                <w:lang w:val="en-US" w:eastAsia="zh-CN"/>
              </w:rPr>
              <w:t>不含甲苯+二甲苯</w:t>
            </w:r>
            <w:r>
              <w:rPr>
                <w:rFonts w:hint="eastAsia"/>
                <w:color w:val="auto"/>
                <w:sz w:val="24"/>
                <w:lang w:eastAsia="zh-CN"/>
              </w:rPr>
              <w:t>）</w:t>
            </w:r>
            <w:r>
              <w:rPr>
                <w:rFonts w:hint="eastAsia"/>
                <w:color w:val="auto"/>
                <w:sz w:val="24"/>
              </w:rPr>
              <w:t>排放速率为</w:t>
            </w:r>
            <w:r>
              <w:rPr>
                <w:rFonts w:hint="eastAsia"/>
                <w:b/>
                <w:bCs/>
                <w:color w:val="auto"/>
                <w:sz w:val="24"/>
                <w:u w:val="single"/>
                <w:lang w:val="en-US" w:eastAsia="zh-CN"/>
              </w:rPr>
              <w:t>0.1682</w:t>
            </w:r>
            <w:r>
              <w:rPr>
                <w:rFonts w:hint="eastAsia"/>
                <w:color w:val="auto"/>
                <w:sz w:val="24"/>
              </w:rPr>
              <w:t>kg/h、甲苯+二甲苯排放速率为</w:t>
            </w:r>
            <w:r>
              <w:rPr>
                <w:rFonts w:hint="eastAsia"/>
                <w:b/>
                <w:bCs/>
                <w:color w:val="auto"/>
                <w:sz w:val="24"/>
                <w:u w:val="single"/>
                <w:lang w:val="en-US" w:eastAsia="zh-CN"/>
              </w:rPr>
              <w:t>0.0364</w:t>
            </w:r>
            <w:r>
              <w:rPr>
                <w:rFonts w:hint="eastAsia"/>
                <w:color w:val="auto"/>
                <w:sz w:val="24"/>
              </w:rPr>
              <w:t>kg/h。</w:t>
            </w:r>
          </w:p>
          <w:p w14:paraId="203B0AA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color w:val="auto"/>
                <w:sz w:val="24"/>
              </w:rPr>
              <w:t>根据第一种情况分析结果可知，吸附处理后挥发性有机物排放量为非甲烷总烃</w:t>
            </w:r>
            <w:r>
              <w:rPr>
                <w:rFonts w:hint="eastAsia"/>
                <w:color w:val="auto"/>
                <w:sz w:val="24"/>
                <w:lang w:eastAsia="zh-CN"/>
              </w:rPr>
              <w:t>（</w:t>
            </w:r>
            <w:r>
              <w:rPr>
                <w:rFonts w:hint="eastAsia"/>
                <w:color w:val="auto"/>
                <w:sz w:val="24"/>
                <w:lang w:val="en-US" w:eastAsia="zh-CN"/>
              </w:rPr>
              <w:t>不含甲苯+二甲苯</w:t>
            </w:r>
            <w:r>
              <w:rPr>
                <w:rFonts w:hint="eastAsia"/>
                <w:color w:val="auto"/>
                <w:sz w:val="24"/>
                <w:lang w:eastAsia="zh-CN"/>
              </w:rPr>
              <w:t>）</w:t>
            </w:r>
            <w:r>
              <w:rPr>
                <w:rFonts w:hint="eastAsia"/>
                <w:b/>
                <w:bCs/>
                <w:color w:val="auto"/>
                <w:sz w:val="24"/>
                <w:u w:val="single"/>
                <w:lang w:val="en-US" w:eastAsia="zh-CN"/>
              </w:rPr>
              <w:t>0.7970</w:t>
            </w:r>
            <w:r>
              <w:rPr>
                <w:rFonts w:hint="eastAsia"/>
                <w:color w:val="auto"/>
                <w:sz w:val="24"/>
              </w:rPr>
              <w:t>t/a、甲苯+二甲苯排放量为</w:t>
            </w:r>
            <w:r>
              <w:rPr>
                <w:rFonts w:hint="eastAsia"/>
                <w:b/>
                <w:bCs/>
                <w:color w:val="auto"/>
                <w:sz w:val="24"/>
                <w:u w:val="single"/>
                <w:lang w:val="en-US" w:eastAsia="zh-CN"/>
              </w:rPr>
              <w:t>0.1620</w:t>
            </w:r>
            <w:r>
              <w:rPr>
                <w:rFonts w:hint="eastAsia"/>
                <w:color w:val="auto"/>
                <w:sz w:val="24"/>
              </w:rPr>
              <w:t>t/a，运行时间为2400h/a，因此，排放速率为非甲烷总烃</w:t>
            </w:r>
            <w:r>
              <w:rPr>
                <w:rFonts w:hint="eastAsia"/>
                <w:color w:val="auto"/>
                <w:sz w:val="24"/>
                <w:lang w:eastAsia="zh-CN"/>
              </w:rPr>
              <w:t>（</w:t>
            </w:r>
            <w:r>
              <w:rPr>
                <w:rFonts w:hint="eastAsia"/>
                <w:color w:val="auto"/>
                <w:sz w:val="24"/>
                <w:lang w:val="en-US" w:eastAsia="zh-CN"/>
              </w:rPr>
              <w:t>不含甲苯+二甲苯</w:t>
            </w:r>
            <w:r>
              <w:rPr>
                <w:rFonts w:hint="eastAsia"/>
                <w:color w:val="auto"/>
                <w:sz w:val="24"/>
                <w:lang w:eastAsia="zh-CN"/>
              </w:rPr>
              <w:t>）</w:t>
            </w:r>
            <w:r>
              <w:rPr>
                <w:rFonts w:hint="eastAsia"/>
                <w:b/>
                <w:bCs/>
                <w:color w:val="auto"/>
                <w:sz w:val="24"/>
                <w:u w:val="single"/>
                <w:lang w:val="en-US" w:eastAsia="zh-CN"/>
              </w:rPr>
              <w:t>0.3321</w:t>
            </w:r>
            <w:r>
              <w:rPr>
                <w:rFonts w:hint="eastAsia"/>
                <w:b/>
                <w:bCs/>
                <w:color w:val="auto"/>
                <w:sz w:val="24"/>
                <w:u w:val="single"/>
              </w:rPr>
              <w:t>kg/h</w:t>
            </w:r>
            <w:r>
              <w:rPr>
                <w:rFonts w:hint="eastAsia"/>
                <w:color w:val="auto"/>
                <w:sz w:val="24"/>
              </w:rPr>
              <w:t>、甲苯+二甲苯</w:t>
            </w:r>
            <w:r>
              <w:rPr>
                <w:rFonts w:hint="eastAsia"/>
                <w:b/>
                <w:bCs/>
                <w:color w:val="auto"/>
                <w:sz w:val="24"/>
                <w:u w:val="single"/>
                <w:lang w:val="en-US" w:eastAsia="zh-CN"/>
              </w:rPr>
              <w:t>0.0675</w:t>
            </w:r>
            <w:r>
              <w:rPr>
                <w:rFonts w:hint="eastAsia"/>
                <w:b/>
                <w:bCs/>
                <w:color w:val="auto"/>
                <w:sz w:val="24"/>
                <w:u w:val="single"/>
              </w:rPr>
              <w:t>kg/h</w:t>
            </w:r>
            <w:r>
              <w:rPr>
                <w:rFonts w:hint="eastAsia"/>
                <w:color w:val="auto"/>
                <w:sz w:val="24"/>
              </w:rPr>
              <w:t>。</w:t>
            </w:r>
          </w:p>
          <w:p w14:paraId="5C1C485E">
            <w:pPr>
              <w:spacing w:line="360" w:lineRule="auto"/>
              <w:ind w:firstLine="480" w:firstLineChars="200"/>
              <w:rPr>
                <w:bCs/>
                <w:color w:val="auto"/>
                <w:sz w:val="24"/>
              </w:rPr>
            </w:pPr>
            <w:r>
              <w:rPr>
                <w:rFonts w:hint="eastAsia"/>
                <w:color w:val="auto"/>
                <w:sz w:val="24"/>
              </w:rPr>
              <w:t>综上，脱附程序、催化燃烧程序和活性炭吸附程序同时运行时，非甲烷总烃</w:t>
            </w:r>
            <w:r>
              <w:rPr>
                <w:rFonts w:hint="eastAsia"/>
                <w:color w:val="auto"/>
                <w:sz w:val="24"/>
                <w:lang w:eastAsia="zh-CN"/>
              </w:rPr>
              <w:t>（</w:t>
            </w:r>
            <w:r>
              <w:rPr>
                <w:rFonts w:hint="eastAsia"/>
                <w:color w:val="auto"/>
                <w:sz w:val="24"/>
                <w:lang w:val="en-US" w:eastAsia="zh-CN"/>
              </w:rPr>
              <w:t>不含甲苯+二甲苯</w:t>
            </w:r>
            <w:r>
              <w:rPr>
                <w:rFonts w:hint="eastAsia"/>
                <w:color w:val="auto"/>
                <w:sz w:val="24"/>
                <w:lang w:eastAsia="zh-CN"/>
              </w:rPr>
              <w:t>）</w:t>
            </w:r>
            <w:r>
              <w:rPr>
                <w:rFonts w:hint="eastAsia"/>
                <w:color w:val="auto"/>
                <w:sz w:val="24"/>
              </w:rPr>
              <w:t>排放速率为</w:t>
            </w:r>
            <w:r>
              <w:rPr>
                <w:rFonts w:hint="eastAsia"/>
                <w:b/>
                <w:bCs/>
                <w:color w:val="auto"/>
                <w:sz w:val="24"/>
                <w:u w:val="single"/>
                <w:lang w:val="en-US" w:eastAsia="zh-CN"/>
              </w:rPr>
              <w:t>0.5003</w:t>
            </w:r>
            <w:r>
              <w:rPr>
                <w:rFonts w:hint="eastAsia"/>
                <w:color w:val="auto"/>
                <w:sz w:val="24"/>
              </w:rPr>
              <w:t>kg/h，甲苯+二甲苯排放速率为</w:t>
            </w:r>
            <w:r>
              <w:rPr>
                <w:rFonts w:hint="eastAsia"/>
                <w:b/>
                <w:bCs/>
                <w:color w:val="auto"/>
                <w:sz w:val="24"/>
                <w:u w:val="single"/>
                <w:lang w:val="en-US" w:eastAsia="zh-CN"/>
              </w:rPr>
              <w:t>0.1039</w:t>
            </w:r>
            <w:r>
              <w:rPr>
                <w:rFonts w:hint="eastAsia"/>
                <w:color w:val="auto"/>
                <w:sz w:val="24"/>
              </w:rPr>
              <w:t>kg/h，</w:t>
            </w:r>
            <w:r>
              <w:rPr>
                <w:rFonts w:hint="eastAsia"/>
                <w:color w:val="auto"/>
                <w:sz w:val="24"/>
                <w:highlight w:val="none"/>
              </w:rPr>
              <w:t>脱附风机与主风机合并风量为</w:t>
            </w:r>
            <w:r>
              <w:rPr>
                <w:rFonts w:hint="eastAsia"/>
                <w:color w:val="auto"/>
                <w:sz w:val="24"/>
                <w:highlight w:val="none"/>
                <w:lang w:val="en-US" w:eastAsia="zh-CN"/>
              </w:rPr>
              <w:t>43</w:t>
            </w:r>
            <w:r>
              <w:rPr>
                <w:rFonts w:hint="eastAsia"/>
                <w:color w:val="auto"/>
                <w:sz w:val="24"/>
                <w:highlight w:val="none"/>
              </w:rPr>
              <w:t>000m</w:t>
            </w:r>
            <w:r>
              <w:rPr>
                <w:rFonts w:hint="eastAsia"/>
                <w:color w:val="auto"/>
                <w:sz w:val="24"/>
                <w:highlight w:val="none"/>
                <w:vertAlign w:val="superscript"/>
              </w:rPr>
              <w:t>3</w:t>
            </w:r>
            <w:r>
              <w:rPr>
                <w:rFonts w:hint="eastAsia"/>
                <w:color w:val="auto"/>
                <w:sz w:val="24"/>
                <w:highlight w:val="none"/>
              </w:rPr>
              <w:t>/h</w:t>
            </w:r>
            <w:r>
              <w:rPr>
                <w:rFonts w:hint="eastAsia"/>
                <w:color w:val="auto"/>
                <w:sz w:val="24"/>
              </w:rPr>
              <w:t>，因此，非甲烷总烃</w:t>
            </w:r>
            <w:r>
              <w:rPr>
                <w:rFonts w:hint="eastAsia"/>
                <w:color w:val="auto"/>
                <w:sz w:val="24"/>
                <w:lang w:eastAsia="zh-CN"/>
              </w:rPr>
              <w:t>（</w:t>
            </w:r>
            <w:r>
              <w:rPr>
                <w:rFonts w:hint="eastAsia"/>
                <w:color w:val="auto"/>
                <w:sz w:val="24"/>
                <w:lang w:val="en-US" w:eastAsia="zh-CN"/>
              </w:rPr>
              <w:t>不含甲苯+二甲苯</w:t>
            </w:r>
            <w:r>
              <w:rPr>
                <w:rFonts w:hint="eastAsia"/>
                <w:color w:val="auto"/>
                <w:sz w:val="24"/>
                <w:lang w:eastAsia="zh-CN"/>
              </w:rPr>
              <w:t>）</w:t>
            </w:r>
            <w:r>
              <w:rPr>
                <w:rFonts w:hint="eastAsia"/>
                <w:color w:val="auto"/>
                <w:sz w:val="24"/>
              </w:rPr>
              <w:t>排放浓度为</w:t>
            </w:r>
            <w:r>
              <w:rPr>
                <w:rFonts w:hint="eastAsia"/>
                <w:b/>
                <w:bCs/>
                <w:color w:val="auto"/>
                <w:sz w:val="24"/>
                <w:u w:val="single"/>
                <w:lang w:val="en-US" w:eastAsia="zh-CN"/>
              </w:rPr>
              <w:t>11.6</w:t>
            </w:r>
            <w:r>
              <w:rPr>
                <w:rFonts w:hint="eastAsia"/>
                <w:b/>
                <w:bCs/>
                <w:color w:val="auto"/>
                <w:sz w:val="24"/>
                <w:u w:val="single"/>
              </w:rPr>
              <w:t>mg/m</w:t>
            </w:r>
            <w:r>
              <w:rPr>
                <w:rFonts w:hint="eastAsia"/>
                <w:b/>
                <w:bCs/>
                <w:color w:val="auto"/>
                <w:sz w:val="24"/>
                <w:u w:val="single"/>
                <w:vertAlign w:val="superscript"/>
              </w:rPr>
              <w:t>3</w:t>
            </w:r>
            <w:r>
              <w:rPr>
                <w:rFonts w:hint="eastAsia"/>
                <w:color w:val="auto"/>
                <w:sz w:val="24"/>
              </w:rPr>
              <w:t>、甲苯+二甲苯排放浓度为</w:t>
            </w:r>
            <w:r>
              <w:rPr>
                <w:rFonts w:hint="eastAsia"/>
                <w:b/>
                <w:bCs/>
                <w:color w:val="auto"/>
                <w:sz w:val="24"/>
                <w:u w:val="single"/>
                <w:lang w:val="en-US" w:eastAsia="zh-CN"/>
              </w:rPr>
              <w:t>2.4</w:t>
            </w:r>
            <w:r>
              <w:rPr>
                <w:rFonts w:hint="eastAsia"/>
                <w:b/>
                <w:bCs/>
                <w:color w:val="auto"/>
                <w:sz w:val="24"/>
                <w:u w:val="single"/>
              </w:rPr>
              <w:t>mg/m</w:t>
            </w:r>
            <w:r>
              <w:rPr>
                <w:rFonts w:hint="eastAsia"/>
                <w:b/>
                <w:bCs/>
                <w:color w:val="auto"/>
                <w:sz w:val="24"/>
                <w:u w:val="single"/>
                <w:vertAlign w:val="superscript"/>
              </w:rPr>
              <w:t>3</w:t>
            </w:r>
            <w:r>
              <w:rPr>
                <w:rFonts w:hint="eastAsia"/>
                <w:color w:val="auto"/>
                <w:sz w:val="24"/>
              </w:rPr>
              <w:t>，</w:t>
            </w:r>
            <w:r>
              <w:rPr>
                <w:rFonts w:hAnsi="宋体"/>
                <w:bCs/>
                <w:color w:val="auto"/>
                <w:sz w:val="24"/>
              </w:rPr>
              <w:t>可满足《工业涂装</w:t>
            </w:r>
            <w:r>
              <w:rPr>
                <w:rFonts w:hint="eastAsia" w:hAnsi="宋体"/>
                <w:bCs/>
                <w:color w:val="auto"/>
                <w:sz w:val="24"/>
              </w:rPr>
              <w:t>工序</w:t>
            </w:r>
            <w:r>
              <w:rPr>
                <w:rFonts w:hAnsi="宋体"/>
                <w:bCs/>
                <w:color w:val="auto"/>
                <w:sz w:val="24"/>
              </w:rPr>
              <w:t>挥发性有机物排放标准》（</w:t>
            </w:r>
            <w:r>
              <w:rPr>
                <w:bCs/>
                <w:color w:val="auto"/>
                <w:sz w:val="24"/>
              </w:rPr>
              <w:t>DB</w:t>
            </w:r>
            <w:r>
              <w:rPr>
                <w:rFonts w:hint="eastAsia"/>
                <w:bCs/>
                <w:color w:val="auto"/>
                <w:sz w:val="24"/>
                <w:lang w:val="en-US" w:eastAsia="zh-CN"/>
              </w:rPr>
              <w:t xml:space="preserve"> </w:t>
            </w:r>
            <w:r>
              <w:rPr>
                <w:bCs/>
                <w:color w:val="auto"/>
                <w:sz w:val="24"/>
              </w:rPr>
              <w:t>41/1951</w:t>
            </w:r>
            <w:r>
              <w:rPr>
                <w:rFonts w:hint="eastAsia"/>
                <w:bCs/>
                <w:color w:val="auto"/>
                <w:sz w:val="24"/>
              </w:rPr>
              <w:t>-</w:t>
            </w:r>
            <w:r>
              <w:rPr>
                <w:bCs/>
                <w:color w:val="auto"/>
                <w:sz w:val="24"/>
              </w:rPr>
              <w:t>2020</w:t>
            </w:r>
            <w:r>
              <w:rPr>
                <w:rFonts w:hAnsi="宋体"/>
                <w:bCs/>
                <w:color w:val="auto"/>
                <w:sz w:val="24"/>
              </w:rPr>
              <w:t>）</w:t>
            </w:r>
            <w:r>
              <w:rPr>
                <w:rFonts w:hint="eastAsia" w:hAnsi="宋体"/>
                <w:bCs/>
                <w:color w:val="auto"/>
                <w:sz w:val="24"/>
              </w:rPr>
              <w:t>、</w:t>
            </w:r>
            <w:r>
              <w:rPr>
                <w:rFonts w:hAnsi="宋体"/>
                <w:bCs/>
                <w:color w:val="auto"/>
                <w:sz w:val="24"/>
              </w:rPr>
              <w:t>《关于全省开展工业企业挥发性有机物专项治理工作中排放建议值的通知》</w:t>
            </w:r>
            <w:r>
              <w:rPr>
                <w:rFonts w:hint="eastAsia" w:hAnsi="宋体"/>
                <w:bCs/>
                <w:color w:val="auto"/>
                <w:sz w:val="24"/>
              </w:rPr>
              <w:t>（</w:t>
            </w:r>
            <w:r>
              <w:rPr>
                <w:rFonts w:hAnsi="宋体"/>
                <w:bCs/>
                <w:color w:val="auto"/>
                <w:sz w:val="24"/>
              </w:rPr>
              <w:t>豫环攻坚办</w:t>
            </w:r>
            <w:r>
              <w:rPr>
                <w:bCs/>
                <w:color w:val="auto"/>
                <w:sz w:val="24"/>
              </w:rPr>
              <w:t>[2017]162</w:t>
            </w:r>
            <w:r>
              <w:rPr>
                <w:rFonts w:hAnsi="宋体"/>
                <w:bCs/>
                <w:color w:val="auto"/>
                <w:sz w:val="24"/>
              </w:rPr>
              <w:t>号</w:t>
            </w:r>
            <w:r>
              <w:rPr>
                <w:rFonts w:hint="eastAsia" w:hAnsi="宋体"/>
                <w:bCs/>
                <w:color w:val="auto"/>
                <w:sz w:val="24"/>
              </w:rPr>
              <w:t>）</w:t>
            </w:r>
            <w:r>
              <w:rPr>
                <w:rFonts w:hAnsi="宋体"/>
                <w:bCs/>
                <w:color w:val="auto"/>
                <w:sz w:val="24"/>
              </w:rPr>
              <w:t>及《重污染天气重点行业应急减排措施制定技术指南》（</w:t>
            </w:r>
            <w:r>
              <w:rPr>
                <w:bCs/>
                <w:color w:val="auto"/>
                <w:sz w:val="24"/>
              </w:rPr>
              <w:t>2020</w:t>
            </w:r>
            <w:r>
              <w:rPr>
                <w:rFonts w:hAnsi="宋体"/>
                <w:bCs/>
                <w:color w:val="auto"/>
                <w:sz w:val="24"/>
              </w:rPr>
              <w:t>年修订版）中的</w:t>
            </w:r>
            <w:r>
              <w:rPr>
                <w:rFonts w:hint="eastAsia" w:hAnsi="宋体"/>
                <w:b/>
                <w:bCs w:val="0"/>
                <w:color w:val="auto"/>
                <w:sz w:val="24"/>
                <w:u w:val="single"/>
              </w:rPr>
              <w:t>家具制造行业</w:t>
            </w:r>
            <w:r>
              <w:rPr>
                <w:bCs/>
                <w:color w:val="auto"/>
                <w:sz w:val="24"/>
              </w:rPr>
              <w:t>A</w:t>
            </w:r>
            <w:r>
              <w:rPr>
                <w:rFonts w:hAnsi="宋体"/>
                <w:bCs/>
                <w:color w:val="auto"/>
                <w:sz w:val="24"/>
              </w:rPr>
              <w:t>级等相关要求。</w:t>
            </w:r>
          </w:p>
          <w:p w14:paraId="1D78420E">
            <w:pPr>
              <w:pStyle w:val="13"/>
              <w:rPr>
                <w:rFonts w:hint="eastAsia" w:hAnsi="宋体"/>
                <w:bCs/>
                <w:color w:val="auto"/>
                <w:sz w:val="24"/>
                <w:lang w:eastAsia="zh-CN"/>
              </w:rPr>
            </w:pPr>
            <w:r>
              <w:rPr>
                <w:rFonts w:hint="eastAsia" w:hAnsi="宋体"/>
                <w:bCs/>
                <w:color w:val="auto"/>
                <w:sz w:val="24"/>
                <w:lang w:eastAsia="zh-CN"/>
              </w:rPr>
              <w:t>（</w:t>
            </w:r>
            <w:r>
              <w:rPr>
                <w:rFonts w:hint="eastAsia" w:hAnsi="宋体"/>
                <w:bCs/>
                <w:color w:val="auto"/>
                <w:sz w:val="24"/>
                <w:lang w:val="en-US" w:eastAsia="zh-CN"/>
              </w:rPr>
              <w:t>3</w:t>
            </w:r>
            <w:r>
              <w:rPr>
                <w:rFonts w:hint="eastAsia" w:hAnsi="宋体"/>
                <w:bCs/>
                <w:color w:val="auto"/>
                <w:sz w:val="24"/>
                <w:lang w:eastAsia="zh-CN"/>
              </w:rPr>
              <w:t>）</w:t>
            </w:r>
            <w:r>
              <w:rPr>
                <w:rFonts w:hint="eastAsia" w:hAnsi="宋体"/>
                <w:bCs/>
                <w:color w:val="auto"/>
                <w:sz w:val="24"/>
                <w:lang w:val="en-US" w:eastAsia="zh-CN"/>
              </w:rPr>
              <w:t>危废暂存间</w:t>
            </w:r>
            <w:r>
              <w:rPr>
                <w:rFonts w:hint="eastAsia" w:hAnsi="宋体"/>
                <w:bCs/>
                <w:color w:val="auto"/>
                <w:sz w:val="24"/>
                <w:lang w:eastAsia="zh-CN"/>
              </w:rPr>
              <w:t>废气</w:t>
            </w:r>
          </w:p>
          <w:p w14:paraId="71042EB7">
            <w:pPr>
              <w:spacing w:line="360" w:lineRule="auto"/>
              <w:ind w:firstLine="480" w:firstLineChars="200"/>
              <w:rPr>
                <w:rFonts w:hint="eastAsia" w:ascii="Times New Roman" w:hAnsi="Times New Roman" w:cs="Times New Roman"/>
                <w:color w:val="auto"/>
                <w:sz w:val="24"/>
                <w:lang w:eastAsia="zh-CN"/>
              </w:rPr>
            </w:pPr>
            <w:r>
              <w:rPr>
                <w:rFonts w:hint="eastAsia" w:ascii="Times New Roman" w:hAnsi="Times New Roman" w:cs="Times New Roman"/>
                <w:color w:val="auto"/>
                <w:sz w:val="24"/>
                <w:lang w:eastAsia="zh-CN"/>
              </w:rPr>
              <w:t>本项目产生的危废主要废漆料（胶）包装桶、废机油、废液压油</w:t>
            </w:r>
            <w:r>
              <w:rPr>
                <w:rFonts w:hint="eastAsia" w:cs="Times New Roman"/>
                <w:color w:val="auto"/>
                <w:sz w:val="24"/>
                <w:lang w:eastAsia="zh-CN"/>
              </w:rPr>
              <w:t>、</w:t>
            </w:r>
            <w:r>
              <w:rPr>
                <w:rFonts w:hint="eastAsia" w:cs="Times New Roman"/>
                <w:b/>
                <w:bCs/>
                <w:color w:val="auto"/>
                <w:sz w:val="24"/>
                <w:u w:val="single"/>
                <w:lang w:val="en-US" w:eastAsia="zh-CN"/>
              </w:rPr>
              <w:t>废机油桶、废液压油桶</w:t>
            </w:r>
            <w:r>
              <w:rPr>
                <w:rFonts w:hint="eastAsia" w:ascii="Times New Roman" w:hAnsi="Times New Roman" w:cs="Times New Roman"/>
                <w:color w:val="auto"/>
                <w:sz w:val="24"/>
                <w:lang w:eastAsia="zh-CN"/>
              </w:rPr>
              <w:t>、废过滤棉（含漆渣）、废活性炭、废催化剂、废UV灯管，暂存在危废间及时交由资质单位处理，危废间废气主要是非甲烷总烃，</w:t>
            </w:r>
            <w:r>
              <w:rPr>
                <w:rFonts w:hint="eastAsia" w:cs="Times New Roman"/>
                <w:b/>
                <w:bCs/>
                <w:color w:val="auto"/>
                <w:sz w:val="24"/>
                <w:u w:val="single"/>
                <w:lang w:val="en-US" w:eastAsia="zh-CN"/>
              </w:rPr>
              <w:t>危废间产生的废气量比较小，不再进行核算，集气管道引入活性炭吸附、脱附+催化燃烧装置进行处理。企业不进行生产时，建议企业危废间危废进行及时清运。</w:t>
            </w:r>
          </w:p>
          <w:p w14:paraId="0F126C00">
            <w:pPr>
              <w:snapToGrid w:val="0"/>
              <w:spacing w:line="360" w:lineRule="auto"/>
              <w:rPr>
                <w:b/>
                <w:bCs/>
                <w:color w:val="auto"/>
                <w:sz w:val="24"/>
              </w:rPr>
            </w:pPr>
            <w:r>
              <w:rPr>
                <w:b/>
                <w:bCs/>
                <w:color w:val="auto"/>
                <w:sz w:val="24"/>
              </w:rPr>
              <w:t>1.3工程废气污染防治措施及可行性</w:t>
            </w:r>
          </w:p>
          <w:p w14:paraId="41B54AD4">
            <w:pPr>
              <w:pStyle w:val="21"/>
              <w:adjustRightInd w:val="0"/>
              <w:snapToGrid w:val="0"/>
              <w:spacing w:before="0" w:beforeAutospacing="0" w:after="0" w:afterAutospacing="0" w:line="360" w:lineRule="auto"/>
              <w:ind w:firstLine="480" w:firstLineChars="200"/>
              <w:rPr>
                <w:rFonts w:ascii="Times New Roman" w:hAnsi="Times New Roman"/>
                <w:color w:val="auto"/>
                <w:szCs w:val="24"/>
              </w:rPr>
            </w:pPr>
            <w:r>
              <w:rPr>
                <w:rFonts w:ascii="Times New Roman" w:hAnsi="Times New Roman"/>
                <w:color w:val="auto"/>
                <w:szCs w:val="24"/>
              </w:rPr>
              <w:t>（1）末端处理设备可行性分析</w:t>
            </w:r>
          </w:p>
          <w:p w14:paraId="7B792CAC">
            <w:pPr>
              <w:pStyle w:val="21"/>
              <w:adjustRightInd w:val="0"/>
              <w:snapToGrid w:val="0"/>
              <w:spacing w:before="0" w:beforeAutospacing="0" w:after="0" w:afterAutospacing="0" w:line="360" w:lineRule="auto"/>
              <w:ind w:firstLine="480" w:firstLineChars="200"/>
              <w:rPr>
                <w:rFonts w:ascii="Times New Roman" w:hAnsi="Times New Roman"/>
                <w:color w:val="auto"/>
                <w:szCs w:val="24"/>
                <w:highlight w:val="yellow"/>
              </w:rPr>
            </w:pPr>
            <w:r>
              <w:rPr>
                <w:rFonts w:ascii="Times New Roman" w:hAnsi="Times New Roman"/>
                <w:color w:val="auto"/>
                <w:szCs w:val="24"/>
              </w:rPr>
              <w:t>本项目</w:t>
            </w:r>
            <w:r>
              <w:rPr>
                <w:rFonts w:hint="eastAsia" w:ascii="Times New Roman" w:hAnsi="Times New Roman"/>
                <w:color w:val="auto"/>
                <w:szCs w:val="24"/>
              </w:rPr>
              <w:t>颗粒物处理设施为袋式除尘器；有机</w:t>
            </w:r>
            <w:r>
              <w:rPr>
                <w:rFonts w:ascii="Times New Roman" w:hAnsi="Times New Roman"/>
                <w:color w:val="auto"/>
                <w:szCs w:val="24"/>
              </w:rPr>
              <w:t>废气治污设施</w:t>
            </w:r>
            <w:r>
              <w:rPr>
                <w:rFonts w:hint="eastAsia" w:ascii="Times New Roman" w:hAnsi="Times New Roman"/>
                <w:color w:val="auto"/>
                <w:szCs w:val="24"/>
              </w:rPr>
              <w:t>为</w:t>
            </w:r>
            <w:r>
              <w:rPr>
                <w:rFonts w:hint="eastAsia" w:ascii="Times New Roman" w:hAnsi="Times New Roman"/>
                <w:color w:val="auto"/>
                <w:szCs w:val="24"/>
                <w:lang w:val="en-US" w:eastAsia="zh-CN"/>
              </w:rPr>
              <w:t>过滤</w:t>
            </w:r>
            <w:r>
              <w:rPr>
                <w:rFonts w:ascii="Times New Roman" w:hAnsi="Times New Roman"/>
                <w:color w:val="auto"/>
                <w:szCs w:val="24"/>
              </w:rPr>
              <w:t>棉+活性炭吸附</w:t>
            </w:r>
            <w:r>
              <w:rPr>
                <w:rFonts w:hint="eastAsia" w:ascii="Times New Roman" w:hAnsi="Times New Roman"/>
                <w:color w:val="auto"/>
                <w:szCs w:val="24"/>
                <w:lang w:eastAsia="zh-CN"/>
              </w:rPr>
              <w:t>、</w:t>
            </w:r>
            <w:r>
              <w:rPr>
                <w:rFonts w:ascii="Times New Roman" w:hAnsi="Times New Roman"/>
                <w:color w:val="auto"/>
                <w:szCs w:val="24"/>
              </w:rPr>
              <w:t>脱附</w:t>
            </w:r>
            <w:r>
              <w:rPr>
                <w:rFonts w:hint="eastAsia" w:ascii="Times New Roman" w:hAnsi="Times New Roman"/>
                <w:color w:val="auto"/>
                <w:szCs w:val="24"/>
              </w:rPr>
              <w:t>+</w:t>
            </w:r>
            <w:r>
              <w:rPr>
                <w:rFonts w:ascii="Times New Roman" w:hAnsi="Times New Roman"/>
                <w:color w:val="auto"/>
                <w:szCs w:val="24"/>
              </w:rPr>
              <w:t>催化燃烧装置</w:t>
            </w:r>
            <w:r>
              <w:rPr>
                <w:rFonts w:hint="eastAsia" w:cs="宋体"/>
                <w:color w:val="auto"/>
                <w:szCs w:val="24"/>
              </w:rPr>
              <w:t>，根据</w:t>
            </w:r>
            <w:r>
              <w:rPr>
                <w:rFonts w:hint="eastAsia" w:ascii="Times New Roman" w:hAnsi="Times New Roman"/>
                <w:color w:val="auto"/>
                <w:szCs w:val="24"/>
              </w:rPr>
              <w:t>《排污许可证申请与核发技术规范 家具制造工业》（HJ1027-2019），本项目</w:t>
            </w:r>
            <w:r>
              <w:rPr>
                <w:rFonts w:hint="eastAsia" w:cs="宋体"/>
                <w:color w:val="auto"/>
                <w:szCs w:val="24"/>
              </w:rPr>
              <w:t>治污设施均为废气处理可行技术</w:t>
            </w:r>
            <w:r>
              <w:rPr>
                <w:rFonts w:ascii="Times New Roman" w:hAnsi="Times New Roman"/>
                <w:color w:val="auto"/>
                <w:szCs w:val="24"/>
              </w:rPr>
              <w:t>。</w:t>
            </w:r>
          </w:p>
          <w:p w14:paraId="2F4CC911">
            <w:pPr>
              <w:pStyle w:val="21"/>
              <w:adjustRightInd w:val="0"/>
              <w:snapToGrid w:val="0"/>
              <w:spacing w:before="0" w:beforeAutospacing="0" w:after="0" w:afterAutospacing="0" w:line="360" w:lineRule="auto"/>
              <w:ind w:firstLine="480" w:firstLineChars="200"/>
              <w:rPr>
                <w:rFonts w:ascii="Times New Roman" w:hAnsi="Times New Roman"/>
                <w:color w:val="auto"/>
                <w:szCs w:val="24"/>
              </w:rPr>
            </w:pPr>
            <w:r>
              <w:rPr>
                <w:rFonts w:ascii="Times New Roman" w:hAnsi="Times New Roman"/>
                <w:color w:val="auto"/>
                <w:szCs w:val="24"/>
              </w:rPr>
              <w:t>（2）废气收集设施可行性分析</w:t>
            </w:r>
          </w:p>
          <w:p w14:paraId="5C063CD8">
            <w:pPr>
              <w:pStyle w:val="21"/>
              <w:adjustRightInd w:val="0"/>
              <w:snapToGrid w:val="0"/>
              <w:spacing w:before="0" w:beforeAutospacing="0" w:after="0" w:afterAutospacing="0" w:line="360" w:lineRule="auto"/>
              <w:ind w:firstLine="480" w:firstLineChars="200"/>
              <w:rPr>
                <w:rFonts w:hint="eastAsia" w:ascii="Times New Roman" w:hAnsi="Times New Roman"/>
                <w:color w:val="auto"/>
                <w:szCs w:val="24"/>
              </w:rPr>
            </w:pPr>
            <w:r>
              <w:rPr>
                <w:rFonts w:hint="eastAsia" w:ascii="Times New Roman" w:hAnsi="Times New Roman"/>
                <w:color w:val="auto"/>
                <w:szCs w:val="24"/>
                <w:lang w:val="en-US" w:eastAsia="zh-CN"/>
              </w:rPr>
              <w:t>干式打磨柜、</w:t>
            </w:r>
            <w:r>
              <w:rPr>
                <w:rFonts w:hint="eastAsia" w:ascii="Times New Roman" w:hAnsi="Times New Roman"/>
                <w:color w:val="auto"/>
                <w:szCs w:val="24"/>
              </w:rPr>
              <w:t>喷漆房、晾干房全密闭收集，集气效果较好。</w:t>
            </w:r>
          </w:p>
          <w:p w14:paraId="6822051F">
            <w:pPr>
              <w:snapToGrid w:val="0"/>
              <w:spacing w:line="360" w:lineRule="auto"/>
              <w:ind w:firstLine="480" w:firstLineChars="200"/>
              <w:rPr>
                <w:color w:val="auto"/>
                <w:sz w:val="24"/>
              </w:rPr>
            </w:pPr>
            <w:r>
              <w:rPr>
                <w:color w:val="auto"/>
                <w:sz w:val="24"/>
              </w:rPr>
              <w:t>（3）排气筒设置合理性分析</w:t>
            </w:r>
          </w:p>
          <w:p w14:paraId="208E3046">
            <w:pPr>
              <w:pStyle w:val="21"/>
              <w:adjustRightInd w:val="0"/>
              <w:snapToGrid w:val="0"/>
              <w:spacing w:before="0" w:beforeAutospacing="0" w:after="0" w:afterAutospacing="0" w:line="360" w:lineRule="auto"/>
              <w:ind w:firstLine="480" w:firstLineChars="200"/>
              <w:rPr>
                <w:rFonts w:ascii="Times New Roman" w:hAnsi="Times New Roman"/>
                <w:color w:val="auto"/>
                <w:szCs w:val="24"/>
              </w:rPr>
            </w:pPr>
            <w:r>
              <w:rPr>
                <w:rFonts w:ascii="Times New Roman" w:hAnsi="Times New Roman"/>
                <w:color w:val="auto"/>
                <w:szCs w:val="24"/>
              </w:rPr>
              <w:t>根据《大气污染物综合排放标准》（GB16297-1996）中规定，新污染源的排气筒一般不应低于15m，且高出周围半径200m距离内的最高建筑物</w:t>
            </w:r>
            <w:r>
              <w:rPr>
                <w:rFonts w:hint="eastAsia" w:ascii="Times New Roman" w:hAnsi="Times New Roman"/>
                <w:color w:val="auto"/>
                <w:szCs w:val="24"/>
              </w:rPr>
              <w:t>5</w:t>
            </w:r>
            <w:r>
              <w:rPr>
                <w:rFonts w:ascii="Times New Roman" w:hAnsi="Times New Roman"/>
                <w:color w:val="auto"/>
                <w:szCs w:val="24"/>
              </w:rPr>
              <w:t>m。</w:t>
            </w:r>
          </w:p>
          <w:p w14:paraId="56998BB0">
            <w:pPr>
              <w:pStyle w:val="21"/>
              <w:adjustRightInd w:val="0"/>
              <w:snapToGrid w:val="0"/>
              <w:spacing w:before="0" w:beforeAutospacing="0" w:after="0" w:afterAutospacing="0" w:line="360" w:lineRule="auto"/>
              <w:ind w:firstLine="480" w:firstLineChars="200"/>
              <w:rPr>
                <w:rFonts w:ascii="Times New Roman" w:hAnsi="Times New Roman"/>
                <w:color w:val="auto"/>
                <w:szCs w:val="24"/>
              </w:rPr>
            </w:pPr>
            <w:r>
              <w:rPr>
                <w:rFonts w:ascii="Times New Roman" w:hAnsi="Times New Roman"/>
                <w:color w:val="auto"/>
                <w:szCs w:val="24"/>
              </w:rPr>
              <w:t>本项目周边200m范围内</w:t>
            </w:r>
            <w:r>
              <w:rPr>
                <w:rFonts w:hint="eastAsia" w:ascii="Times New Roman" w:hAnsi="Times New Roman"/>
                <w:color w:val="auto"/>
                <w:szCs w:val="24"/>
              </w:rPr>
              <w:t>全部为生产厂房</w:t>
            </w:r>
            <w:r>
              <w:rPr>
                <w:rFonts w:ascii="Times New Roman" w:hAnsi="Times New Roman"/>
                <w:color w:val="auto"/>
                <w:szCs w:val="24"/>
              </w:rPr>
              <w:t>，</w:t>
            </w:r>
            <w:r>
              <w:rPr>
                <w:rFonts w:hint="eastAsia" w:ascii="Times New Roman" w:hAnsi="Times New Roman"/>
                <w:color w:val="auto"/>
                <w:szCs w:val="24"/>
              </w:rPr>
              <w:t>最高</w:t>
            </w:r>
            <w:r>
              <w:rPr>
                <w:rFonts w:ascii="Times New Roman" w:hAnsi="Times New Roman"/>
                <w:color w:val="auto"/>
                <w:szCs w:val="24"/>
              </w:rPr>
              <w:t>高</w:t>
            </w:r>
            <w:r>
              <w:rPr>
                <w:rFonts w:hint="eastAsia" w:ascii="Times New Roman" w:hAnsi="Times New Roman"/>
                <w:color w:val="auto"/>
                <w:szCs w:val="24"/>
              </w:rPr>
              <w:t>度为10</w:t>
            </w:r>
            <w:r>
              <w:rPr>
                <w:rFonts w:ascii="Times New Roman" w:hAnsi="Times New Roman"/>
                <w:color w:val="auto"/>
                <w:szCs w:val="24"/>
              </w:rPr>
              <w:t>m。</w:t>
            </w:r>
            <w:r>
              <w:rPr>
                <w:rFonts w:hint="eastAsia" w:ascii="Times New Roman" w:hAnsi="Times New Roman"/>
                <w:color w:val="auto"/>
                <w:szCs w:val="24"/>
              </w:rPr>
              <w:t>出于安全考虑，</w:t>
            </w:r>
            <w:r>
              <w:rPr>
                <w:rFonts w:ascii="Times New Roman" w:hAnsi="Times New Roman"/>
                <w:color w:val="auto"/>
                <w:szCs w:val="24"/>
              </w:rPr>
              <w:t>本项目设计排气筒高度</w:t>
            </w:r>
            <w:r>
              <w:rPr>
                <w:rFonts w:hint="eastAsia" w:ascii="Times New Roman" w:hAnsi="Times New Roman"/>
                <w:color w:val="auto"/>
                <w:szCs w:val="24"/>
              </w:rPr>
              <w:t>均</w:t>
            </w:r>
            <w:r>
              <w:rPr>
                <w:rFonts w:ascii="Times New Roman" w:hAnsi="Times New Roman"/>
                <w:color w:val="auto"/>
                <w:szCs w:val="24"/>
              </w:rPr>
              <w:t>为</w:t>
            </w:r>
            <w:r>
              <w:rPr>
                <w:rFonts w:hint="eastAsia" w:ascii="Times New Roman" w:hAnsi="Times New Roman"/>
                <w:color w:val="auto"/>
                <w:szCs w:val="24"/>
              </w:rPr>
              <w:t>15</w:t>
            </w:r>
            <w:r>
              <w:rPr>
                <w:rFonts w:ascii="Times New Roman" w:hAnsi="Times New Roman"/>
                <w:color w:val="auto"/>
                <w:szCs w:val="24"/>
              </w:rPr>
              <w:t>m，</w:t>
            </w:r>
            <w:r>
              <w:rPr>
                <w:rFonts w:hint="eastAsia" w:ascii="Times New Roman" w:hAnsi="Times New Roman"/>
                <w:color w:val="auto"/>
                <w:szCs w:val="24"/>
              </w:rPr>
              <w:t>满足“</w:t>
            </w:r>
            <w:r>
              <w:rPr>
                <w:rFonts w:ascii="Times New Roman" w:hAnsi="Times New Roman"/>
                <w:color w:val="auto"/>
                <w:szCs w:val="24"/>
              </w:rPr>
              <w:t>新污染源的排气筒一般不应低于15m</w:t>
            </w:r>
            <w:r>
              <w:rPr>
                <w:rFonts w:hint="eastAsia" w:ascii="Times New Roman" w:hAnsi="Times New Roman"/>
                <w:color w:val="auto"/>
                <w:szCs w:val="24"/>
              </w:rPr>
              <w:t>”规定</w:t>
            </w:r>
            <w:r>
              <w:rPr>
                <w:rFonts w:ascii="Times New Roman" w:hAnsi="Times New Roman"/>
                <w:color w:val="auto"/>
                <w:szCs w:val="24"/>
              </w:rPr>
              <w:t>。</w:t>
            </w:r>
          </w:p>
          <w:p w14:paraId="60967D38">
            <w:pPr>
              <w:pStyle w:val="21"/>
              <w:adjustRightInd w:val="0"/>
              <w:snapToGrid w:val="0"/>
              <w:spacing w:before="0" w:beforeAutospacing="0" w:after="0" w:afterAutospacing="0" w:line="360" w:lineRule="auto"/>
              <w:ind w:firstLine="480" w:firstLineChars="200"/>
              <w:rPr>
                <w:rFonts w:hint="eastAsia" w:ascii="Times New Roman" w:hAnsi="Times New Roman"/>
                <w:color w:val="auto"/>
                <w:szCs w:val="24"/>
              </w:rPr>
            </w:pPr>
            <w:r>
              <w:rPr>
                <w:rFonts w:hint="eastAsia" w:ascii="Times New Roman" w:hAnsi="Times New Roman"/>
                <w:color w:val="auto"/>
                <w:szCs w:val="24"/>
              </w:rPr>
              <w:t>综上，本项目各项废气收集及处理措施均可行。</w:t>
            </w:r>
          </w:p>
          <w:p w14:paraId="3B281E3D">
            <w:pPr>
              <w:snapToGrid w:val="0"/>
              <w:spacing w:line="360" w:lineRule="auto"/>
              <w:rPr>
                <w:b/>
                <w:bCs/>
                <w:color w:val="auto"/>
                <w:sz w:val="24"/>
              </w:rPr>
            </w:pPr>
            <w:r>
              <w:rPr>
                <w:b/>
                <w:bCs/>
                <w:color w:val="auto"/>
                <w:sz w:val="24"/>
              </w:rPr>
              <w:t>1.4非正常工况</w:t>
            </w:r>
          </w:p>
          <w:p w14:paraId="35010C80">
            <w:pPr>
              <w:pStyle w:val="46"/>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eastAsia" w:ascii="Times New Roman" w:hAnsi="Arial Unicode MS" w:eastAsia="宋体" w:cs="Times New Roman"/>
                <w:b/>
                <w:color w:val="auto"/>
                <w:kern w:val="2"/>
                <w:sz w:val="24"/>
                <w:szCs w:val="24"/>
                <w:lang w:val="en-US" w:eastAsia="zh-CN" w:bidi="ar-SA"/>
              </w:rPr>
            </w:pPr>
            <w:r>
              <w:rPr>
                <w:rFonts w:hint="eastAsia" w:ascii="Times New Roman" w:hAnsi="Arial Unicode MS" w:eastAsia="宋体" w:cs="Times New Roman"/>
                <w:b/>
                <w:color w:val="auto"/>
                <w:kern w:val="2"/>
                <w:sz w:val="24"/>
                <w:szCs w:val="24"/>
                <w:lang w:val="en-US" w:eastAsia="zh-CN" w:bidi="ar-SA"/>
              </w:rPr>
              <w:t>非正常工况排气筒排放情况一览表</w:t>
            </w:r>
          </w:p>
          <w:tbl>
            <w:tblPr>
              <w:tblStyle w:val="25"/>
              <w:tblW w:w="86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
            <w:tblGrid>
              <w:gridCol w:w="401"/>
              <w:gridCol w:w="1457"/>
              <w:gridCol w:w="1274"/>
              <w:gridCol w:w="871"/>
              <w:gridCol w:w="1286"/>
              <w:gridCol w:w="1066"/>
              <w:gridCol w:w="1135"/>
              <w:gridCol w:w="1112"/>
            </w:tblGrid>
            <w:tr w14:paraId="3E143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283" w:hRule="atLeast"/>
                <w:jc w:val="center"/>
              </w:trPr>
              <w:tc>
                <w:tcPr>
                  <w:tcW w:w="401" w:type="dxa"/>
                  <w:vAlign w:val="center"/>
                </w:tcPr>
                <w:p w14:paraId="4FBC0089">
                  <w:pPr>
                    <w:jc w:val="center"/>
                    <w:rPr>
                      <w:color w:val="auto"/>
                      <w:szCs w:val="21"/>
                    </w:rPr>
                  </w:pPr>
                  <w:r>
                    <w:rPr>
                      <w:color w:val="auto"/>
                      <w:szCs w:val="21"/>
                    </w:rPr>
                    <w:t>序号</w:t>
                  </w:r>
                </w:p>
              </w:tc>
              <w:tc>
                <w:tcPr>
                  <w:tcW w:w="1457" w:type="dxa"/>
                  <w:vAlign w:val="center"/>
                </w:tcPr>
                <w:p w14:paraId="5254AEDE">
                  <w:pPr>
                    <w:jc w:val="center"/>
                    <w:rPr>
                      <w:color w:val="auto"/>
                      <w:szCs w:val="21"/>
                    </w:rPr>
                  </w:pPr>
                  <w:r>
                    <w:rPr>
                      <w:color w:val="auto"/>
                      <w:szCs w:val="21"/>
                    </w:rPr>
                    <w:t>污染源</w:t>
                  </w:r>
                </w:p>
              </w:tc>
              <w:tc>
                <w:tcPr>
                  <w:tcW w:w="1274" w:type="dxa"/>
                  <w:vAlign w:val="center"/>
                </w:tcPr>
                <w:p w14:paraId="52B8B500">
                  <w:pPr>
                    <w:jc w:val="center"/>
                    <w:rPr>
                      <w:color w:val="auto"/>
                      <w:szCs w:val="21"/>
                    </w:rPr>
                  </w:pPr>
                  <w:r>
                    <w:rPr>
                      <w:color w:val="auto"/>
                      <w:szCs w:val="21"/>
                    </w:rPr>
                    <w:t>污染物</w:t>
                  </w:r>
                </w:p>
              </w:tc>
              <w:tc>
                <w:tcPr>
                  <w:tcW w:w="871" w:type="dxa"/>
                  <w:vAlign w:val="center"/>
                </w:tcPr>
                <w:p w14:paraId="0A5985CC">
                  <w:pPr>
                    <w:jc w:val="center"/>
                    <w:rPr>
                      <w:color w:val="auto"/>
                      <w:szCs w:val="21"/>
                    </w:rPr>
                  </w:pPr>
                  <w:r>
                    <w:rPr>
                      <w:color w:val="auto"/>
                      <w:szCs w:val="21"/>
                    </w:rPr>
                    <w:t>风量</w:t>
                  </w:r>
                </w:p>
                <w:p w14:paraId="49A5E741">
                  <w:pPr>
                    <w:jc w:val="center"/>
                    <w:rPr>
                      <w:color w:val="auto"/>
                      <w:szCs w:val="21"/>
                    </w:rPr>
                  </w:pPr>
                  <w:r>
                    <w:rPr>
                      <w:color w:val="auto"/>
                      <w:szCs w:val="21"/>
                    </w:rPr>
                    <w:t>（m</w:t>
                  </w:r>
                  <w:r>
                    <w:rPr>
                      <w:color w:val="auto"/>
                      <w:szCs w:val="21"/>
                      <w:vertAlign w:val="superscript"/>
                    </w:rPr>
                    <w:t>3</w:t>
                  </w:r>
                  <w:r>
                    <w:rPr>
                      <w:color w:val="auto"/>
                      <w:szCs w:val="21"/>
                    </w:rPr>
                    <w:t>/h）</w:t>
                  </w:r>
                </w:p>
              </w:tc>
              <w:tc>
                <w:tcPr>
                  <w:tcW w:w="1286" w:type="dxa"/>
                  <w:vAlign w:val="center"/>
                </w:tcPr>
                <w:p w14:paraId="24C75BD3">
                  <w:pPr>
                    <w:jc w:val="center"/>
                    <w:rPr>
                      <w:color w:val="auto"/>
                      <w:szCs w:val="21"/>
                    </w:rPr>
                  </w:pPr>
                  <w:r>
                    <w:rPr>
                      <w:color w:val="auto"/>
                      <w:szCs w:val="21"/>
                    </w:rPr>
                    <w:t>污染物排放速率（kg/h）</w:t>
                  </w:r>
                </w:p>
              </w:tc>
              <w:tc>
                <w:tcPr>
                  <w:tcW w:w="1066" w:type="dxa"/>
                  <w:vAlign w:val="center"/>
                </w:tcPr>
                <w:p w14:paraId="59FAA025">
                  <w:pPr>
                    <w:jc w:val="center"/>
                    <w:rPr>
                      <w:color w:val="auto"/>
                      <w:szCs w:val="21"/>
                    </w:rPr>
                  </w:pPr>
                  <w:r>
                    <w:rPr>
                      <w:color w:val="auto"/>
                      <w:szCs w:val="21"/>
                    </w:rPr>
                    <w:t>单次持续</w:t>
                  </w:r>
                </w:p>
                <w:p w14:paraId="5E85EEBE">
                  <w:pPr>
                    <w:jc w:val="center"/>
                    <w:rPr>
                      <w:color w:val="auto"/>
                      <w:szCs w:val="21"/>
                    </w:rPr>
                  </w:pPr>
                  <w:r>
                    <w:rPr>
                      <w:color w:val="auto"/>
                      <w:szCs w:val="21"/>
                    </w:rPr>
                    <w:t>时间</w:t>
                  </w:r>
                </w:p>
              </w:tc>
              <w:tc>
                <w:tcPr>
                  <w:tcW w:w="1135" w:type="dxa"/>
                  <w:vAlign w:val="center"/>
                </w:tcPr>
                <w:p w14:paraId="6D6E825C">
                  <w:pPr>
                    <w:jc w:val="center"/>
                    <w:rPr>
                      <w:rFonts w:hint="eastAsia" w:eastAsia="宋体"/>
                      <w:color w:val="auto"/>
                      <w:szCs w:val="21"/>
                      <w:lang w:val="en-US" w:eastAsia="zh-CN"/>
                    </w:rPr>
                  </w:pPr>
                  <w:r>
                    <w:rPr>
                      <w:color w:val="auto"/>
                      <w:szCs w:val="21"/>
                    </w:rPr>
                    <w:t>年发生频</w:t>
                  </w:r>
                  <w:r>
                    <w:rPr>
                      <w:rFonts w:hint="eastAsia"/>
                      <w:color w:val="auto"/>
                      <w:szCs w:val="21"/>
                      <w:lang w:val="en-US" w:eastAsia="zh-CN"/>
                    </w:rPr>
                    <w:t>次</w:t>
                  </w:r>
                </w:p>
              </w:tc>
              <w:tc>
                <w:tcPr>
                  <w:tcW w:w="1112" w:type="dxa"/>
                  <w:vAlign w:val="center"/>
                </w:tcPr>
                <w:p w14:paraId="3E3D9DBB">
                  <w:pPr>
                    <w:jc w:val="center"/>
                    <w:rPr>
                      <w:rFonts w:hint="default" w:eastAsia="宋体"/>
                      <w:color w:val="auto"/>
                      <w:szCs w:val="21"/>
                      <w:lang w:val="en-US" w:eastAsia="zh-CN"/>
                    </w:rPr>
                  </w:pPr>
                  <w:r>
                    <w:rPr>
                      <w:rFonts w:hint="eastAsia"/>
                      <w:color w:val="auto"/>
                      <w:szCs w:val="21"/>
                      <w:lang w:val="en-US" w:eastAsia="zh-CN"/>
                    </w:rPr>
                    <w:t>非正常情况</w:t>
                  </w:r>
                </w:p>
              </w:tc>
            </w:tr>
            <w:tr w14:paraId="0055B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283" w:hRule="atLeast"/>
                <w:jc w:val="center"/>
              </w:trPr>
              <w:tc>
                <w:tcPr>
                  <w:tcW w:w="401" w:type="dxa"/>
                  <w:vAlign w:val="center"/>
                </w:tcPr>
                <w:p w14:paraId="2F084BA1">
                  <w:pPr>
                    <w:jc w:val="center"/>
                    <w:rPr>
                      <w:rFonts w:hint="eastAsia"/>
                      <w:color w:val="auto"/>
                      <w:szCs w:val="21"/>
                    </w:rPr>
                  </w:pPr>
                  <w:r>
                    <w:rPr>
                      <w:rFonts w:hint="eastAsia"/>
                      <w:color w:val="auto"/>
                      <w:szCs w:val="21"/>
                    </w:rPr>
                    <w:t>1</w:t>
                  </w:r>
                </w:p>
              </w:tc>
              <w:tc>
                <w:tcPr>
                  <w:tcW w:w="1457" w:type="dxa"/>
                  <w:vAlign w:val="center"/>
                </w:tcPr>
                <w:p w14:paraId="25206E1A">
                  <w:pPr>
                    <w:jc w:val="center"/>
                    <w:rPr>
                      <w:color w:val="auto"/>
                      <w:szCs w:val="21"/>
                    </w:rPr>
                  </w:pPr>
                  <w:r>
                    <w:rPr>
                      <w:rFonts w:hint="eastAsia"/>
                      <w:color w:val="auto"/>
                      <w:szCs w:val="21"/>
                    </w:rPr>
                    <w:t>一车间粉尘排放口（DA001）</w:t>
                  </w:r>
                </w:p>
              </w:tc>
              <w:tc>
                <w:tcPr>
                  <w:tcW w:w="1274" w:type="dxa"/>
                  <w:vAlign w:val="center"/>
                </w:tcPr>
                <w:p w14:paraId="397AA1E7">
                  <w:pPr>
                    <w:jc w:val="center"/>
                    <w:rPr>
                      <w:color w:val="auto"/>
                      <w:szCs w:val="21"/>
                    </w:rPr>
                  </w:pPr>
                  <w:r>
                    <w:rPr>
                      <w:color w:val="auto"/>
                      <w:kern w:val="0"/>
                      <w:szCs w:val="21"/>
                    </w:rPr>
                    <w:t>颗粒物</w:t>
                  </w:r>
                </w:p>
              </w:tc>
              <w:tc>
                <w:tcPr>
                  <w:tcW w:w="871" w:type="dxa"/>
                  <w:vAlign w:val="center"/>
                </w:tcPr>
                <w:p w14:paraId="013E1049">
                  <w:pPr>
                    <w:jc w:val="center"/>
                    <w:rPr>
                      <w:rFonts w:hint="default"/>
                      <w:color w:val="auto"/>
                      <w:szCs w:val="21"/>
                      <w:lang w:val="en-US"/>
                    </w:rPr>
                  </w:pPr>
                  <w:r>
                    <w:rPr>
                      <w:rFonts w:hint="eastAsia"/>
                      <w:b/>
                      <w:bCs/>
                      <w:color w:val="auto"/>
                      <w:szCs w:val="21"/>
                      <w:u w:val="single"/>
                      <w:lang w:val="en-US" w:eastAsia="zh-CN"/>
                    </w:rPr>
                    <w:t>6500</w:t>
                  </w:r>
                </w:p>
              </w:tc>
              <w:tc>
                <w:tcPr>
                  <w:tcW w:w="1286" w:type="dxa"/>
                  <w:vAlign w:val="center"/>
                </w:tcPr>
                <w:p w14:paraId="021DC094">
                  <w:pPr>
                    <w:jc w:val="center"/>
                    <w:rPr>
                      <w:rFonts w:hint="default" w:eastAsia="宋体"/>
                      <w:color w:val="auto"/>
                      <w:szCs w:val="21"/>
                      <w:highlight w:val="none"/>
                      <w:lang w:val="en-US" w:eastAsia="zh-CN"/>
                    </w:rPr>
                  </w:pPr>
                  <w:r>
                    <w:rPr>
                      <w:rFonts w:hint="eastAsia"/>
                      <w:b/>
                      <w:bCs/>
                      <w:color w:val="auto"/>
                      <w:szCs w:val="21"/>
                      <w:highlight w:val="none"/>
                      <w:u w:val="single"/>
                      <w:lang w:val="en-US" w:eastAsia="zh-CN"/>
                    </w:rPr>
                    <w:t>0.9833</w:t>
                  </w:r>
                </w:p>
              </w:tc>
              <w:tc>
                <w:tcPr>
                  <w:tcW w:w="1066" w:type="dxa"/>
                  <w:vMerge w:val="restart"/>
                  <w:vAlign w:val="center"/>
                </w:tcPr>
                <w:p w14:paraId="47B63ED1">
                  <w:pPr>
                    <w:widowControl/>
                    <w:jc w:val="center"/>
                    <w:textAlignment w:val="center"/>
                    <w:rPr>
                      <w:color w:val="auto"/>
                      <w:szCs w:val="21"/>
                    </w:rPr>
                  </w:pPr>
                  <w:r>
                    <w:rPr>
                      <w:rFonts w:hint="eastAsia"/>
                      <w:color w:val="auto"/>
                      <w:kern w:val="0"/>
                      <w:szCs w:val="21"/>
                    </w:rPr>
                    <w:t>0.5h</w:t>
                  </w:r>
                </w:p>
              </w:tc>
              <w:tc>
                <w:tcPr>
                  <w:tcW w:w="1135" w:type="dxa"/>
                  <w:vAlign w:val="center"/>
                </w:tcPr>
                <w:p w14:paraId="5607EC77">
                  <w:pPr>
                    <w:jc w:val="center"/>
                    <w:rPr>
                      <w:color w:val="auto"/>
                      <w:szCs w:val="21"/>
                    </w:rPr>
                  </w:pPr>
                  <w:r>
                    <w:rPr>
                      <w:rFonts w:hint="eastAsia"/>
                      <w:color w:val="auto"/>
                      <w:kern w:val="0"/>
                      <w:szCs w:val="21"/>
                    </w:rPr>
                    <w:t>1次/年</w:t>
                  </w:r>
                </w:p>
              </w:tc>
              <w:tc>
                <w:tcPr>
                  <w:tcW w:w="1112" w:type="dxa"/>
                  <w:vMerge w:val="restart"/>
                  <w:vAlign w:val="center"/>
                </w:tcPr>
                <w:p w14:paraId="77691D55">
                  <w:pPr>
                    <w:jc w:val="center"/>
                    <w:rPr>
                      <w:rFonts w:hint="default"/>
                      <w:color w:val="auto"/>
                      <w:kern w:val="0"/>
                      <w:szCs w:val="21"/>
                      <w:lang w:val="en-US"/>
                    </w:rPr>
                  </w:pPr>
                  <w:r>
                    <w:rPr>
                      <w:rFonts w:hint="eastAsia"/>
                      <w:color w:val="auto"/>
                      <w:kern w:val="0"/>
                      <w:szCs w:val="21"/>
                      <w:lang w:val="en-US" w:eastAsia="zh-CN"/>
                    </w:rPr>
                    <w:t>废气处理设施故障，处理效率为0</w:t>
                  </w:r>
                </w:p>
              </w:tc>
            </w:tr>
            <w:tr w14:paraId="34E2C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283" w:hRule="atLeast"/>
                <w:jc w:val="center"/>
              </w:trPr>
              <w:tc>
                <w:tcPr>
                  <w:tcW w:w="401" w:type="dxa"/>
                  <w:vAlign w:val="center"/>
                </w:tcPr>
                <w:p w14:paraId="7F0A22AD">
                  <w:pPr>
                    <w:jc w:val="center"/>
                    <w:rPr>
                      <w:rFonts w:hint="eastAsia"/>
                      <w:color w:val="auto"/>
                      <w:szCs w:val="21"/>
                    </w:rPr>
                  </w:pPr>
                  <w:r>
                    <w:rPr>
                      <w:rFonts w:hint="eastAsia"/>
                      <w:color w:val="auto"/>
                      <w:szCs w:val="21"/>
                    </w:rPr>
                    <w:t>2</w:t>
                  </w:r>
                </w:p>
              </w:tc>
              <w:tc>
                <w:tcPr>
                  <w:tcW w:w="1457" w:type="dxa"/>
                  <w:vAlign w:val="center"/>
                </w:tcPr>
                <w:p w14:paraId="4AE83CEC">
                  <w:pPr>
                    <w:jc w:val="center"/>
                    <w:rPr>
                      <w:rFonts w:hint="eastAsia"/>
                      <w:color w:val="auto"/>
                      <w:szCs w:val="21"/>
                    </w:rPr>
                  </w:pPr>
                  <w:r>
                    <w:rPr>
                      <w:rFonts w:hint="eastAsia"/>
                      <w:color w:val="auto"/>
                      <w:szCs w:val="21"/>
                    </w:rPr>
                    <w:t>二车间粉尘排放口（DA002）</w:t>
                  </w:r>
                </w:p>
              </w:tc>
              <w:tc>
                <w:tcPr>
                  <w:tcW w:w="1274" w:type="dxa"/>
                  <w:vAlign w:val="center"/>
                </w:tcPr>
                <w:p w14:paraId="2D50BD6B">
                  <w:pPr>
                    <w:jc w:val="center"/>
                    <w:rPr>
                      <w:color w:val="auto"/>
                      <w:szCs w:val="21"/>
                    </w:rPr>
                  </w:pPr>
                  <w:r>
                    <w:rPr>
                      <w:color w:val="auto"/>
                      <w:kern w:val="0"/>
                      <w:szCs w:val="21"/>
                    </w:rPr>
                    <w:t>颗粒物</w:t>
                  </w:r>
                </w:p>
              </w:tc>
              <w:tc>
                <w:tcPr>
                  <w:tcW w:w="871" w:type="dxa"/>
                  <w:vAlign w:val="center"/>
                </w:tcPr>
                <w:p w14:paraId="24650C4B">
                  <w:pPr>
                    <w:jc w:val="center"/>
                    <w:rPr>
                      <w:color w:val="auto"/>
                      <w:szCs w:val="21"/>
                    </w:rPr>
                  </w:pPr>
                  <w:r>
                    <w:rPr>
                      <w:rFonts w:hint="eastAsia"/>
                      <w:color w:val="auto"/>
                      <w:szCs w:val="21"/>
                      <w:lang w:val="en-US" w:eastAsia="zh-CN"/>
                    </w:rPr>
                    <w:t>1</w:t>
                  </w:r>
                  <w:r>
                    <w:rPr>
                      <w:rFonts w:hint="eastAsia"/>
                      <w:color w:val="auto"/>
                      <w:szCs w:val="21"/>
                    </w:rPr>
                    <w:t>000</w:t>
                  </w:r>
                </w:p>
              </w:tc>
              <w:tc>
                <w:tcPr>
                  <w:tcW w:w="1286" w:type="dxa"/>
                  <w:vAlign w:val="center"/>
                </w:tcPr>
                <w:p w14:paraId="4781D163">
                  <w:pPr>
                    <w:jc w:val="center"/>
                    <w:rPr>
                      <w:rFonts w:hint="default" w:eastAsia="宋体"/>
                      <w:color w:val="auto"/>
                      <w:szCs w:val="21"/>
                      <w:highlight w:val="none"/>
                      <w:lang w:val="en-US" w:eastAsia="zh-CN"/>
                    </w:rPr>
                  </w:pPr>
                  <w:r>
                    <w:rPr>
                      <w:rFonts w:hint="eastAsia"/>
                      <w:b/>
                      <w:bCs/>
                      <w:color w:val="auto"/>
                      <w:szCs w:val="21"/>
                      <w:highlight w:val="none"/>
                      <w:u w:val="single"/>
                      <w:lang w:val="en-US" w:eastAsia="zh-CN"/>
                    </w:rPr>
                    <w:t>0.1102</w:t>
                  </w:r>
                </w:p>
              </w:tc>
              <w:tc>
                <w:tcPr>
                  <w:tcW w:w="1066" w:type="dxa"/>
                  <w:vMerge w:val="continue"/>
                  <w:vAlign w:val="center"/>
                </w:tcPr>
                <w:p w14:paraId="7D90DEE7">
                  <w:pPr>
                    <w:jc w:val="center"/>
                    <w:rPr>
                      <w:color w:val="auto"/>
                      <w:szCs w:val="21"/>
                    </w:rPr>
                  </w:pPr>
                </w:p>
              </w:tc>
              <w:tc>
                <w:tcPr>
                  <w:tcW w:w="1135" w:type="dxa"/>
                  <w:vAlign w:val="center"/>
                </w:tcPr>
                <w:p w14:paraId="65FAD6B8">
                  <w:pPr>
                    <w:jc w:val="center"/>
                    <w:rPr>
                      <w:color w:val="auto"/>
                      <w:szCs w:val="21"/>
                    </w:rPr>
                  </w:pPr>
                  <w:r>
                    <w:rPr>
                      <w:rFonts w:hint="eastAsia"/>
                      <w:color w:val="auto"/>
                      <w:kern w:val="0"/>
                      <w:szCs w:val="21"/>
                    </w:rPr>
                    <w:t>1次/年</w:t>
                  </w:r>
                </w:p>
              </w:tc>
              <w:tc>
                <w:tcPr>
                  <w:tcW w:w="1112" w:type="dxa"/>
                  <w:vMerge w:val="continue"/>
                  <w:vAlign w:val="center"/>
                </w:tcPr>
                <w:p w14:paraId="1C4D971F">
                  <w:pPr>
                    <w:jc w:val="center"/>
                    <w:rPr>
                      <w:rFonts w:hint="default"/>
                      <w:color w:val="auto"/>
                      <w:kern w:val="0"/>
                      <w:szCs w:val="21"/>
                      <w:lang w:val="en-US"/>
                    </w:rPr>
                  </w:pPr>
                </w:p>
              </w:tc>
            </w:tr>
            <w:tr w14:paraId="15791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283" w:hRule="atLeast"/>
                <w:jc w:val="center"/>
              </w:trPr>
              <w:tc>
                <w:tcPr>
                  <w:tcW w:w="401" w:type="dxa"/>
                  <w:vAlign w:val="center"/>
                </w:tcPr>
                <w:p w14:paraId="24324FA6">
                  <w:pPr>
                    <w:jc w:val="center"/>
                    <w:rPr>
                      <w:rFonts w:hint="eastAsia"/>
                      <w:color w:val="auto"/>
                      <w:szCs w:val="21"/>
                    </w:rPr>
                  </w:pPr>
                  <w:r>
                    <w:rPr>
                      <w:rFonts w:hint="eastAsia"/>
                      <w:color w:val="auto"/>
                      <w:szCs w:val="21"/>
                    </w:rPr>
                    <w:t>3</w:t>
                  </w:r>
                </w:p>
              </w:tc>
              <w:tc>
                <w:tcPr>
                  <w:tcW w:w="1457" w:type="dxa"/>
                  <w:vAlign w:val="center"/>
                </w:tcPr>
                <w:p w14:paraId="02E5722C">
                  <w:pPr>
                    <w:jc w:val="center"/>
                    <w:rPr>
                      <w:color w:val="auto"/>
                      <w:szCs w:val="21"/>
                    </w:rPr>
                  </w:pPr>
                  <w:r>
                    <w:rPr>
                      <w:rFonts w:hint="eastAsia"/>
                      <w:color w:val="auto"/>
                      <w:szCs w:val="21"/>
                    </w:rPr>
                    <w:t>三车间粉尘排放口（DA003）</w:t>
                  </w:r>
                </w:p>
              </w:tc>
              <w:tc>
                <w:tcPr>
                  <w:tcW w:w="1274" w:type="dxa"/>
                  <w:vAlign w:val="center"/>
                </w:tcPr>
                <w:p w14:paraId="37E1DD04">
                  <w:pPr>
                    <w:jc w:val="center"/>
                    <w:rPr>
                      <w:color w:val="auto"/>
                      <w:szCs w:val="21"/>
                    </w:rPr>
                  </w:pPr>
                  <w:r>
                    <w:rPr>
                      <w:color w:val="auto"/>
                      <w:kern w:val="0"/>
                      <w:szCs w:val="21"/>
                    </w:rPr>
                    <w:t>颗粒物</w:t>
                  </w:r>
                </w:p>
              </w:tc>
              <w:tc>
                <w:tcPr>
                  <w:tcW w:w="871" w:type="dxa"/>
                  <w:vAlign w:val="center"/>
                </w:tcPr>
                <w:p w14:paraId="64A01390">
                  <w:pPr>
                    <w:jc w:val="center"/>
                    <w:rPr>
                      <w:rFonts w:hint="default"/>
                      <w:color w:val="auto"/>
                      <w:szCs w:val="21"/>
                      <w:lang w:val="en-US"/>
                    </w:rPr>
                  </w:pPr>
                  <w:r>
                    <w:rPr>
                      <w:rFonts w:hint="eastAsia"/>
                      <w:b/>
                      <w:bCs/>
                      <w:color w:val="auto"/>
                      <w:szCs w:val="21"/>
                      <w:u w:val="single"/>
                      <w:lang w:val="en-US" w:eastAsia="zh-CN"/>
                    </w:rPr>
                    <w:t>4000</w:t>
                  </w:r>
                </w:p>
              </w:tc>
              <w:tc>
                <w:tcPr>
                  <w:tcW w:w="1286" w:type="dxa"/>
                  <w:vAlign w:val="center"/>
                </w:tcPr>
                <w:p w14:paraId="6484C869">
                  <w:pPr>
                    <w:jc w:val="center"/>
                    <w:rPr>
                      <w:rFonts w:hint="default" w:eastAsia="宋体"/>
                      <w:color w:val="auto"/>
                      <w:szCs w:val="21"/>
                      <w:highlight w:val="none"/>
                      <w:lang w:val="en-US" w:eastAsia="zh-CN"/>
                    </w:rPr>
                  </w:pPr>
                  <w:r>
                    <w:rPr>
                      <w:rFonts w:hint="eastAsia"/>
                      <w:b/>
                      <w:bCs/>
                      <w:color w:val="auto"/>
                      <w:szCs w:val="21"/>
                      <w:highlight w:val="none"/>
                      <w:u w:val="single"/>
                      <w:lang w:val="en-US" w:eastAsia="zh-CN"/>
                    </w:rPr>
                    <w:t>0.1271</w:t>
                  </w:r>
                </w:p>
              </w:tc>
              <w:tc>
                <w:tcPr>
                  <w:tcW w:w="1066" w:type="dxa"/>
                  <w:vMerge w:val="continue"/>
                  <w:vAlign w:val="center"/>
                </w:tcPr>
                <w:p w14:paraId="1F1F81B8">
                  <w:pPr>
                    <w:jc w:val="center"/>
                    <w:rPr>
                      <w:color w:val="auto"/>
                      <w:szCs w:val="21"/>
                    </w:rPr>
                  </w:pPr>
                </w:p>
              </w:tc>
              <w:tc>
                <w:tcPr>
                  <w:tcW w:w="1135" w:type="dxa"/>
                  <w:vAlign w:val="center"/>
                </w:tcPr>
                <w:p w14:paraId="7FFCC505">
                  <w:pPr>
                    <w:jc w:val="center"/>
                    <w:rPr>
                      <w:color w:val="auto"/>
                      <w:szCs w:val="21"/>
                    </w:rPr>
                  </w:pPr>
                  <w:r>
                    <w:rPr>
                      <w:rFonts w:hint="eastAsia"/>
                      <w:color w:val="auto"/>
                      <w:kern w:val="0"/>
                      <w:szCs w:val="21"/>
                    </w:rPr>
                    <w:t>1次/年</w:t>
                  </w:r>
                </w:p>
              </w:tc>
              <w:tc>
                <w:tcPr>
                  <w:tcW w:w="1112" w:type="dxa"/>
                  <w:vMerge w:val="continue"/>
                  <w:vAlign w:val="center"/>
                </w:tcPr>
                <w:p w14:paraId="51CFED6C">
                  <w:pPr>
                    <w:jc w:val="center"/>
                    <w:rPr>
                      <w:rFonts w:hint="default"/>
                      <w:color w:val="auto"/>
                      <w:kern w:val="0"/>
                      <w:szCs w:val="21"/>
                      <w:lang w:val="en-US"/>
                    </w:rPr>
                  </w:pPr>
                </w:p>
              </w:tc>
            </w:tr>
            <w:tr w14:paraId="0655D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283" w:hRule="atLeast"/>
                <w:jc w:val="center"/>
              </w:trPr>
              <w:tc>
                <w:tcPr>
                  <w:tcW w:w="401" w:type="dxa"/>
                  <w:vMerge w:val="restart"/>
                  <w:vAlign w:val="center"/>
                </w:tcPr>
                <w:p w14:paraId="1AFA0350">
                  <w:pPr>
                    <w:jc w:val="center"/>
                    <w:rPr>
                      <w:rFonts w:hint="eastAsia"/>
                      <w:color w:val="auto"/>
                      <w:szCs w:val="21"/>
                    </w:rPr>
                  </w:pPr>
                  <w:r>
                    <w:rPr>
                      <w:rFonts w:hint="eastAsia"/>
                      <w:color w:val="auto"/>
                      <w:szCs w:val="21"/>
                    </w:rPr>
                    <w:t>4</w:t>
                  </w:r>
                </w:p>
              </w:tc>
              <w:tc>
                <w:tcPr>
                  <w:tcW w:w="1457" w:type="dxa"/>
                  <w:vMerge w:val="restart"/>
                  <w:vAlign w:val="center"/>
                </w:tcPr>
                <w:p w14:paraId="67B69888">
                  <w:pPr>
                    <w:jc w:val="center"/>
                    <w:rPr>
                      <w:color w:val="auto"/>
                      <w:szCs w:val="21"/>
                    </w:rPr>
                  </w:pPr>
                  <w:r>
                    <w:rPr>
                      <w:rFonts w:hint="eastAsia"/>
                      <w:color w:val="auto"/>
                      <w:szCs w:val="21"/>
                    </w:rPr>
                    <w:t>挥发性有机物废气排放口</w:t>
                  </w:r>
                  <w:r>
                    <w:rPr>
                      <w:color w:val="auto"/>
                      <w:szCs w:val="21"/>
                    </w:rPr>
                    <w:t>（DA00</w:t>
                  </w:r>
                  <w:r>
                    <w:rPr>
                      <w:rFonts w:hint="eastAsia"/>
                      <w:color w:val="auto"/>
                      <w:szCs w:val="21"/>
                    </w:rPr>
                    <w:t>4</w:t>
                  </w:r>
                  <w:r>
                    <w:rPr>
                      <w:color w:val="auto"/>
                      <w:szCs w:val="21"/>
                    </w:rPr>
                    <w:t>）</w:t>
                  </w:r>
                </w:p>
              </w:tc>
              <w:tc>
                <w:tcPr>
                  <w:tcW w:w="1274" w:type="dxa"/>
                  <w:vAlign w:val="center"/>
                </w:tcPr>
                <w:p w14:paraId="7550EB3A">
                  <w:pPr>
                    <w:adjustRightInd w:val="0"/>
                    <w:snapToGrid w:val="0"/>
                    <w:spacing w:line="280" w:lineRule="exact"/>
                    <w:jc w:val="center"/>
                    <w:textAlignment w:val="baseline"/>
                    <w:rPr>
                      <w:color w:val="auto"/>
                      <w:szCs w:val="21"/>
                    </w:rPr>
                  </w:pPr>
                  <w:r>
                    <w:rPr>
                      <w:color w:val="auto"/>
                      <w:kern w:val="0"/>
                      <w:szCs w:val="21"/>
                    </w:rPr>
                    <w:t>颗粒物</w:t>
                  </w:r>
                </w:p>
              </w:tc>
              <w:tc>
                <w:tcPr>
                  <w:tcW w:w="871" w:type="dxa"/>
                  <w:vMerge w:val="restart"/>
                  <w:vAlign w:val="center"/>
                </w:tcPr>
                <w:p w14:paraId="0DB9BCFF">
                  <w:pPr>
                    <w:jc w:val="center"/>
                    <w:rPr>
                      <w:color w:val="auto"/>
                      <w:szCs w:val="21"/>
                    </w:rPr>
                  </w:pPr>
                  <w:r>
                    <w:rPr>
                      <w:rFonts w:hint="eastAsia"/>
                      <w:color w:val="auto"/>
                      <w:szCs w:val="21"/>
                      <w:lang w:val="en-US" w:eastAsia="zh-CN"/>
                    </w:rPr>
                    <w:t>43</w:t>
                  </w:r>
                  <w:r>
                    <w:rPr>
                      <w:color w:val="auto"/>
                      <w:szCs w:val="21"/>
                    </w:rPr>
                    <w:t>000</w:t>
                  </w:r>
                </w:p>
              </w:tc>
              <w:tc>
                <w:tcPr>
                  <w:tcW w:w="1286" w:type="dxa"/>
                  <w:vAlign w:val="center"/>
                </w:tcPr>
                <w:p w14:paraId="01701FB9">
                  <w:pPr>
                    <w:adjustRightInd w:val="0"/>
                    <w:snapToGrid w:val="0"/>
                    <w:jc w:val="center"/>
                    <w:rPr>
                      <w:rFonts w:hint="default" w:eastAsia="宋体"/>
                      <w:color w:val="auto"/>
                      <w:szCs w:val="21"/>
                      <w:highlight w:val="yellow"/>
                      <w:lang w:val="en-US" w:eastAsia="zh-CN"/>
                    </w:rPr>
                  </w:pPr>
                  <w:r>
                    <w:rPr>
                      <w:rFonts w:hint="eastAsia"/>
                      <w:b/>
                      <w:bCs/>
                      <w:color w:val="auto"/>
                      <w:szCs w:val="21"/>
                      <w:highlight w:val="none"/>
                      <w:u w:val="single"/>
                      <w:lang w:val="en-US" w:eastAsia="zh-CN"/>
                    </w:rPr>
                    <w:t>29.5</w:t>
                  </w:r>
                </w:p>
              </w:tc>
              <w:tc>
                <w:tcPr>
                  <w:tcW w:w="1066" w:type="dxa"/>
                  <w:vMerge w:val="continue"/>
                  <w:vAlign w:val="center"/>
                </w:tcPr>
                <w:p w14:paraId="62734C65">
                  <w:pPr>
                    <w:widowControl/>
                    <w:jc w:val="center"/>
                    <w:textAlignment w:val="center"/>
                    <w:rPr>
                      <w:color w:val="auto"/>
                      <w:szCs w:val="21"/>
                    </w:rPr>
                  </w:pPr>
                </w:p>
              </w:tc>
              <w:tc>
                <w:tcPr>
                  <w:tcW w:w="1135" w:type="dxa"/>
                  <w:vMerge w:val="restart"/>
                  <w:vAlign w:val="center"/>
                </w:tcPr>
                <w:p w14:paraId="2A08C5C6">
                  <w:pPr>
                    <w:widowControl/>
                    <w:jc w:val="center"/>
                    <w:textAlignment w:val="center"/>
                    <w:rPr>
                      <w:rFonts w:hint="eastAsia"/>
                      <w:color w:val="auto"/>
                      <w:szCs w:val="21"/>
                    </w:rPr>
                  </w:pPr>
                  <w:r>
                    <w:rPr>
                      <w:rFonts w:hint="eastAsia"/>
                      <w:color w:val="auto"/>
                      <w:kern w:val="0"/>
                      <w:szCs w:val="21"/>
                    </w:rPr>
                    <w:t>1次/2年</w:t>
                  </w:r>
                </w:p>
              </w:tc>
              <w:tc>
                <w:tcPr>
                  <w:tcW w:w="1112" w:type="dxa"/>
                  <w:vMerge w:val="continue"/>
                  <w:vAlign w:val="center"/>
                </w:tcPr>
                <w:p w14:paraId="4FA55231">
                  <w:pPr>
                    <w:widowControl/>
                    <w:jc w:val="center"/>
                    <w:textAlignment w:val="center"/>
                    <w:rPr>
                      <w:rFonts w:hint="default"/>
                      <w:color w:val="auto"/>
                      <w:kern w:val="0"/>
                      <w:szCs w:val="21"/>
                      <w:lang w:val="en-US"/>
                    </w:rPr>
                  </w:pPr>
                </w:p>
              </w:tc>
            </w:tr>
            <w:tr w14:paraId="1B1A3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283" w:hRule="atLeast"/>
                <w:jc w:val="center"/>
              </w:trPr>
              <w:tc>
                <w:tcPr>
                  <w:tcW w:w="401" w:type="dxa"/>
                  <w:vMerge w:val="continue"/>
                  <w:vAlign w:val="center"/>
                </w:tcPr>
                <w:p w14:paraId="4AC1EA60">
                  <w:pPr>
                    <w:jc w:val="center"/>
                    <w:rPr>
                      <w:color w:val="auto"/>
                      <w:szCs w:val="21"/>
                    </w:rPr>
                  </w:pPr>
                </w:p>
              </w:tc>
              <w:tc>
                <w:tcPr>
                  <w:tcW w:w="1457" w:type="dxa"/>
                  <w:vMerge w:val="continue"/>
                  <w:vAlign w:val="center"/>
                </w:tcPr>
                <w:p w14:paraId="275E97AB">
                  <w:pPr>
                    <w:jc w:val="center"/>
                    <w:rPr>
                      <w:color w:val="auto"/>
                      <w:kern w:val="0"/>
                      <w:szCs w:val="21"/>
                      <w:lang w:bidi="ar"/>
                    </w:rPr>
                  </w:pPr>
                </w:p>
              </w:tc>
              <w:tc>
                <w:tcPr>
                  <w:tcW w:w="1274" w:type="dxa"/>
                  <w:vAlign w:val="center"/>
                </w:tcPr>
                <w:p w14:paraId="64BC38A0">
                  <w:pPr>
                    <w:adjustRightInd w:val="0"/>
                    <w:snapToGrid w:val="0"/>
                    <w:spacing w:line="280" w:lineRule="exact"/>
                    <w:jc w:val="center"/>
                    <w:textAlignment w:val="baseline"/>
                    <w:rPr>
                      <w:rFonts w:hint="eastAsia" w:eastAsia="宋体"/>
                      <w:color w:val="auto"/>
                      <w:szCs w:val="21"/>
                      <w:lang w:eastAsia="zh-CN"/>
                    </w:rPr>
                  </w:pPr>
                  <w:r>
                    <w:rPr>
                      <w:color w:val="auto"/>
                      <w:kern w:val="0"/>
                      <w:szCs w:val="21"/>
                    </w:rPr>
                    <w:t>非甲烷总烃</w:t>
                  </w:r>
                  <w:r>
                    <w:rPr>
                      <w:rFonts w:hint="eastAsia"/>
                      <w:color w:val="auto"/>
                      <w:kern w:val="0"/>
                      <w:szCs w:val="21"/>
                      <w:lang w:eastAsia="zh-CN"/>
                    </w:rPr>
                    <w:t>（</w:t>
                  </w:r>
                  <w:r>
                    <w:rPr>
                      <w:rFonts w:hint="eastAsia"/>
                      <w:color w:val="auto"/>
                      <w:kern w:val="0"/>
                      <w:szCs w:val="21"/>
                      <w:lang w:val="en-US" w:eastAsia="zh-CN"/>
                    </w:rPr>
                    <w:t>含甲苯+二甲苯</w:t>
                  </w:r>
                  <w:r>
                    <w:rPr>
                      <w:rFonts w:hint="eastAsia"/>
                      <w:color w:val="auto"/>
                      <w:kern w:val="0"/>
                      <w:szCs w:val="21"/>
                      <w:lang w:eastAsia="zh-CN"/>
                    </w:rPr>
                    <w:t>）</w:t>
                  </w:r>
                </w:p>
              </w:tc>
              <w:tc>
                <w:tcPr>
                  <w:tcW w:w="871" w:type="dxa"/>
                  <w:vMerge w:val="continue"/>
                  <w:vAlign w:val="center"/>
                </w:tcPr>
                <w:p w14:paraId="4072DD83">
                  <w:pPr>
                    <w:jc w:val="center"/>
                    <w:rPr>
                      <w:color w:val="auto"/>
                      <w:szCs w:val="21"/>
                    </w:rPr>
                  </w:pPr>
                </w:p>
              </w:tc>
              <w:tc>
                <w:tcPr>
                  <w:tcW w:w="1286" w:type="dxa"/>
                  <w:vAlign w:val="center"/>
                </w:tcPr>
                <w:p w14:paraId="64D2B4C3">
                  <w:pPr>
                    <w:adjustRightInd w:val="0"/>
                    <w:snapToGrid w:val="0"/>
                    <w:jc w:val="center"/>
                    <w:rPr>
                      <w:rFonts w:hint="default" w:eastAsia="宋体"/>
                      <w:b/>
                      <w:bCs/>
                      <w:color w:val="auto"/>
                      <w:szCs w:val="21"/>
                      <w:highlight w:val="none"/>
                      <w:u w:val="single"/>
                      <w:lang w:val="en-US" w:eastAsia="zh-CN"/>
                    </w:rPr>
                  </w:pPr>
                  <w:r>
                    <w:rPr>
                      <w:rFonts w:hint="eastAsia"/>
                      <w:b/>
                      <w:bCs/>
                      <w:color w:val="auto"/>
                      <w:szCs w:val="21"/>
                      <w:highlight w:val="none"/>
                      <w:u w:val="single"/>
                      <w:lang w:val="en-US" w:eastAsia="zh-CN"/>
                    </w:rPr>
                    <w:t>3.9964</w:t>
                  </w:r>
                </w:p>
              </w:tc>
              <w:tc>
                <w:tcPr>
                  <w:tcW w:w="1066" w:type="dxa"/>
                  <w:vMerge w:val="continue"/>
                  <w:vAlign w:val="center"/>
                </w:tcPr>
                <w:p w14:paraId="7A1C3FAF">
                  <w:pPr>
                    <w:widowControl/>
                    <w:jc w:val="center"/>
                    <w:textAlignment w:val="center"/>
                    <w:rPr>
                      <w:color w:val="auto"/>
                      <w:kern w:val="0"/>
                      <w:szCs w:val="21"/>
                    </w:rPr>
                  </w:pPr>
                </w:p>
              </w:tc>
              <w:tc>
                <w:tcPr>
                  <w:tcW w:w="1135" w:type="dxa"/>
                  <w:vMerge w:val="continue"/>
                  <w:vAlign w:val="center"/>
                </w:tcPr>
                <w:p w14:paraId="7DEFB096">
                  <w:pPr>
                    <w:widowControl/>
                    <w:jc w:val="center"/>
                    <w:textAlignment w:val="center"/>
                    <w:rPr>
                      <w:color w:val="auto"/>
                      <w:kern w:val="0"/>
                      <w:szCs w:val="21"/>
                    </w:rPr>
                  </w:pPr>
                </w:p>
              </w:tc>
              <w:tc>
                <w:tcPr>
                  <w:tcW w:w="1112" w:type="dxa"/>
                  <w:vMerge w:val="continue"/>
                  <w:vAlign w:val="center"/>
                </w:tcPr>
                <w:p w14:paraId="68F822E4">
                  <w:pPr>
                    <w:widowControl/>
                    <w:jc w:val="center"/>
                    <w:textAlignment w:val="center"/>
                    <w:rPr>
                      <w:color w:val="auto"/>
                      <w:kern w:val="0"/>
                      <w:szCs w:val="21"/>
                    </w:rPr>
                  </w:pPr>
                </w:p>
              </w:tc>
            </w:tr>
          </w:tbl>
          <w:p w14:paraId="15B83C7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应对措施：为防止生产废气非正常工况排放，企业必须加强废气治理设施的管理，定期检修，确保废气治理设施正常运行，在废气处理设备停止运行或出现故障时，产生废气的各工序也必须相应停止生产。为杜绝废气非正常排放，应采取以下措施确保废气达标排放：</w:t>
            </w:r>
          </w:p>
          <w:p w14:paraId="11B3A1F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①安排专人负责环保设备的日常维护和管理，固定时间检查、汇报情况，及时发现废气治理设施的隐患，确保废气治理设施正常运行，记录台账；</w:t>
            </w:r>
          </w:p>
          <w:p w14:paraId="46C6B3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②建立健全的环保管理机构，对环保管理人员和技术人员进行岗位培训，委托具有专业资质的环境检测单位对项目排放的污染物进行定期监测；</w:t>
            </w:r>
          </w:p>
          <w:p w14:paraId="3243D29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③应定期维护、检修废气治理设施，保证废气治理设施的净化能力达到设计要求；</w:t>
            </w:r>
          </w:p>
          <w:p w14:paraId="391826E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rPr>
            </w:pPr>
            <w:r>
              <w:rPr>
                <w:color w:val="auto"/>
                <w:sz w:val="24"/>
              </w:rPr>
              <w:t>④生产加工前，废气治理设施应提前开启，生产结束后，应在关闭生产设备一段时间后再关闭废气治理设施。</w:t>
            </w:r>
          </w:p>
          <w:p w14:paraId="1F67FCDF">
            <w:pPr>
              <w:snapToGrid w:val="0"/>
              <w:spacing w:line="360" w:lineRule="auto"/>
              <w:rPr>
                <w:b/>
                <w:bCs/>
                <w:color w:val="auto"/>
                <w:sz w:val="24"/>
              </w:rPr>
            </w:pPr>
            <w:r>
              <w:rPr>
                <w:b/>
                <w:bCs/>
                <w:color w:val="auto"/>
                <w:sz w:val="24"/>
              </w:rPr>
              <w:t>1.5环境影响分析</w:t>
            </w:r>
          </w:p>
          <w:p w14:paraId="7808F0E7">
            <w:pPr>
              <w:snapToGrid w:val="0"/>
              <w:spacing w:line="360" w:lineRule="auto"/>
              <w:ind w:firstLine="480" w:firstLineChars="200"/>
              <w:rPr>
                <w:bCs/>
                <w:color w:val="auto"/>
                <w:sz w:val="24"/>
              </w:rPr>
            </w:pPr>
            <w:r>
              <w:rPr>
                <w:rFonts w:hint="eastAsia"/>
                <w:bCs/>
                <w:color w:val="auto"/>
                <w:sz w:val="24"/>
              </w:rPr>
              <w:t>项目所在区域环境空气质量为不达标区，</w:t>
            </w:r>
            <w:r>
              <w:rPr>
                <w:bCs/>
                <w:color w:val="auto"/>
                <w:sz w:val="24"/>
              </w:rPr>
              <w:t>厂界外500</w:t>
            </w:r>
            <w:r>
              <w:rPr>
                <w:rFonts w:hint="eastAsia"/>
                <w:bCs/>
                <w:color w:val="auto"/>
                <w:sz w:val="24"/>
              </w:rPr>
              <w:t>m</w:t>
            </w:r>
            <w:r>
              <w:rPr>
                <w:bCs/>
                <w:color w:val="auto"/>
                <w:sz w:val="24"/>
              </w:rPr>
              <w:t>范围内</w:t>
            </w:r>
            <w:r>
              <w:rPr>
                <w:rFonts w:hint="eastAsia"/>
                <w:bCs/>
                <w:color w:val="auto"/>
                <w:sz w:val="24"/>
              </w:rPr>
              <w:t>存在1个</w:t>
            </w:r>
            <w:r>
              <w:rPr>
                <w:bCs/>
                <w:color w:val="auto"/>
                <w:sz w:val="24"/>
              </w:rPr>
              <w:t>大气环境保护目</w:t>
            </w:r>
            <w:r>
              <w:rPr>
                <w:rFonts w:hint="eastAsia"/>
                <w:bCs/>
                <w:color w:val="auto"/>
                <w:sz w:val="24"/>
              </w:rPr>
              <w:t>标。结合项目源强核算及污染治理措施分析，项目各项污染因子均可以做到达标排放。综上，项目产生的废气对周围大气环境影响较小。</w:t>
            </w:r>
          </w:p>
          <w:p w14:paraId="2A32D3D7">
            <w:pPr>
              <w:snapToGrid w:val="0"/>
              <w:spacing w:line="360" w:lineRule="auto"/>
              <w:rPr>
                <w:b/>
                <w:bCs/>
                <w:color w:val="auto"/>
                <w:sz w:val="24"/>
              </w:rPr>
            </w:pPr>
            <w:r>
              <w:rPr>
                <w:b/>
                <w:bCs/>
                <w:color w:val="auto"/>
                <w:sz w:val="24"/>
              </w:rPr>
              <w:t>1.6自行监测计划</w:t>
            </w:r>
          </w:p>
          <w:p w14:paraId="17406EF3">
            <w:pPr>
              <w:pStyle w:val="71"/>
              <w:ind w:firstLine="480"/>
              <w:rPr>
                <w:rFonts w:hint="default"/>
                <w:snapToGrid/>
                <w:color w:val="auto"/>
                <w:kern w:val="2"/>
                <w:szCs w:val="24"/>
              </w:rPr>
            </w:pPr>
            <w:r>
              <w:rPr>
                <w:snapToGrid/>
                <w:color w:val="auto"/>
                <w:kern w:val="2"/>
                <w:szCs w:val="24"/>
              </w:rPr>
              <w:t>根据《排污单位自行监测技术指南 总则》（HJ 819-2017）、《排污许可证申请与核发技术规范  家具制造工业》（HJ1027-2019）</w:t>
            </w:r>
            <w:r>
              <w:rPr>
                <w:rFonts w:hint="eastAsia"/>
                <w:snapToGrid/>
                <w:color w:val="auto"/>
                <w:kern w:val="2"/>
                <w:szCs w:val="24"/>
                <w:lang w:eastAsia="zh-CN"/>
              </w:rPr>
              <w:t>、《排污单位自行监测技术指南 涂装》（HJ1086-2020）</w:t>
            </w:r>
            <w:r>
              <w:rPr>
                <w:snapToGrid/>
                <w:color w:val="auto"/>
                <w:kern w:val="2"/>
                <w:szCs w:val="24"/>
              </w:rPr>
              <w:t>，本项目废气自行监测计划见下表</w:t>
            </w:r>
            <w:r>
              <w:rPr>
                <w:rFonts w:hint="default"/>
                <w:snapToGrid/>
                <w:color w:val="auto"/>
                <w:kern w:val="2"/>
                <w:szCs w:val="24"/>
              </w:rPr>
              <w:t>。</w:t>
            </w:r>
          </w:p>
          <w:p w14:paraId="78D6F363">
            <w:pPr>
              <w:pStyle w:val="46"/>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eastAsia" w:ascii="Times New Roman" w:hAnsi="Arial Unicode MS" w:eastAsia="宋体" w:cs="Times New Roman"/>
                <w:b/>
                <w:color w:val="auto"/>
                <w:kern w:val="2"/>
                <w:sz w:val="24"/>
                <w:szCs w:val="24"/>
                <w:lang w:val="en-US" w:eastAsia="zh-CN" w:bidi="ar-SA"/>
              </w:rPr>
            </w:pPr>
            <w:r>
              <w:rPr>
                <w:rFonts w:hint="eastAsia" w:ascii="Times New Roman" w:hAnsi="Arial Unicode MS" w:eastAsia="宋体" w:cs="Times New Roman"/>
                <w:b/>
                <w:color w:val="auto"/>
                <w:kern w:val="2"/>
                <w:sz w:val="24"/>
                <w:szCs w:val="24"/>
                <w:lang w:val="en-US" w:eastAsia="zh-CN" w:bidi="ar-SA"/>
              </w:rPr>
              <w:t>项目废气监测要求一览表</w:t>
            </w:r>
          </w:p>
          <w:tbl>
            <w:tblPr>
              <w:tblStyle w:val="25"/>
              <w:tblW w:w="86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2226"/>
              <w:gridCol w:w="2536"/>
              <w:gridCol w:w="1532"/>
              <w:gridCol w:w="1539"/>
            </w:tblGrid>
            <w:tr w14:paraId="6F6F2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Align w:val="center"/>
                </w:tcPr>
                <w:p w14:paraId="7C70A548">
                  <w:pPr>
                    <w:autoSpaceDE w:val="0"/>
                    <w:autoSpaceDN w:val="0"/>
                    <w:adjustRightInd w:val="0"/>
                    <w:snapToGrid w:val="0"/>
                    <w:jc w:val="center"/>
                    <w:rPr>
                      <w:b/>
                      <w:bCs/>
                      <w:color w:val="auto"/>
                      <w:kern w:val="0"/>
                      <w:szCs w:val="21"/>
                    </w:rPr>
                  </w:pPr>
                  <w:r>
                    <w:rPr>
                      <w:rFonts w:hint="eastAsia"/>
                      <w:b/>
                      <w:bCs/>
                      <w:color w:val="auto"/>
                      <w:kern w:val="0"/>
                      <w:szCs w:val="21"/>
                    </w:rPr>
                    <w:t>项目</w:t>
                  </w:r>
                </w:p>
              </w:tc>
              <w:tc>
                <w:tcPr>
                  <w:tcW w:w="2226" w:type="dxa"/>
                  <w:vAlign w:val="center"/>
                </w:tcPr>
                <w:p w14:paraId="28C30955">
                  <w:pPr>
                    <w:autoSpaceDE w:val="0"/>
                    <w:autoSpaceDN w:val="0"/>
                    <w:adjustRightInd w:val="0"/>
                    <w:snapToGrid w:val="0"/>
                    <w:jc w:val="center"/>
                    <w:rPr>
                      <w:b/>
                      <w:bCs/>
                      <w:color w:val="auto"/>
                      <w:kern w:val="0"/>
                      <w:szCs w:val="21"/>
                    </w:rPr>
                  </w:pPr>
                  <w:r>
                    <w:rPr>
                      <w:rFonts w:hint="eastAsia"/>
                      <w:b/>
                      <w:bCs/>
                      <w:color w:val="auto"/>
                      <w:kern w:val="0"/>
                      <w:szCs w:val="21"/>
                    </w:rPr>
                    <w:t>污染物种类</w:t>
                  </w:r>
                </w:p>
              </w:tc>
              <w:tc>
                <w:tcPr>
                  <w:tcW w:w="2536" w:type="dxa"/>
                  <w:vAlign w:val="center"/>
                </w:tcPr>
                <w:p w14:paraId="3833AA74">
                  <w:pPr>
                    <w:autoSpaceDE w:val="0"/>
                    <w:autoSpaceDN w:val="0"/>
                    <w:adjustRightInd w:val="0"/>
                    <w:snapToGrid w:val="0"/>
                    <w:jc w:val="center"/>
                    <w:rPr>
                      <w:b/>
                      <w:bCs/>
                      <w:color w:val="auto"/>
                      <w:kern w:val="0"/>
                      <w:szCs w:val="21"/>
                    </w:rPr>
                  </w:pPr>
                  <w:r>
                    <w:rPr>
                      <w:rFonts w:hint="eastAsia"/>
                      <w:b/>
                      <w:bCs/>
                      <w:color w:val="auto"/>
                      <w:kern w:val="0"/>
                      <w:szCs w:val="21"/>
                    </w:rPr>
                    <w:t>监测点位</w:t>
                  </w:r>
                </w:p>
              </w:tc>
              <w:tc>
                <w:tcPr>
                  <w:tcW w:w="1532" w:type="dxa"/>
                  <w:vAlign w:val="center"/>
                </w:tcPr>
                <w:p w14:paraId="7B1F3225">
                  <w:pPr>
                    <w:autoSpaceDE w:val="0"/>
                    <w:autoSpaceDN w:val="0"/>
                    <w:adjustRightInd w:val="0"/>
                    <w:snapToGrid w:val="0"/>
                    <w:jc w:val="center"/>
                    <w:rPr>
                      <w:b/>
                      <w:bCs/>
                      <w:color w:val="auto"/>
                      <w:kern w:val="0"/>
                      <w:szCs w:val="21"/>
                    </w:rPr>
                  </w:pPr>
                  <w:r>
                    <w:rPr>
                      <w:rFonts w:hint="eastAsia"/>
                      <w:b/>
                      <w:bCs/>
                      <w:color w:val="auto"/>
                      <w:kern w:val="0"/>
                      <w:szCs w:val="21"/>
                    </w:rPr>
                    <w:t>排放方式</w:t>
                  </w:r>
                </w:p>
              </w:tc>
              <w:tc>
                <w:tcPr>
                  <w:tcW w:w="1539" w:type="dxa"/>
                  <w:vAlign w:val="center"/>
                </w:tcPr>
                <w:p w14:paraId="4516F451">
                  <w:pPr>
                    <w:autoSpaceDE w:val="0"/>
                    <w:autoSpaceDN w:val="0"/>
                    <w:adjustRightInd w:val="0"/>
                    <w:snapToGrid w:val="0"/>
                    <w:jc w:val="center"/>
                    <w:rPr>
                      <w:b/>
                      <w:bCs/>
                      <w:color w:val="auto"/>
                      <w:kern w:val="0"/>
                      <w:szCs w:val="21"/>
                    </w:rPr>
                  </w:pPr>
                  <w:r>
                    <w:rPr>
                      <w:rFonts w:hint="eastAsia"/>
                      <w:b/>
                      <w:bCs/>
                      <w:color w:val="auto"/>
                      <w:kern w:val="0"/>
                      <w:szCs w:val="21"/>
                    </w:rPr>
                    <w:t>监测计划</w:t>
                  </w:r>
                </w:p>
              </w:tc>
            </w:tr>
            <w:tr w14:paraId="5BE22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restart"/>
                  <w:vAlign w:val="center"/>
                </w:tcPr>
                <w:p w14:paraId="326A714C">
                  <w:pPr>
                    <w:autoSpaceDE w:val="0"/>
                    <w:autoSpaceDN w:val="0"/>
                    <w:adjustRightInd w:val="0"/>
                    <w:snapToGrid w:val="0"/>
                    <w:jc w:val="center"/>
                    <w:rPr>
                      <w:color w:val="auto"/>
                      <w:kern w:val="0"/>
                      <w:szCs w:val="21"/>
                    </w:rPr>
                  </w:pPr>
                  <w:r>
                    <w:rPr>
                      <w:rFonts w:hint="eastAsia"/>
                      <w:color w:val="auto"/>
                      <w:kern w:val="0"/>
                      <w:szCs w:val="21"/>
                    </w:rPr>
                    <w:t>废气</w:t>
                  </w:r>
                </w:p>
              </w:tc>
              <w:tc>
                <w:tcPr>
                  <w:tcW w:w="2226" w:type="dxa"/>
                  <w:vAlign w:val="center"/>
                </w:tcPr>
                <w:p w14:paraId="399C01C0">
                  <w:pPr>
                    <w:autoSpaceDE w:val="0"/>
                    <w:autoSpaceDN w:val="0"/>
                    <w:adjustRightInd w:val="0"/>
                    <w:snapToGrid w:val="0"/>
                    <w:jc w:val="center"/>
                    <w:rPr>
                      <w:color w:val="auto"/>
                      <w:kern w:val="0"/>
                      <w:szCs w:val="21"/>
                    </w:rPr>
                  </w:pPr>
                  <w:r>
                    <w:rPr>
                      <w:rFonts w:hint="eastAsia"/>
                      <w:color w:val="auto"/>
                      <w:kern w:val="0"/>
                      <w:szCs w:val="21"/>
                    </w:rPr>
                    <w:t>颗粒物</w:t>
                  </w:r>
                </w:p>
              </w:tc>
              <w:tc>
                <w:tcPr>
                  <w:tcW w:w="2536" w:type="dxa"/>
                  <w:vAlign w:val="center"/>
                </w:tcPr>
                <w:p w14:paraId="04084764">
                  <w:pPr>
                    <w:autoSpaceDE w:val="0"/>
                    <w:autoSpaceDN w:val="0"/>
                    <w:adjustRightInd w:val="0"/>
                    <w:snapToGrid w:val="0"/>
                    <w:jc w:val="center"/>
                    <w:rPr>
                      <w:rFonts w:hint="eastAsia"/>
                      <w:color w:val="auto"/>
                      <w:kern w:val="0"/>
                      <w:szCs w:val="21"/>
                    </w:rPr>
                  </w:pPr>
                  <w:r>
                    <w:rPr>
                      <w:rFonts w:hint="eastAsia"/>
                      <w:color w:val="auto"/>
                      <w:kern w:val="0"/>
                      <w:szCs w:val="21"/>
                    </w:rPr>
                    <w:t>DA001、DA002、DA003、DA004</w:t>
                  </w:r>
                </w:p>
              </w:tc>
              <w:tc>
                <w:tcPr>
                  <w:tcW w:w="1532" w:type="dxa"/>
                  <w:vAlign w:val="center"/>
                </w:tcPr>
                <w:p w14:paraId="0A7655BB">
                  <w:pPr>
                    <w:autoSpaceDE w:val="0"/>
                    <w:autoSpaceDN w:val="0"/>
                    <w:adjustRightInd w:val="0"/>
                    <w:snapToGrid w:val="0"/>
                    <w:jc w:val="center"/>
                    <w:rPr>
                      <w:color w:val="auto"/>
                      <w:kern w:val="0"/>
                      <w:szCs w:val="21"/>
                    </w:rPr>
                  </w:pPr>
                  <w:r>
                    <w:rPr>
                      <w:rFonts w:hint="eastAsia"/>
                      <w:color w:val="auto"/>
                      <w:kern w:val="0"/>
                      <w:szCs w:val="21"/>
                    </w:rPr>
                    <w:t>有组织</w:t>
                  </w:r>
                </w:p>
              </w:tc>
              <w:tc>
                <w:tcPr>
                  <w:tcW w:w="1539" w:type="dxa"/>
                  <w:vAlign w:val="center"/>
                </w:tcPr>
                <w:p w14:paraId="4FDB5F7C">
                  <w:pPr>
                    <w:autoSpaceDE w:val="0"/>
                    <w:autoSpaceDN w:val="0"/>
                    <w:adjustRightInd w:val="0"/>
                    <w:snapToGrid w:val="0"/>
                    <w:jc w:val="center"/>
                    <w:rPr>
                      <w:color w:val="auto"/>
                      <w:kern w:val="0"/>
                      <w:szCs w:val="21"/>
                    </w:rPr>
                  </w:pPr>
                  <w:r>
                    <w:rPr>
                      <w:rFonts w:hint="eastAsia"/>
                      <w:color w:val="auto"/>
                      <w:kern w:val="0"/>
                      <w:szCs w:val="21"/>
                    </w:rPr>
                    <w:t>1次/年</w:t>
                  </w:r>
                </w:p>
              </w:tc>
            </w:tr>
            <w:tr w14:paraId="26500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vAlign w:val="center"/>
                </w:tcPr>
                <w:p w14:paraId="6F8E6B5F">
                  <w:pPr>
                    <w:autoSpaceDE w:val="0"/>
                    <w:autoSpaceDN w:val="0"/>
                    <w:adjustRightInd w:val="0"/>
                    <w:snapToGrid w:val="0"/>
                    <w:jc w:val="center"/>
                    <w:rPr>
                      <w:rFonts w:hint="eastAsia"/>
                      <w:color w:val="auto"/>
                      <w:kern w:val="0"/>
                      <w:szCs w:val="21"/>
                    </w:rPr>
                  </w:pPr>
                </w:p>
              </w:tc>
              <w:tc>
                <w:tcPr>
                  <w:tcW w:w="2226" w:type="dxa"/>
                  <w:vAlign w:val="center"/>
                </w:tcPr>
                <w:p w14:paraId="5E4204BB">
                  <w:pPr>
                    <w:autoSpaceDE w:val="0"/>
                    <w:autoSpaceDN w:val="0"/>
                    <w:adjustRightInd w:val="0"/>
                    <w:snapToGrid w:val="0"/>
                    <w:jc w:val="center"/>
                    <w:rPr>
                      <w:color w:val="auto"/>
                      <w:kern w:val="0"/>
                      <w:szCs w:val="21"/>
                    </w:rPr>
                  </w:pPr>
                  <w:r>
                    <w:rPr>
                      <w:rFonts w:hint="eastAsia"/>
                      <w:color w:val="auto"/>
                      <w:kern w:val="0"/>
                      <w:szCs w:val="21"/>
                    </w:rPr>
                    <w:t>非甲烷总烃</w:t>
                  </w:r>
                  <w:r>
                    <w:rPr>
                      <w:rFonts w:hint="eastAsia"/>
                      <w:color w:val="auto"/>
                      <w:kern w:val="0"/>
                      <w:szCs w:val="21"/>
                      <w:lang w:eastAsia="zh-CN"/>
                    </w:rPr>
                    <w:t>（</w:t>
                  </w:r>
                  <w:r>
                    <w:rPr>
                      <w:rFonts w:hint="eastAsia"/>
                      <w:color w:val="auto"/>
                      <w:kern w:val="0"/>
                      <w:szCs w:val="21"/>
                      <w:lang w:val="en-US" w:eastAsia="zh-CN"/>
                    </w:rPr>
                    <w:t>不含甲苯+二甲苯</w:t>
                  </w:r>
                  <w:r>
                    <w:rPr>
                      <w:rFonts w:hint="eastAsia"/>
                      <w:color w:val="auto"/>
                      <w:kern w:val="0"/>
                      <w:szCs w:val="21"/>
                      <w:lang w:eastAsia="zh-CN"/>
                    </w:rPr>
                    <w:t>）</w:t>
                  </w:r>
                  <w:r>
                    <w:rPr>
                      <w:rFonts w:hint="eastAsia"/>
                      <w:color w:val="auto"/>
                      <w:kern w:val="0"/>
                      <w:szCs w:val="21"/>
                    </w:rPr>
                    <w:t>、甲苯+二甲苯</w:t>
                  </w:r>
                </w:p>
              </w:tc>
              <w:tc>
                <w:tcPr>
                  <w:tcW w:w="2536" w:type="dxa"/>
                  <w:vAlign w:val="center"/>
                </w:tcPr>
                <w:p w14:paraId="54C98C4E">
                  <w:pPr>
                    <w:autoSpaceDE w:val="0"/>
                    <w:autoSpaceDN w:val="0"/>
                    <w:adjustRightInd w:val="0"/>
                    <w:snapToGrid w:val="0"/>
                    <w:jc w:val="center"/>
                    <w:rPr>
                      <w:rFonts w:hint="eastAsia"/>
                      <w:color w:val="auto"/>
                      <w:kern w:val="0"/>
                      <w:szCs w:val="21"/>
                    </w:rPr>
                  </w:pPr>
                  <w:r>
                    <w:rPr>
                      <w:rFonts w:hint="eastAsia"/>
                      <w:color w:val="auto"/>
                      <w:kern w:val="0"/>
                      <w:szCs w:val="21"/>
                    </w:rPr>
                    <w:t>DA004</w:t>
                  </w:r>
                </w:p>
              </w:tc>
              <w:tc>
                <w:tcPr>
                  <w:tcW w:w="1532" w:type="dxa"/>
                  <w:vAlign w:val="center"/>
                </w:tcPr>
                <w:p w14:paraId="6C36F171">
                  <w:pPr>
                    <w:autoSpaceDE w:val="0"/>
                    <w:autoSpaceDN w:val="0"/>
                    <w:adjustRightInd w:val="0"/>
                    <w:snapToGrid w:val="0"/>
                    <w:jc w:val="center"/>
                    <w:rPr>
                      <w:rFonts w:hint="eastAsia"/>
                      <w:color w:val="auto"/>
                      <w:kern w:val="0"/>
                      <w:szCs w:val="21"/>
                    </w:rPr>
                  </w:pPr>
                  <w:r>
                    <w:rPr>
                      <w:rFonts w:hint="eastAsia"/>
                      <w:color w:val="auto"/>
                      <w:kern w:val="0"/>
                      <w:szCs w:val="21"/>
                    </w:rPr>
                    <w:t>有组织</w:t>
                  </w:r>
                </w:p>
              </w:tc>
              <w:tc>
                <w:tcPr>
                  <w:tcW w:w="1539" w:type="dxa"/>
                  <w:vAlign w:val="center"/>
                </w:tcPr>
                <w:p w14:paraId="4E4349EA">
                  <w:pPr>
                    <w:autoSpaceDE w:val="0"/>
                    <w:autoSpaceDN w:val="0"/>
                    <w:adjustRightInd w:val="0"/>
                    <w:snapToGrid w:val="0"/>
                    <w:jc w:val="center"/>
                    <w:rPr>
                      <w:rFonts w:hint="eastAsia"/>
                      <w:color w:val="auto"/>
                      <w:kern w:val="0"/>
                      <w:szCs w:val="21"/>
                    </w:rPr>
                  </w:pPr>
                  <w:r>
                    <w:rPr>
                      <w:rFonts w:hint="eastAsia"/>
                      <w:color w:val="auto"/>
                      <w:kern w:val="0"/>
                      <w:szCs w:val="21"/>
                    </w:rPr>
                    <w:t>1次/年</w:t>
                  </w:r>
                </w:p>
              </w:tc>
            </w:tr>
            <w:tr w14:paraId="562E6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vAlign w:val="center"/>
                </w:tcPr>
                <w:p w14:paraId="2075FA3F">
                  <w:pPr>
                    <w:autoSpaceDE w:val="0"/>
                    <w:autoSpaceDN w:val="0"/>
                    <w:adjustRightInd w:val="0"/>
                    <w:snapToGrid w:val="0"/>
                    <w:jc w:val="center"/>
                    <w:rPr>
                      <w:rFonts w:hint="eastAsia"/>
                      <w:color w:val="auto"/>
                      <w:kern w:val="0"/>
                      <w:szCs w:val="21"/>
                    </w:rPr>
                  </w:pPr>
                </w:p>
              </w:tc>
              <w:tc>
                <w:tcPr>
                  <w:tcW w:w="2226" w:type="dxa"/>
                  <w:vAlign w:val="center"/>
                </w:tcPr>
                <w:p w14:paraId="376C06F5">
                  <w:pPr>
                    <w:autoSpaceDE w:val="0"/>
                    <w:autoSpaceDN w:val="0"/>
                    <w:adjustRightInd w:val="0"/>
                    <w:snapToGrid w:val="0"/>
                    <w:jc w:val="center"/>
                    <w:rPr>
                      <w:color w:val="auto"/>
                      <w:kern w:val="0"/>
                      <w:szCs w:val="21"/>
                    </w:rPr>
                  </w:pPr>
                  <w:r>
                    <w:rPr>
                      <w:rFonts w:hint="eastAsia"/>
                      <w:color w:val="auto"/>
                      <w:kern w:val="0"/>
                      <w:szCs w:val="21"/>
                    </w:rPr>
                    <w:t>颗粒物、非甲烷总烃</w:t>
                  </w:r>
                  <w:r>
                    <w:rPr>
                      <w:rFonts w:hint="eastAsia"/>
                      <w:color w:val="auto"/>
                      <w:kern w:val="0"/>
                      <w:szCs w:val="21"/>
                      <w:lang w:eastAsia="zh-CN"/>
                    </w:rPr>
                    <w:t>（</w:t>
                  </w:r>
                  <w:r>
                    <w:rPr>
                      <w:rFonts w:hint="eastAsia"/>
                      <w:color w:val="auto"/>
                      <w:kern w:val="0"/>
                      <w:szCs w:val="21"/>
                      <w:lang w:val="en-US" w:eastAsia="zh-CN"/>
                    </w:rPr>
                    <w:t>不含甲苯+二甲苯</w:t>
                  </w:r>
                  <w:r>
                    <w:rPr>
                      <w:rFonts w:hint="eastAsia"/>
                      <w:color w:val="auto"/>
                      <w:kern w:val="0"/>
                      <w:szCs w:val="21"/>
                      <w:lang w:eastAsia="zh-CN"/>
                    </w:rPr>
                    <w:t>）</w:t>
                  </w:r>
                  <w:r>
                    <w:rPr>
                      <w:rFonts w:hint="eastAsia"/>
                      <w:color w:val="auto"/>
                      <w:kern w:val="0"/>
                      <w:szCs w:val="21"/>
                    </w:rPr>
                    <w:t>、甲苯、二甲苯</w:t>
                  </w:r>
                </w:p>
              </w:tc>
              <w:tc>
                <w:tcPr>
                  <w:tcW w:w="2536" w:type="dxa"/>
                  <w:vAlign w:val="center"/>
                </w:tcPr>
                <w:p w14:paraId="6DE0D7FE">
                  <w:pPr>
                    <w:autoSpaceDE w:val="0"/>
                    <w:autoSpaceDN w:val="0"/>
                    <w:adjustRightInd w:val="0"/>
                    <w:snapToGrid w:val="0"/>
                    <w:jc w:val="center"/>
                    <w:rPr>
                      <w:color w:val="auto"/>
                      <w:kern w:val="0"/>
                      <w:szCs w:val="21"/>
                    </w:rPr>
                  </w:pPr>
                  <w:r>
                    <w:rPr>
                      <w:rFonts w:hint="eastAsia"/>
                      <w:color w:val="auto"/>
                      <w:kern w:val="0"/>
                      <w:szCs w:val="21"/>
                    </w:rPr>
                    <w:t>上风向1个、下风向3个</w:t>
                  </w:r>
                </w:p>
              </w:tc>
              <w:tc>
                <w:tcPr>
                  <w:tcW w:w="1532" w:type="dxa"/>
                  <w:vAlign w:val="center"/>
                </w:tcPr>
                <w:p w14:paraId="4F17D2D0">
                  <w:pPr>
                    <w:autoSpaceDE w:val="0"/>
                    <w:autoSpaceDN w:val="0"/>
                    <w:adjustRightInd w:val="0"/>
                    <w:snapToGrid w:val="0"/>
                    <w:jc w:val="center"/>
                    <w:rPr>
                      <w:color w:val="auto"/>
                      <w:kern w:val="0"/>
                      <w:szCs w:val="21"/>
                    </w:rPr>
                  </w:pPr>
                  <w:r>
                    <w:rPr>
                      <w:rFonts w:hint="eastAsia"/>
                      <w:color w:val="auto"/>
                      <w:kern w:val="0"/>
                      <w:szCs w:val="21"/>
                    </w:rPr>
                    <w:t>无组织</w:t>
                  </w:r>
                </w:p>
              </w:tc>
              <w:tc>
                <w:tcPr>
                  <w:tcW w:w="1539" w:type="dxa"/>
                  <w:vAlign w:val="center"/>
                </w:tcPr>
                <w:p w14:paraId="30BD1FDC">
                  <w:pPr>
                    <w:autoSpaceDE w:val="0"/>
                    <w:autoSpaceDN w:val="0"/>
                    <w:adjustRightInd w:val="0"/>
                    <w:snapToGrid w:val="0"/>
                    <w:jc w:val="center"/>
                    <w:rPr>
                      <w:rFonts w:hint="eastAsia"/>
                      <w:color w:val="auto"/>
                      <w:kern w:val="0"/>
                      <w:szCs w:val="21"/>
                    </w:rPr>
                  </w:pPr>
                  <w:r>
                    <w:rPr>
                      <w:rFonts w:hint="eastAsia"/>
                      <w:color w:val="auto"/>
                      <w:kern w:val="0"/>
                      <w:szCs w:val="21"/>
                    </w:rPr>
                    <w:t>1次/</w:t>
                  </w:r>
                  <w:r>
                    <w:rPr>
                      <w:rFonts w:hint="eastAsia"/>
                      <w:color w:val="auto"/>
                      <w:kern w:val="0"/>
                      <w:szCs w:val="21"/>
                      <w:lang w:val="en-US" w:eastAsia="zh-CN"/>
                    </w:rPr>
                    <w:t>半</w:t>
                  </w:r>
                  <w:r>
                    <w:rPr>
                      <w:rFonts w:hint="eastAsia"/>
                      <w:color w:val="auto"/>
                      <w:kern w:val="0"/>
                      <w:szCs w:val="21"/>
                    </w:rPr>
                    <w:t>年</w:t>
                  </w:r>
                </w:p>
              </w:tc>
            </w:tr>
            <w:tr w14:paraId="45DB5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vAlign w:val="center"/>
                </w:tcPr>
                <w:p w14:paraId="5017E099">
                  <w:pPr>
                    <w:autoSpaceDE w:val="0"/>
                    <w:autoSpaceDN w:val="0"/>
                    <w:adjustRightInd w:val="0"/>
                    <w:snapToGrid w:val="0"/>
                    <w:jc w:val="center"/>
                    <w:rPr>
                      <w:rFonts w:hint="eastAsia"/>
                      <w:color w:val="auto"/>
                      <w:kern w:val="0"/>
                      <w:szCs w:val="21"/>
                    </w:rPr>
                  </w:pPr>
                </w:p>
              </w:tc>
              <w:tc>
                <w:tcPr>
                  <w:tcW w:w="2226" w:type="dxa"/>
                  <w:vAlign w:val="center"/>
                </w:tcPr>
                <w:p w14:paraId="605B53C0">
                  <w:pPr>
                    <w:autoSpaceDE w:val="0"/>
                    <w:autoSpaceDN w:val="0"/>
                    <w:adjustRightInd w:val="0"/>
                    <w:snapToGrid w:val="0"/>
                    <w:jc w:val="center"/>
                    <w:rPr>
                      <w:rFonts w:hint="eastAsia"/>
                      <w:color w:val="auto"/>
                      <w:kern w:val="0"/>
                      <w:szCs w:val="21"/>
                    </w:rPr>
                  </w:pPr>
                  <w:r>
                    <w:rPr>
                      <w:rFonts w:hint="eastAsia"/>
                      <w:color w:val="auto"/>
                      <w:kern w:val="0"/>
                      <w:szCs w:val="21"/>
                    </w:rPr>
                    <w:t>非甲烷总烃</w:t>
                  </w:r>
                </w:p>
              </w:tc>
              <w:tc>
                <w:tcPr>
                  <w:tcW w:w="2536" w:type="dxa"/>
                  <w:vAlign w:val="center"/>
                </w:tcPr>
                <w:p w14:paraId="47037670">
                  <w:pPr>
                    <w:autoSpaceDE w:val="0"/>
                    <w:autoSpaceDN w:val="0"/>
                    <w:adjustRightInd w:val="0"/>
                    <w:snapToGrid w:val="0"/>
                    <w:jc w:val="center"/>
                    <w:rPr>
                      <w:rFonts w:hint="eastAsia"/>
                      <w:color w:val="auto"/>
                      <w:kern w:val="0"/>
                      <w:szCs w:val="21"/>
                    </w:rPr>
                  </w:pPr>
                  <w:r>
                    <w:rPr>
                      <w:rFonts w:hint="eastAsia"/>
                      <w:color w:val="auto"/>
                      <w:kern w:val="0"/>
                      <w:szCs w:val="21"/>
                    </w:rPr>
                    <w:t>厂房外</w:t>
                  </w:r>
                </w:p>
              </w:tc>
              <w:tc>
                <w:tcPr>
                  <w:tcW w:w="1532" w:type="dxa"/>
                  <w:vAlign w:val="center"/>
                </w:tcPr>
                <w:p w14:paraId="449DA9F8">
                  <w:pPr>
                    <w:autoSpaceDE w:val="0"/>
                    <w:autoSpaceDN w:val="0"/>
                    <w:adjustRightInd w:val="0"/>
                    <w:snapToGrid w:val="0"/>
                    <w:jc w:val="center"/>
                    <w:rPr>
                      <w:rFonts w:hint="eastAsia"/>
                      <w:color w:val="auto"/>
                      <w:kern w:val="0"/>
                      <w:szCs w:val="21"/>
                    </w:rPr>
                  </w:pPr>
                  <w:r>
                    <w:rPr>
                      <w:rFonts w:hint="eastAsia"/>
                      <w:color w:val="auto"/>
                      <w:kern w:val="0"/>
                      <w:szCs w:val="21"/>
                    </w:rPr>
                    <w:t>无组织</w:t>
                  </w:r>
                </w:p>
              </w:tc>
              <w:tc>
                <w:tcPr>
                  <w:tcW w:w="1539" w:type="dxa"/>
                  <w:vAlign w:val="center"/>
                </w:tcPr>
                <w:p w14:paraId="42F15882">
                  <w:pPr>
                    <w:autoSpaceDE w:val="0"/>
                    <w:autoSpaceDN w:val="0"/>
                    <w:adjustRightInd w:val="0"/>
                    <w:snapToGrid w:val="0"/>
                    <w:jc w:val="center"/>
                    <w:rPr>
                      <w:rFonts w:hint="eastAsia"/>
                      <w:color w:val="auto"/>
                      <w:kern w:val="0"/>
                      <w:szCs w:val="21"/>
                    </w:rPr>
                  </w:pPr>
                  <w:r>
                    <w:rPr>
                      <w:rFonts w:hint="eastAsia"/>
                      <w:color w:val="auto"/>
                      <w:kern w:val="0"/>
                      <w:szCs w:val="21"/>
                    </w:rPr>
                    <w:t>1次/年</w:t>
                  </w:r>
                </w:p>
              </w:tc>
            </w:tr>
          </w:tbl>
          <w:p w14:paraId="53CA18FA">
            <w:pPr>
              <w:snapToGrid w:val="0"/>
              <w:spacing w:line="360" w:lineRule="auto"/>
              <w:rPr>
                <w:b/>
                <w:bCs/>
                <w:color w:val="auto"/>
                <w:sz w:val="24"/>
              </w:rPr>
            </w:pPr>
            <w:r>
              <w:rPr>
                <w:b/>
                <w:bCs/>
                <w:color w:val="auto"/>
                <w:sz w:val="24"/>
              </w:rPr>
              <w:t>2、水环境影响分析</w:t>
            </w:r>
          </w:p>
          <w:p w14:paraId="04F577FF">
            <w:pPr>
              <w:snapToGrid w:val="0"/>
              <w:spacing w:line="360" w:lineRule="auto"/>
              <w:rPr>
                <w:b/>
                <w:bCs/>
                <w:color w:val="auto"/>
                <w:sz w:val="24"/>
              </w:rPr>
            </w:pPr>
            <w:r>
              <w:rPr>
                <w:b/>
                <w:bCs/>
                <w:color w:val="auto"/>
                <w:sz w:val="24"/>
              </w:rPr>
              <w:t>2.1废水源强分析</w:t>
            </w:r>
          </w:p>
          <w:p w14:paraId="76FED46B">
            <w:pPr>
              <w:spacing w:line="360" w:lineRule="auto"/>
              <w:ind w:firstLine="482" w:firstLineChars="200"/>
              <w:rPr>
                <w:color w:val="auto"/>
                <w:sz w:val="24"/>
              </w:rPr>
            </w:pPr>
            <w:r>
              <w:rPr>
                <w:rFonts w:hint="eastAsia"/>
                <w:b/>
                <w:bCs/>
                <w:color w:val="auto"/>
                <w:sz w:val="24"/>
                <w:u w:val="single"/>
              </w:rPr>
              <w:t>本项目</w:t>
            </w:r>
            <w:r>
              <w:rPr>
                <w:rFonts w:hint="eastAsia"/>
                <w:b/>
                <w:bCs/>
                <w:color w:val="auto"/>
                <w:sz w:val="24"/>
                <w:u w:val="single"/>
                <w:lang w:val="en-US" w:eastAsia="zh-CN"/>
              </w:rPr>
              <w:t>废水主要为制备废水和生活污水</w:t>
            </w:r>
            <w:r>
              <w:rPr>
                <w:rFonts w:hint="eastAsia"/>
                <w:color w:val="auto"/>
                <w:sz w:val="24"/>
              </w:rPr>
              <w:t>。本项目劳动定员50人，年工作300天，</w:t>
            </w:r>
            <w:r>
              <w:rPr>
                <w:rFonts w:hint="eastAsia" w:hAnsi="宋体"/>
                <w:color w:val="auto"/>
                <w:sz w:val="24"/>
              </w:rPr>
              <w:t>均不在厂内食宿，</w:t>
            </w:r>
            <w:r>
              <w:rPr>
                <w:rFonts w:hint="eastAsia"/>
                <w:color w:val="auto"/>
                <w:sz w:val="24"/>
              </w:rPr>
              <w:t>参照《工业与城镇生活用水定额》（DB41/T385-2020）表48公共管理和社会组织用水定额，机关（无食堂）用水定额22m³/（人•a），则员工生活用水量1100m³/a，约3.67m³/d</w:t>
            </w:r>
            <w:r>
              <w:rPr>
                <w:color w:val="auto"/>
                <w:sz w:val="24"/>
              </w:rPr>
              <w:t>。生活污水产污系数按0.8计，</w:t>
            </w:r>
            <w:r>
              <w:rPr>
                <w:rFonts w:hint="eastAsia"/>
                <w:color w:val="auto"/>
                <w:sz w:val="24"/>
              </w:rPr>
              <w:t>则生活污水量为880m³/a，约2.94m³/d</w:t>
            </w:r>
            <w:r>
              <w:rPr>
                <w:rFonts w:hint="eastAsia"/>
                <w:color w:val="auto"/>
                <w:sz w:val="24"/>
                <w:lang w:eastAsia="zh-CN"/>
              </w:rPr>
              <w:t>；</w:t>
            </w:r>
            <w:r>
              <w:rPr>
                <w:rFonts w:hint="eastAsia"/>
                <w:b/>
                <w:bCs/>
                <w:color w:val="auto"/>
                <w:sz w:val="24"/>
                <w:u w:val="single"/>
                <w:lang w:val="en-US" w:eastAsia="zh-CN"/>
              </w:rPr>
              <w:t>饮水机制备率为70%，则制备废水产生量为0.3546t/a。</w:t>
            </w:r>
            <w:r>
              <w:rPr>
                <w:rFonts w:hint="eastAsia"/>
                <w:color w:val="auto"/>
                <w:sz w:val="24"/>
              </w:rPr>
              <w:t>主要污染物为pH、</w:t>
            </w:r>
            <w:r>
              <w:rPr>
                <w:rFonts w:hint="eastAsia"/>
                <w:bCs/>
                <w:color w:val="auto"/>
                <w:kern w:val="0"/>
                <w:sz w:val="24"/>
              </w:rPr>
              <w:t>COD、BOD</w:t>
            </w:r>
            <w:r>
              <w:rPr>
                <w:rFonts w:hint="eastAsia"/>
                <w:bCs/>
                <w:color w:val="auto"/>
                <w:kern w:val="0"/>
                <w:sz w:val="24"/>
                <w:vertAlign w:val="subscript"/>
              </w:rPr>
              <w:t>5</w:t>
            </w:r>
            <w:r>
              <w:rPr>
                <w:rFonts w:hint="eastAsia"/>
                <w:bCs/>
                <w:color w:val="auto"/>
                <w:kern w:val="0"/>
                <w:sz w:val="24"/>
              </w:rPr>
              <w:t>、SS、NH</w:t>
            </w:r>
            <w:r>
              <w:rPr>
                <w:rFonts w:hint="eastAsia"/>
                <w:bCs/>
                <w:color w:val="auto"/>
                <w:kern w:val="0"/>
                <w:sz w:val="24"/>
                <w:vertAlign w:val="subscript"/>
              </w:rPr>
              <w:t>3</w:t>
            </w:r>
            <w:r>
              <w:rPr>
                <w:rFonts w:hint="eastAsia"/>
                <w:bCs/>
                <w:color w:val="auto"/>
                <w:kern w:val="0"/>
                <w:sz w:val="24"/>
              </w:rPr>
              <w:t>-N</w:t>
            </w:r>
            <w:r>
              <w:rPr>
                <w:rFonts w:hint="eastAsia"/>
                <w:bCs/>
                <w:color w:val="auto"/>
                <w:kern w:val="0"/>
                <w:sz w:val="24"/>
                <w:lang w:val="en-US" w:eastAsia="zh-CN"/>
              </w:rPr>
              <w:t>等</w:t>
            </w:r>
            <w:r>
              <w:rPr>
                <w:rFonts w:hint="eastAsia"/>
                <w:bCs/>
                <w:color w:val="auto"/>
                <w:kern w:val="0"/>
                <w:sz w:val="24"/>
              </w:rPr>
              <w:t>，</w:t>
            </w:r>
            <w:r>
              <w:rPr>
                <w:rFonts w:hint="eastAsia"/>
                <w:color w:val="auto"/>
                <w:sz w:val="24"/>
              </w:rPr>
              <w:t>经</w:t>
            </w:r>
            <w:r>
              <w:rPr>
                <w:rFonts w:hint="eastAsia"/>
                <w:color w:val="auto"/>
                <w:sz w:val="24"/>
                <w:lang w:val="en-US" w:eastAsia="zh-CN"/>
              </w:rPr>
              <w:t>厂区自建</w:t>
            </w:r>
            <w:r>
              <w:rPr>
                <w:rFonts w:hint="eastAsia"/>
                <w:color w:val="auto"/>
                <w:sz w:val="24"/>
              </w:rPr>
              <w:t>化粪池</w:t>
            </w:r>
            <w:r>
              <w:rPr>
                <w:rFonts w:hint="eastAsia"/>
                <w:color w:val="auto"/>
                <w:sz w:val="24"/>
                <w:lang w:eastAsia="zh-CN"/>
              </w:rPr>
              <w:t>（</w:t>
            </w:r>
            <w:r>
              <w:rPr>
                <w:rFonts w:hint="eastAsia"/>
                <w:color w:val="auto"/>
                <w:lang w:val="en-US" w:eastAsia="zh-CN"/>
              </w:rPr>
              <w:t>12m</w:t>
            </w:r>
            <w:r>
              <w:rPr>
                <w:rFonts w:hint="eastAsia"/>
                <w:color w:val="auto"/>
                <w:vertAlign w:val="superscript"/>
                <w:lang w:val="en-US" w:eastAsia="zh-CN"/>
              </w:rPr>
              <w:t>3</w:t>
            </w:r>
            <w:r>
              <w:rPr>
                <w:rFonts w:hint="eastAsia"/>
                <w:color w:val="auto"/>
                <w:sz w:val="24"/>
                <w:lang w:eastAsia="zh-CN"/>
              </w:rPr>
              <w:t>）</w:t>
            </w:r>
            <w:r>
              <w:rPr>
                <w:rFonts w:hint="eastAsia"/>
                <w:color w:val="auto"/>
                <w:sz w:val="24"/>
              </w:rPr>
              <w:t>收集处理后，排入清丰中州水务有限公司第二污水处理厂进一步处理，处理后排入潴龙河。生活污水</w:t>
            </w:r>
            <w:r>
              <w:rPr>
                <w:rFonts w:hint="eastAsia"/>
                <w:color w:val="auto"/>
                <w:sz w:val="24"/>
                <w:lang w:eastAsia="zh-CN"/>
              </w:rPr>
              <w:t>（</w:t>
            </w:r>
            <w:r>
              <w:rPr>
                <w:rFonts w:hint="eastAsia"/>
                <w:color w:val="auto"/>
                <w:sz w:val="24"/>
                <w:lang w:val="en-US" w:eastAsia="zh-CN"/>
              </w:rPr>
              <w:t>含制备废水</w:t>
            </w:r>
            <w:r>
              <w:rPr>
                <w:rFonts w:hint="eastAsia"/>
                <w:color w:val="auto"/>
                <w:sz w:val="24"/>
                <w:lang w:eastAsia="zh-CN"/>
              </w:rPr>
              <w:t>）</w:t>
            </w:r>
            <w:r>
              <w:rPr>
                <w:rFonts w:hint="eastAsia"/>
                <w:color w:val="auto"/>
                <w:sz w:val="24"/>
              </w:rPr>
              <w:t>主要</w:t>
            </w:r>
            <w:r>
              <w:rPr>
                <w:color w:val="auto"/>
                <w:sz w:val="24"/>
              </w:rPr>
              <w:t>污染物产排情况见</w:t>
            </w:r>
            <w:r>
              <w:rPr>
                <w:rFonts w:hint="eastAsia"/>
                <w:color w:val="auto"/>
                <w:sz w:val="24"/>
              </w:rPr>
              <w:t>下</w:t>
            </w:r>
            <w:r>
              <w:rPr>
                <w:color w:val="auto"/>
                <w:sz w:val="24"/>
              </w:rPr>
              <w:t>表。</w:t>
            </w:r>
          </w:p>
          <w:p w14:paraId="2683A6CF">
            <w:pPr>
              <w:pStyle w:val="46"/>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eastAsia" w:ascii="Times New Roman" w:hAnsi="Arial Unicode MS" w:eastAsia="宋体" w:cs="Times New Roman"/>
                <w:b/>
                <w:color w:val="auto"/>
                <w:kern w:val="2"/>
                <w:sz w:val="24"/>
                <w:szCs w:val="24"/>
                <w:lang w:val="en-US" w:eastAsia="zh-CN" w:bidi="ar-SA"/>
              </w:rPr>
            </w:pPr>
            <w:r>
              <w:rPr>
                <w:rFonts w:hint="eastAsia" w:ascii="Times New Roman" w:hAnsi="Arial Unicode MS" w:eastAsia="宋体" w:cs="Times New Roman"/>
                <w:b/>
                <w:color w:val="auto"/>
                <w:kern w:val="2"/>
                <w:sz w:val="24"/>
                <w:szCs w:val="24"/>
                <w:lang w:val="en-US" w:eastAsia="zh-CN" w:bidi="ar-SA"/>
              </w:rPr>
              <w:t>本项目废水处理前后水质情况一览表</w:t>
            </w:r>
          </w:p>
          <w:tbl>
            <w:tblPr>
              <w:tblStyle w:val="25"/>
              <w:tblW w:w="86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1"/>
              <w:gridCol w:w="1623"/>
              <w:gridCol w:w="1062"/>
              <w:gridCol w:w="1062"/>
              <w:gridCol w:w="1062"/>
              <w:gridCol w:w="1062"/>
              <w:gridCol w:w="1063"/>
            </w:tblGrid>
            <w:tr w14:paraId="69285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3294" w:type="dxa"/>
                  <w:gridSpan w:val="2"/>
                  <w:vAlign w:val="center"/>
                </w:tcPr>
                <w:p w14:paraId="5CFB459A">
                  <w:pPr>
                    <w:widowControl/>
                    <w:jc w:val="center"/>
                    <w:rPr>
                      <w:bCs/>
                      <w:color w:val="auto"/>
                      <w:kern w:val="0"/>
                      <w:szCs w:val="21"/>
                    </w:rPr>
                  </w:pPr>
                  <w:r>
                    <w:rPr>
                      <w:bCs/>
                      <w:color w:val="auto"/>
                      <w:kern w:val="0"/>
                      <w:szCs w:val="21"/>
                    </w:rPr>
                    <w:t>项目</w:t>
                  </w:r>
                </w:p>
              </w:tc>
              <w:tc>
                <w:tcPr>
                  <w:tcW w:w="1062" w:type="dxa"/>
                  <w:vAlign w:val="center"/>
                </w:tcPr>
                <w:p w14:paraId="6908FA37">
                  <w:pPr>
                    <w:widowControl/>
                    <w:jc w:val="center"/>
                    <w:rPr>
                      <w:rFonts w:hint="eastAsia"/>
                      <w:bCs/>
                      <w:color w:val="auto"/>
                      <w:kern w:val="0"/>
                      <w:szCs w:val="21"/>
                    </w:rPr>
                  </w:pPr>
                  <w:r>
                    <w:rPr>
                      <w:rFonts w:hint="eastAsia"/>
                      <w:bCs/>
                      <w:color w:val="auto"/>
                      <w:kern w:val="0"/>
                      <w:szCs w:val="21"/>
                    </w:rPr>
                    <w:t>pH</w:t>
                  </w:r>
                </w:p>
              </w:tc>
              <w:tc>
                <w:tcPr>
                  <w:tcW w:w="1062" w:type="dxa"/>
                  <w:vAlign w:val="center"/>
                </w:tcPr>
                <w:p w14:paraId="646559E7">
                  <w:pPr>
                    <w:widowControl/>
                    <w:jc w:val="center"/>
                    <w:rPr>
                      <w:bCs/>
                      <w:color w:val="auto"/>
                      <w:kern w:val="0"/>
                      <w:szCs w:val="21"/>
                    </w:rPr>
                  </w:pPr>
                  <w:r>
                    <w:rPr>
                      <w:bCs/>
                      <w:color w:val="auto"/>
                      <w:kern w:val="0"/>
                      <w:szCs w:val="21"/>
                    </w:rPr>
                    <w:t>COD</w:t>
                  </w:r>
                </w:p>
              </w:tc>
              <w:tc>
                <w:tcPr>
                  <w:tcW w:w="1062" w:type="dxa"/>
                  <w:vAlign w:val="center"/>
                </w:tcPr>
                <w:p w14:paraId="2F0869C2">
                  <w:pPr>
                    <w:widowControl/>
                    <w:jc w:val="center"/>
                    <w:rPr>
                      <w:bCs/>
                      <w:color w:val="auto"/>
                      <w:kern w:val="0"/>
                      <w:szCs w:val="21"/>
                    </w:rPr>
                  </w:pPr>
                  <w:r>
                    <w:rPr>
                      <w:bCs/>
                      <w:color w:val="auto"/>
                      <w:kern w:val="0"/>
                      <w:szCs w:val="21"/>
                    </w:rPr>
                    <w:t>BOD</w:t>
                  </w:r>
                  <w:r>
                    <w:rPr>
                      <w:bCs/>
                      <w:color w:val="auto"/>
                      <w:kern w:val="0"/>
                      <w:szCs w:val="21"/>
                      <w:vertAlign w:val="subscript"/>
                    </w:rPr>
                    <w:t>5</w:t>
                  </w:r>
                </w:p>
              </w:tc>
              <w:tc>
                <w:tcPr>
                  <w:tcW w:w="1062" w:type="dxa"/>
                  <w:vAlign w:val="center"/>
                </w:tcPr>
                <w:p w14:paraId="0F9800B6">
                  <w:pPr>
                    <w:widowControl/>
                    <w:jc w:val="center"/>
                    <w:rPr>
                      <w:bCs/>
                      <w:color w:val="auto"/>
                      <w:kern w:val="0"/>
                      <w:szCs w:val="21"/>
                    </w:rPr>
                  </w:pPr>
                  <w:r>
                    <w:rPr>
                      <w:bCs/>
                      <w:color w:val="auto"/>
                      <w:kern w:val="0"/>
                      <w:szCs w:val="21"/>
                    </w:rPr>
                    <w:t>SS</w:t>
                  </w:r>
                </w:p>
              </w:tc>
              <w:tc>
                <w:tcPr>
                  <w:tcW w:w="1063" w:type="dxa"/>
                  <w:vAlign w:val="center"/>
                </w:tcPr>
                <w:p w14:paraId="518B004D">
                  <w:pPr>
                    <w:widowControl/>
                    <w:jc w:val="center"/>
                    <w:rPr>
                      <w:bCs/>
                      <w:color w:val="auto"/>
                      <w:kern w:val="0"/>
                      <w:szCs w:val="21"/>
                    </w:rPr>
                  </w:pPr>
                  <w:r>
                    <w:rPr>
                      <w:bCs/>
                      <w:color w:val="auto"/>
                      <w:kern w:val="0"/>
                      <w:szCs w:val="21"/>
                    </w:rPr>
                    <w:t>NH</w:t>
                  </w:r>
                  <w:r>
                    <w:rPr>
                      <w:bCs/>
                      <w:color w:val="auto"/>
                      <w:kern w:val="0"/>
                      <w:szCs w:val="21"/>
                      <w:vertAlign w:val="subscript"/>
                    </w:rPr>
                    <w:t>3</w:t>
                  </w:r>
                  <w:r>
                    <w:rPr>
                      <w:bCs/>
                      <w:color w:val="auto"/>
                      <w:kern w:val="0"/>
                      <w:szCs w:val="21"/>
                    </w:rPr>
                    <w:t>-N</w:t>
                  </w:r>
                </w:p>
              </w:tc>
            </w:tr>
            <w:tr w14:paraId="5B7C1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671" w:type="dxa"/>
                  <w:vMerge w:val="restart"/>
                  <w:vAlign w:val="center"/>
                </w:tcPr>
                <w:p w14:paraId="750B76EE">
                  <w:pPr>
                    <w:widowControl/>
                    <w:jc w:val="center"/>
                    <w:rPr>
                      <w:color w:val="auto"/>
                    </w:rPr>
                  </w:pPr>
                  <w:r>
                    <w:rPr>
                      <w:rFonts w:hint="eastAsia"/>
                      <w:color w:val="auto"/>
                    </w:rPr>
                    <w:t>生活污水</w:t>
                  </w:r>
                  <w:r>
                    <w:rPr>
                      <w:rFonts w:hint="eastAsia"/>
                      <w:b/>
                      <w:bCs/>
                      <w:color w:val="auto"/>
                    </w:rPr>
                    <w:t>880</w:t>
                  </w:r>
                  <w:r>
                    <w:rPr>
                      <w:rFonts w:hint="eastAsia"/>
                      <w:color w:val="auto"/>
                    </w:rPr>
                    <w:t>m</w:t>
                  </w:r>
                  <w:r>
                    <w:rPr>
                      <w:rFonts w:hint="eastAsia"/>
                      <w:color w:val="auto"/>
                      <w:vertAlign w:val="superscript"/>
                    </w:rPr>
                    <w:t>3</w:t>
                  </w:r>
                  <w:r>
                    <w:rPr>
                      <w:rFonts w:hint="eastAsia"/>
                      <w:color w:val="auto"/>
                    </w:rPr>
                    <w:t>/a</w:t>
                  </w:r>
                </w:p>
              </w:tc>
              <w:tc>
                <w:tcPr>
                  <w:tcW w:w="1623" w:type="dxa"/>
                  <w:vAlign w:val="center"/>
                </w:tcPr>
                <w:p w14:paraId="3B4C933C">
                  <w:pPr>
                    <w:widowControl/>
                    <w:jc w:val="center"/>
                    <w:rPr>
                      <w:bCs/>
                      <w:color w:val="auto"/>
                      <w:kern w:val="0"/>
                      <w:szCs w:val="21"/>
                    </w:rPr>
                  </w:pPr>
                  <w:r>
                    <w:rPr>
                      <w:bCs/>
                      <w:color w:val="auto"/>
                      <w:kern w:val="0"/>
                      <w:szCs w:val="21"/>
                    </w:rPr>
                    <w:t>水质（mg/L）</w:t>
                  </w:r>
                </w:p>
              </w:tc>
              <w:tc>
                <w:tcPr>
                  <w:tcW w:w="1062" w:type="dxa"/>
                  <w:vAlign w:val="center"/>
                </w:tcPr>
                <w:p w14:paraId="1AB89030">
                  <w:pPr>
                    <w:widowControl/>
                    <w:jc w:val="center"/>
                    <w:rPr>
                      <w:bCs/>
                      <w:color w:val="auto"/>
                      <w:kern w:val="0"/>
                      <w:szCs w:val="21"/>
                    </w:rPr>
                  </w:pPr>
                  <w:r>
                    <w:rPr>
                      <w:rFonts w:hint="eastAsia"/>
                      <w:bCs/>
                      <w:color w:val="auto"/>
                      <w:kern w:val="0"/>
                      <w:szCs w:val="21"/>
                    </w:rPr>
                    <w:t>6.8</w:t>
                  </w:r>
                </w:p>
              </w:tc>
              <w:tc>
                <w:tcPr>
                  <w:tcW w:w="1062" w:type="dxa"/>
                  <w:vAlign w:val="center"/>
                </w:tcPr>
                <w:p w14:paraId="27A86811">
                  <w:pPr>
                    <w:jc w:val="center"/>
                    <w:rPr>
                      <w:bCs/>
                      <w:color w:val="auto"/>
                      <w:kern w:val="0"/>
                      <w:szCs w:val="21"/>
                    </w:rPr>
                  </w:pPr>
                  <w:r>
                    <w:rPr>
                      <w:bCs/>
                      <w:color w:val="auto"/>
                      <w:szCs w:val="21"/>
                    </w:rPr>
                    <w:t>300</w:t>
                  </w:r>
                </w:p>
              </w:tc>
              <w:tc>
                <w:tcPr>
                  <w:tcW w:w="1062" w:type="dxa"/>
                  <w:vAlign w:val="center"/>
                </w:tcPr>
                <w:p w14:paraId="2328698D">
                  <w:pPr>
                    <w:jc w:val="center"/>
                    <w:rPr>
                      <w:bCs/>
                      <w:color w:val="auto"/>
                      <w:kern w:val="0"/>
                      <w:szCs w:val="21"/>
                    </w:rPr>
                  </w:pPr>
                  <w:r>
                    <w:rPr>
                      <w:bCs/>
                      <w:color w:val="auto"/>
                      <w:szCs w:val="21"/>
                    </w:rPr>
                    <w:t>140</w:t>
                  </w:r>
                </w:p>
              </w:tc>
              <w:tc>
                <w:tcPr>
                  <w:tcW w:w="1062" w:type="dxa"/>
                  <w:vAlign w:val="center"/>
                </w:tcPr>
                <w:p w14:paraId="148C1BF3">
                  <w:pPr>
                    <w:jc w:val="center"/>
                    <w:rPr>
                      <w:bCs/>
                      <w:color w:val="auto"/>
                      <w:kern w:val="0"/>
                      <w:szCs w:val="21"/>
                    </w:rPr>
                  </w:pPr>
                  <w:r>
                    <w:rPr>
                      <w:bCs/>
                      <w:color w:val="auto"/>
                      <w:szCs w:val="21"/>
                    </w:rPr>
                    <w:t>200</w:t>
                  </w:r>
                </w:p>
              </w:tc>
              <w:tc>
                <w:tcPr>
                  <w:tcW w:w="1063" w:type="dxa"/>
                  <w:vAlign w:val="center"/>
                </w:tcPr>
                <w:p w14:paraId="232C7076">
                  <w:pPr>
                    <w:jc w:val="center"/>
                    <w:rPr>
                      <w:bCs/>
                      <w:color w:val="auto"/>
                      <w:kern w:val="0"/>
                      <w:szCs w:val="21"/>
                    </w:rPr>
                  </w:pPr>
                  <w:r>
                    <w:rPr>
                      <w:rFonts w:hint="eastAsia"/>
                      <w:bCs/>
                      <w:color w:val="auto"/>
                      <w:szCs w:val="21"/>
                    </w:rPr>
                    <w:t>30</w:t>
                  </w:r>
                </w:p>
              </w:tc>
            </w:tr>
            <w:tr w14:paraId="1CADF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671" w:type="dxa"/>
                  <w:vMerge w:val="continue"/>
                  <w:vAlign w:val="center"/>
                </w:tcPr>
                <w:p w14:paraId="0030D8FD">
                  <w:pPr>
                    <w:widowControl/>
                    <w:jc w:val="center"/>
                    <w:rPr>
                      <w:rFonts w:hint="eastAsia"/>
                      <w:bCs/>
                      <w:color w:val="auto"/>
                      <w:kern w:val="0"/>
                      <w:szCs w:val="21"/>
                    </w:rPr>
                  </w:pPr>
                </w:p>
              </w:tc>
              <w:tc>
                <w:tcPr>
                  <w:tcW w:w="1623" w:type="dxa"/>
                  <w:vAlign w:val="center"/>
                </w:tcPr>
                <w:p w14:paraId="194E7F97">
                  <w:pPr>
                    <w:widowControl/>
                    <w:jc w:val="center"/>
                    <w:rPr>
                      <w:rFonts w:hint="eastAsia"/>
                      <w:bCs/>
                      <w:color w:val="auto"/>
                      <w:kern w:val="0"/>
                      <w:szCs w:val="21"/>
                    </w:rPr>
                  </w:pPr>
                  <w:r>
                    <w:rPr>
                      <w:rFonts w:hint="eastAsia"/>
                      <w:bCs/>
                      <w:color w:val="auto"/>
                      <w:kern w:val="0"/>
                      <w:szCs w:val="21"/>
                    </w:rPr>
                    <w:t>去除（%）</w:t>
                  </w:r>
                </w:p>
              </w:tc>
              <w:tc>
                <w:tcPr>
                  <w:tcW w:w="1062" w:type="dxa"/>
                  <w:vAlign w:val="center"/>
                </w:tcPr>
                <w:p w14:paraId="0E9859EA">
                  <w:pPr>
                    <w:widowControl/>
                    <w:jc w:val="center"/>
                    <w:rPr>
                      <w:rFonts w:hint="eastAsia"/>
                      <w:bCs/>
                      <w:color w:val="auto"/>
                      <w:kern w:val="0"/>
                      <w:szCs w:val="21"/>
                    </w:rPr>
                  </w:pPr>
                  <w:r>
                    <w:rPr>
                      <w:rFonts w:hint="eastAsia"/>
                      <w:bCs/>
                      <w:color w:val="auto"/>
                      <w:kern w:val="0"/>
                      <w:szCs w:val="21"/>
                    </w:rPr>
                    <w:t>/</w:t>
                  </w:r>
                </w:p>
              </w:tc>
              <w:tc>
                <w:tcPr>
                  <w:tcW w:w="1062" w:type="dxa"/>
                  <w:vAlign w:val="center"/>
                </w:tcPr>
                <w:p w14:paraId="6500B33F">
                  <w:pPr>
                    <w:jc w:val="center"/>
                    <w:rPr>
                      <w:bCs/>
                      <w:color w:val="auto"/>
                      <w:kern w:val="0"/>
                      <w:szCs w:val="21"/>
                    </w:rPr>
                  </w:pPr>
                  <w:r>
                    <w:rPr>
                      <w:rFonts w:hint="eastAsia"/>
                      <w:bCs/>
                      <w:color w:val="auto"/>
                      <w:szCs w:val="21"/>
                    </w:rPr>
                    <w:t>15%</w:t>
                  </w:r>
                </w:p>
              </w:tc>
              <w:tc>
                <w:tcPr>
                  <w:tcW w:w="1062" w:type="dxa"/>
                  <w:vAlign w:val="center"/>
                </w:tcPr>
                <w:p w14:paraId="63711F4F">
                  <w:pPr>
                    <w:jc w:val="center"/>
                    <w:rPr>
                      <w:bCs/>
                      <w:color w:val="auto"/>
                      <w:kern w:val="0"/>
                      <w:szCs w:val="21"/>
                    </w:rPr>
                  </w:pPr>
                  <w:r>
                    <w:rPr>
                      <w:rFonts w:hint="eastAsia"/>
                      <w:bCs/>
                      <w:color w:val="auto"/>
                      <w:szCs w:val="21"/>
                    </w:rPr>
                    <w:t>10%</w:t>
                  </w:r>
                </w:p>
              </w:tc>
              <w:tc>
                <w:tcPr>
                  <w:tcW w:w="1062" w:type="dxa"/>
                  <w:vAlign w:val="center"/>
                </w:tcPr>
                <w:p w14:paraId="62362FE2">
                  <w:pPr>
                    <w:jc w:val="center"/>
                    <w:rPr>
                      <w:bCs/>
                      <w:color w:val="auto"/>
                      <w:kern w:val="0"/>
                      <w:szCs w:val="21"/>
                    </w:rPr>
                  </w:pPr>
                  <w:r>
                    <w:rPr>
                      <w:rFonts w:hint="eastAsia"/>
                      <w:bCs/>
                      <w:color w:val="auto"/>
                      <w:szCs w:val="21"/>
                    </w:rPr>
                    <w:t>60%</w:t>
                  </w:r>
                </w:p>
              </w:tc>
              <w:tc>
                <w:tcPr>
                  <w:tcW w:w="1063" w:type="dxa"/>
                  <w:vAlign w:val="center"/>
                </w:tcPr>
                <w:p w14:paraId="3FAD8D41">
                  <w:pPr>
                    <w:jc w:val="center"/>
                    <w:rPr>
                      <w:bCs/>
                      <w:color w:val="auto"/>
                      <w:kern w:val="0"/>
                      <w:szCs w:val="21"/>
                    </w:rPr>
                  </w:pPr>
                  <w:r>
                    <w:rPr>
                      <w:rFonts w:hint="eastAsia"/>
                      <w:bCs/>
                      <w:color w:val="auto"/>
                      <w:szCs w:val="21"/>
                    </w:rPr>
                    <w:t>3%</w:t>
                  </w:r>
                </w:p>
              </w:tc>
            </w:tr>
            <w:tr w14:paraId="7EE93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671" w:type="dxa"/>
                  <w:vMerge w:val="continue"/>
                  <w:vAlign w:val="center"/>
                </w:tcPr>
                <w:p w14:paraId="6614829A">
                  <w:pPr>
                    <w:widowControl/>
                    <w:jc w:val="center"/>
                    <w:rPr>
                      <w:bCs/>
                      <w:color w:val="auto"/>
                      <w:kern w:val="0"/>
                      <w:szCs w:val="21"/>
                    </w:rPr>
                  </w:pPr>
                </w:p>
              </w:tc>
              <w:tc>
                <w:tcPr>
                  <w:tcW w:w="1623" w:type="dxa"/>
                  <w:vAlign w:val="center"/>
                </w:tcPr>
                <w:p w14:paraId="0A331410">
                  <w:pPr>
                    <w:widowControl/>
                    <w:jc w:val="center"/>
                    <w:rPr>
                      <w:bCs/>
                      <w:color w:val="auto"/>
                      <w:kern w:val="0"/>
                      <w:szCs w:val="21"/>
                    </w:rPr>
                  </w:pPr>
                  <w:r>
                    <w:rPr>
                      <w:rFonts w:hint="eastAsia"/>
                      <w:bCs/>
                      <w:color w:val="auto"/>
                      <w:kern w:val="0"/>
                      <w:szCs w:val="21"/>
                    </w:rPr>
                    <w:t>出水</w:t>
                  </w:r>
                  <w:r>
                    <w:rPr>
                      <w:bCs/>
                      <w:color w:val="auto"/>
                      <w:kern w:val="0"/>
                      <w:szCs w:val="21"/>
                    </w:rPr>
                    <w:t>（mg/L）</w:t>
                  </w:r>
                </w:p>
              </w:tc>
              <w:tc>
                <w:tcPr>
                  <w:tcW w:w="1062" w:type="dxa"/>
                  <w:vAlign w:val="center"/>
                </w:tcPr>
                <w:p w14:paraId="427E5764">
                  <w:pPr>
                    <w:widowControl/>
                    <w:jc w:val="center"/>
                    <w:rPr>
                      <w:bCs/>
                      <w:color w:val="auto"/>
                      <w:kern w:val="0"/>
                      <w:szCs w:val="21"/>
                    </w:rPr>
                  </w:pPr>
                  <w:r>
                    <w:rPr>
                      <w:rFonts w:hint="eastAsia"/>
                      <w:bCs/>
                      <w:color w:val="auto"/>
                      <w:kern w:val="0"/>
                      <w:szCs w:val="21"/>
                    </w:rPr>
                    <w:t>6.8</w:t>
                  </w:r>
                </w:p>
              </w:tc>
              <w:tc>
                <w:tcPr>
                  <w:tcW w:w="1062" w:type="dxa"/>
                  <w:vAlign w:val="center"/>
                </w:tcPr>
                <w:p w14:paraId="1C15ABC4">
                  <w:pPr>
                    <w:jc w:val="center"/>
                    <w:rPr>
                      <w:bCs/>
                      <w:color w:val="auto"/>
                      <w:kern w:val="0"/>
                      <w:szCs w:val="21"/>
                    </w:rPr>
                  </w:pPr>
                  <w:r>
                    <w:rPr>
                      <w:bCs/>
                      <w:color w:val="auto"/>
                      <w:szCs w:val="21"/>
                    </w:rPr>
                    <w:t>255</w:t>
                  </w:r>
                </w:p>
              </w:tc>
              <w:tc>
                <w:tcPr>
                  <w:tcW w:w="1062" w:type="dxa"/>
                  <w:vAlign w:val="center"/>
                </w:tcPr>
                <w:p w14:paraId="12FEC2FF">
                  <w:pPr>
                    <w:jc w:val="center"/>
                    <w:rPr>
                      <w:bCs/>
                      <w:color w:val="auto"/>
                      <w:kern w:val="0"/>
                      <w:szCs w:val="21"/>
                    </w:rPr>
                  </w:pPr>
                  <w:r>
                    <w:rPr>
                      <w:bCs/>
                      <w:color w:val="auto"/>
                      <w:szCs w:val="21"/>
                    </w:rPr>
                    <w:t>126</w:t>
                  </w:r>
                </w:p>
              </w:tc>
              <w:tc>
                <w:tcPr>
                  <w:tcW w:w="1062" w:type="dxa"/>
                  <w:vAlign w:val="center"/>
                </w:tcPr>
                <w:p w14:paraId="51E29144">
                  <w:pPr>
                    <w:jc w:val="center"/>
                    <w:rPr>
                      <w:bCs/>
                      <w:color w:val="auto"/>
                      <w:kern w:val="0"/>
                      <w:szCs w:val="21"/>
                    </w:rPr>
                  </w:pPr>
                  <w:r>
                    <w:rPr>
                      <w:bCs/>
                      <w:color w:val="auto"/>
                      <w:szCs w:val="21"/>
                    </w:rPr>
                    <w:t>80</w:t>
                  </w:r>
                </w:p>
              </w:tc>
              <w:tc>
                <w:tcPr>
                  <w:tcW w:w="1063" w:type="dxa"/>
                  <w:vAlign w:val="center"/>
                </w:tcPr>
                <w:p w14:paraId="59AE7E31">
                  <w:pPr>
                    <w:jc w:val="center"/>
                    <w:rPr>
                      <w:bCs/>
                      <w:color w:val="auto"/>
                      <w:kern w:val="0"/>
                      <w:szCs w:val="21"/>
                    </w:rPr>
                  </w:pPr>
                  <w:r>
                    <w:rPr>
                      <w:bCs/>
                      <w:color w:val="auto"/>
                      <w:szCs w:val="21"/>
                    </w:rPr>
                    <w:t>29.1</w:t>
                  </w:r>
                </w:p>
              </w:tc>
            </w:tr>
            <w:tr w14:paraId="0E563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1671" w:type="dxa"/>
                  <w:vMerge w:val="restart"/>
                  <w:vAlign w:val="center"/>
                </w:tcPr>
                <w:p w14:paraId="0474B856">
                  <w:pPr>
                    <w:jc w:val="center"/>
                    <w:rPr>
                      <w:rFonts w:hint="eastAsia"/>
                      <w:b/>
                      <w:bCs/>
                      <w:color w:val="auto"/>
                      <w:szCs w:val="21"/>
                      <w:u w:val="single"/>
                    </w:rPr>
                  </w:pPr>
                  <w:r>
                    <w:rPr>
                      <w:rFonts w:hint="eastAsia"/>
                      <w:b/>
                      <w:bCs/>
                      <w:color w:val="auto"/>
                      <w:u w:val="single"/>
                      <w:lang w:val="en-US" w:eastAsia="zh-CN"/>
                    </w:rPr>
                    <w:t>制备废水</w:t>
                  </w:r>
                  <w:r>
                    <w:rPr>
                      <w:rFonts w:hint="eastAsia"/>
                      <w:b/>
                      <w:bCs/>
                      <w:color w:val="auto"/>
                      <w:u w:val="single"/>
                    </w:rPr>
                    <w:t>0</w:t>
                  </w:r>
                  <w:r>
                    <w:rPr>
                      <w:rFonts w:hint="eastAsia"/>
                      <w:b/>
                      <w:bCs/>
                      <w:color w:val="auto"/>
                      <w:u w:val="single"/>
                      <w:lang w:val="en-US" w:eastAsia="zh-CN"/>
                    </w:rPr>
                    <w:t>.3546</w:t>
                  </w:r>
                  <w:r>
                    <w:rPr>
                      <w:rFonts w:hint="eastAsia"/>
                      <w:b/>
                      <w:bCs/>
                      <w:color w:val="auto"/>
                      <w:u w:val="single"/>
                    </w:rPr>
                    <w:t>m</w:t>
                  </w:r>
                  <w:r>
                    <w:rPr>
                      <w:rFonts w:hint="eastAsia"/>
                      <w:b/>
                      <w:bCs/>
                      <w:color w:val="auto"/>
                      <w:u w:val="single"/>
                      <w:vertAlign w:val="superscript"/>
                    </w:rPr>
                    <w:t>3</w:t>
                  </w:r>
                  <w:r>
                    <w:rPr>
                      <w:rFonts w:hint="eastAsia"/>
                      <w:b/>
                      <w:bCs/>
                      <w:color w:val="auto"/>
                      <w:u w:val="single"/>
                    </w:rPr>
                    <w:t>/a</w:t>
                  </w:r>
                </w:p>
              </w:tc>
              <w:tc>
                <w:tcPr>
                  <w:tcW w:w="1623" w:type="dxa"/>
                  <w:shd w:val="clear" w:color="auto" w:fill="auto"/>
                  <w:vAlign w:val="center"/>
                </w:tcPr>
                <w:p w14:paraId="6C03B667">
                  <w:pPr>
                    <w:widowControl/>
                    <w:jc w:val="center"/>
                    <w:rPr>
                      <w:rFonts w:hint="eastAsia" w:ascii="Times New Roman" w:hAnsi="Times New Roman" w:eastAsia="宋体" w:cs="Times New Roman"/>
                      <w:b/>
                      <w:bCs/>
                      <w:color w:val="auto"/>
                      <w:kern w:val="0"/>
                      <w:sz w:val="21"/>
                      <w:szCs w:val="21"/>
                      <w:u w:val="single"/>
                      <w:lang w:val="en-US" w:eastAsia="zh-CN" w:bidi="ar-SA"/>
                    </w:rPr>
                  </w:pPr>
                  <w:r>
                    <w:rPr>
                      <w:b/>
                      <w:bCs/>
                      <w:color w:val="auto"/>
                      <w:kern w:val="0"/>
                      <w:szCs w:val="21"/>
                      <w:u w:val="single"/>
                    </w:rPr>
                    <w:t>水质（mg/L）</w:t>
                  </w:r>
                </w:p>
              </w:tc>
              <w:tc>
                <w:tcPr>
                  <w:tcW w:w="1062" w:type="dxa"/>
                  <w:shd w:val="clear" w:color="auto" w:fill="auto"/>
                  <w:vAlign w:val="center"/>
                </w:tcPr>
                <w:p w14:paraId="2AA6926B">
                  <w:pPr>
                    <w:widowControl/>
                    <w:jc w:val="center"/>
                    <w:rPr>
                      <w:rFonts w:ascii="Times New Roman" w:hAnsi="Times New Roman" w:eastAsia="宋体" w:cs="Times New Roman"/>
                      <w:b/>
                      <w:bCs/>
                      <w:color w:val="auto"/>
                      <w:kern w:val="0"/>
                      <w:sz w:val="21"/>
                      <w:szCs w:val="21"/>
                      <w:u w:val="single"/>
                      <w:lang w:val="en-US" w:eastAsia="zh-CN" w:bidi="ar-SA"/>
                    </w:rPr>
                  </w:pPr>
                  <w:r>
                    <w:rPr>
                      <w:rFonts w:hint="eastAsia"/>
                      <w:b/>
                      <w:bCs/>
                      <w:color w:val="auto"/>
                      <w:kern w:val="0"/>
                      <w:szCs w:val="21"/>
                      <w:u w:val="single"/>
                    </w:rPr>
                    <w:t>6.8</w:t>
                  </w:r>
                </w:p>
              </w:tc>
              <w:tc>
                <w:tcPr>
                  <w:tcW w:w="1062" w:type="dxa"/>
                  <w:shd w:val="clear" w:color="auto" w:fill="auto"/>
                  <w:vAlign w:val="center"/>
                </w:tcPr>
                <w:p w14:paraId="03CD0AA3">
                  <w:pPr>
                    <w:jc w:val="center"/>
                    <w:rPr>
                      <w:rFonts w:ascii="Times New Roman" w:hAnsi="Times New Roman" w:eastAsia="宋体" w:cs="Times New Roman"/>
                      <w:b/>
                      <w:bCs/>
                      <w:color w:val="auto"/>
                      <w:kern w:val="0"/>
                      <w:sz w:val="21"/>
                      <w:szCs w:val="21"/>
                      <w:u w:val="single"/>
                      <w:lang w:val="en-US" w:eastAsia="zh-CN" w:bidi="ar-SA"/>
                    </w:rPr>
                  </w:pPr>
                  <w:r>
                    <w:rPr>
                      <w:b/>
                      <w:bCs/>
                      <w:color w:val="auto"/>
                      <w:szCs w:val="21"/>
                      <w:u w:val="single"/>
                    </w:rPr>
                    <w:t>300</w:t>
                  </w:r>
                </w:p>
              </w:tc>
              <w:tc>
                <w:tcPr>
                  <w:tcW w:w="1062" w:type="dxa"/>
                  <w:shd w:val="clear" w:color="auto" w:fill="auto"/>
                  <w:vAlign w:val="center"/>
                </w:tcPr>
                <w:p w14:paraId="5D2EC9AF">
                  <w:pPr>
                    <w:jc w:val="center"/>
                    <w:rPr>
                      <w:rFonts w:hint="eastAsia" w:ascii="Times New Roman" w:hAnsi="Times New Roman" w:eastAsia="宋体" w:cs="Times New Roman"/>
                      <w:b/>
                      <w:bCs/>
                      <w:color w:val="auto"/>
                      <w:kern w:val="0"/>
                      <w:sz w:val="21"/>
                      <w:szCs w:val="21"/>
                      <w:u w:val="single"/>
                      <w:lang w:val="en-US" w:eastAsia="zh-CN" w:bidi="ar-SA"/>
                    </w:rPr>
                  </w:pPr>
                  <w:r>
                    <w:rPr>
                      <w:rFonts w:hint="eastAsia"/>
                      <w:b/>
                      <w:bCs/>
                      <w:color w:val="auto"/>
                      <w:szCs w:val="21"/>
                      <w:u w:val="single"/>
                      <w:lang w:val="en-US" w:eastAsia="zh-CN"/>
                    </w:rPr>
                    <w:t>/</w:t>
                  </w:r>
                </w:p>
              </w:tc>
              <w:tc>
                <w:tcPr>
                  <w:tcW w:w="1062" w:type="dxa"/>
                  <w:shd w:val="clear" w:color="auto" w:fill="auto"/>
                  <w:vAlign w:val="center"/>
                </w:tcPr>
                <w:p w14:paraId="4ED1C7E5">
                  <w:pPr>
                    <w:jc w:val="center"/>
                    <w:rPr>
                      <w:rFonts w:hint="eastAsia" w:ascii="Times New Roman" w:hAnsi="Times New Roman" w:eastAsia="宋体" w:cs="Times New Roman"/>
                      <w:b/>
                      <w:bCs/>
                      <w:color w:val="auto"/>
                      <w:kern w:val="0"/>
                      <w:sz w:val="21"/>
                      <w:szCs w:val="21"/>
                      <w:u w:val="single"/>
                      <w:lang w:val="en-US" w:eastAsia="zh-CN" w:bidi="ar-SA"/>
                    </w:rPr>
                  </w:pPr>
                  <w:r>
                    <w:rPr>
                      <w:rFonts w:hint="eastAsia"/>
                      <w:b/>
                      <w:bCs/>
                      <w:color w:val="auto"/>
                      <w:szCs w:val="21"/>
                      <w:u w:val="single"/>
                      <w:lang w:val="en-US" w:eastAsia="zh-CN"/>
                    </w:rPr>
                    <w:t>/</w:t>
                  </w:r>
                </w:p>
              </w:tc>
              <w:tc>
                <w:tcPr>
                  <w:tcW w:w="1063" w:type="dxa"/>
                  <w:shd w:val="clear" w:color="auto" w:fill="auto"/>
                  <w:vAlign w:val="center"/>
                </w:tcPr>
                <w:p w14:paraId="52543CCD">
                  <w:pPr>
                    <w:jc w:val="center"/>
                    <w:rPr>
                      <w:rFonts w:hint="default" w:ascii="Times New Roman" w:hAnsi="Times New Roman" w:eastAsia="宋体" w:cs="Times New Roman"/>
                      <w:b/>
                      <w:bCs/>
                      <w:color w:val="auto"/>
                      <w:kern w:val="0"/>
                      <w:sz w:val="21"/>
                      <w:szCs w:val="21"/>
                      <w:u w:val="single"/>
                      <w:lang w:val="en-US" w:eastAsia="zh-CN" w:bidi="ar-SA"/>
                    </w:rPr>
                  </w:pPr>
                  <w:r>
                    <w:rPr>
                      <w:rFonts w:hint="eastAsia"/>
                      <w:b/>
                      <w:bCs/>
                      <w:color w:val="auto"/>
                      <w:szCs w:val="21"/>
                      <w:u w:val="single"/>
                      <w:lang w:val="en-US" w:eastAsia="zh-CN"/>
                    </w:rPr>
                    <w:t>1.0</w:t>
                  </w:r>
                </w:p>
              </w:tc>
            </w:tr>
            <w:tr w14:paraId="0365C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1671" w:type="dxa"/>
                  <w:vMerge w:val="continue"/>
                  <w:vAlign w:val="center"/>
                </w:tcPr>
                <w:p w14:paraId="66C9EAB4">
                  <w:pPr>
                    <w:jc w:val="center"/>
                    <w:rPr>
                      <w:b/>
                      <w:bCs/>
                      <w:color w:val="auto"/>
                      <w:u w:val="single"/>
                    </w:rPr>
                  </w:pPr>
                </w:p>
              </w:tc>
              <w:tc>
                <w:tcPr>
                  <w:tcW w:w="1623" w:type="dxa"/>
                  <w:shd w:val="clear" w:color="auto" w:fill="auto"/>
                  <w:vAlign w:val="center"/>
                </w:tcPr>
                <w:p w14:paraId="2E6CFB98">
                  <w:pPr>
                    <w:widowControl/>
                    <w:jc w:val="center"/>
                    <w:rPr>
                      <w:rFonts w:hint="eastAsia" w:ascii="Times New Roman" w:hAnsi="Times New Roman" w:eastAsia="宋体" w:cs="Times New Roman"/>
                      <w:b/>
                      <w:bCs/>
                      <w:color w:val="auto"/>
                      <w:kern w:val="0"/>
                      <w:sz w:val="21"/>
                      <w:szCs w:val="21"/>
                      <w:u w:val="single"/>
                      <w:lang w:val="en-US" w:eastAsia="zh-CN" w:bidi="ar-SA"/>
                    </w:rPr>
                  </w:pPr>
                  <w:r>
                    <w:rPr>
                      <w:rFonts w:hint="eastAsia"/>
                      <w:b/>
                      <w:bCs/>
                      <w:color w:val="auto"/>
                      <w:kern w:val="0"/>
                      <w:szCs w:val="21"/>
                      <w:u w:val="single"/>
                    </w:rPr>
                    <w:t>去除（%）</w:t>
                  </w:r>
                </w:p>
              </w:tc>
              <w:tc>
                <w:tcPr>
                  <w:tcW w:w="1062" w:type="dxa"/>
                  <w:shd w:val="clear" w:color="auto" w:fill="auto"/>
                  <w:vAlign w:val="center"/>
                </w:tcPr>
                <w:p w14:paraId="082085AB">
                  <w:pPr>
                    <w:widowControl/>
                    <w:jc w:val="center"/>
                    <w:rPr>
                      <w:rFonts w:hint="eastAsia" w:ascii="Times New Roman" w:hAnsi="Times New Roman" w:eastAsia="宋体" w:cs="Times New Roman"/>
                      <w:b/>
                      <w:bCs/>
                      <w:color w:val="auto"/>
                      <w:kern w:val="0"/>
                      <w:sz w:val="21"/>
                      <w:szCs w:val="21"/>
                      <w:u w:val="single"/>
                      <w:lang w:val="en-US" w:eastAsia="zh-CN" w:bidi="ar-SA"/>
                    </w:rPr>
                  </w:pPr>
                  <w:r>
                    <w:rPr>
                      <w:rFonts w:hint="eastAsia"/>
                      <w:b/>
                      <w:bCs/>
                      <w:color w:val="auto"/>
                      <w:kern w:val="0"/>
                      <w:szCs w:val="21"/>
                      <w:u w:val="single"/>
                    </w:rPr>
                    <w:t>/</w:t>
                  </w:r>
                </w:p>
              </w:tc>
              <w:tc>
                <w:tcPr>
                  <w:tcW w:w="1062" w:type="dxa"/>
                  <w:shd w:val="clear" w:color="auto" w:fill="auto"/>
                  <w:vAlign w:val="center"/>
                </w:tcPr>
                <w:p w14:paraId="5ACC20B8">
                  <w:pPr>
                    <w:jc w:val="center"/>
                    <w:rPr>
                      <w:rFonts w:hint="eastAsia" w:ascii="Times New Roman" w:hAnsi="Times New Roman" w:eastAsia="宋体" w:cs="Times New Roman"/>
                      <w:b/>
                      <w:bCs/>
                      <w:color w:val="auto"/>
                      <w:kern w:val="0"/>
                      <w:sz w:val="21"/>
                      <w:szCs w:val="21"/>
                      <w:u w:val="single"/>
                      <w:lang w:val="en-US" w:eastAsia="zh-CN" w:bidi="ar-SA"/>
                    </w:rPr>
                  </w:pPr>
                  <w:r>
                    <w:rPr>
                      <w:rFonts w:hint="eastAsia"/>
                      <w:b/>
                      <w:bCs/>
                      <w:color w:val="auto"/>
                      <w:szCs w:val="21"/>
                      <w:u w:val="single"/>
                    </w:rPr>
                    <w:t>15%</w:t>
                  </w:r>
                </w:p>
              </w:tc>
              <w:tc>
                <w:tcPr>
                  <w:tcW w:w="1062" w:type="dxa"/>
                  <w:shd w:val="clear" w:color="auto" w:fill="auto"/>
                  <w:vAlign w:val="center"/>
                </w:tcPr>
                <w:p w14:paraId="037FD329">
                  <w:pPr>
                    <w:jc w:val="center"/>
                    <w:rPr>
                      <w:rFonts w:hint="eastAsia" w:ascii="Times New Roman" w:hAnsi="Times New Roman" w:eastAsia="宋体" w:cs="Times New Roman"/>
                      <w:b/>
                      <w:bCs/>
                      <w:color w:val="auto"/>
                      <w:kern w:val="0"/>
                      <w:sz w:val="21"/>
                      <w:szCs w:val="21"/>
                      <w:u w:val="single"/>
                      <w:lang w:val="en-US" w:eastAsia="zh-CN" w:bidi="ar-SA"/>
                    </w:rPr>
                  </w:pPr>
                  <w:r>
                    <w:rPr>
                      <w:rFonts w:hint="eastAsia"/>
                      <w:b/>
                      <w:bCs/>
                      <w:color w:val="auto"/>
                      <w:szCs w:val="21"/>
                      <w:u w:val="single"/>
                      <w:lang w:eastAsia="zh-CN"/>
                    </w:rPr>
                    <w:t>/</w:t>
                  </w:r>
                </w:p>
              </w:tc>
              <w:tc>
                <w:tcPr>
                  <w:tcW w:w="1062" w:type="dxa"/>
                  <w:shd w:val="clear" w:color="auto" w:fill="auto"/>
                  <w:vAlign w:val="center"/>
                </w:tcPr>
                <w:p w14:paraId="783C84CF">
                  <w:pPr>
                    <w:jc w:val="center"/>
                    <w:rPr>
                      <w:rFonts w:hint="eastAsia" w:ascii="Times New Roman" w:hAnsi="Times New Roman" w:eastAsia="宋体" w:cs="Times New Roman"/>
                      <w:b/>
                      <w:bCs/>
                      <w:color w:val="auto"/>
                      <w:kern w:val="0"/>
                      <w:sz w:val="21"/>
                      <w:szCs w:val="21"/>
                      <w:u w:val="single"/>
                      <w:lang w:val="en-US" w:eastAsia="zh-CN" w:bidi="ar-SA"/>
                    </w:rPr>
                  </w:pPr>
                  <w:r>
                    <w:rPr>
                      <w:rFonts w:hint="eastAsia"/>
                      <w:b/>
                      <w:bCs/>
                      <w:color w:val="auto"/>
                      <w:szCs w:val="21"/>
                      <w:u w:val="single"/>
                      <w:lang w:val="en-US" w:eastAsia="zh-CN"/>
                    </w:rPr>
                    <w:t>/</w:t>
                  </w:r>
                </w:p>
              </w:tc>
              <w:tc>
                <w:tcPr>
                  <w:tcW w:w="1063" w:type="dxa"/>
                  <w:shd w:val="clear" w:color="auto" w:fill="auto"/>
                  <w:vAlign w:val="center"/>
                </w:tcPr>
                <w:p w14:paraId="4E55C732">
                  <w:pPr>
                    <w:jc w:val="center"/>
                    <w:rPr>
                      <w:rFonts w:hint="eastAsia" w:ascii="Times New Roman" w:hAnsi="Times New Roman" w:eastAsia="宋体" w:cs="Times New Roman"/>
                      <w:b/>
                      <w:bCs/>
                      <w:color w:val="auto"/>
                      <w:kern w:val="0"/>
                      <w:sz w:val="21"/>
                      <w:szCs w:val="21"/>
                      <w:u w:val="single"/>
                      <w:lang w:val="en-US" w:eastAsia="zh-CN" w:bidi="ar-SA"/>
                    </w:rPr>
                  </w:pPr>
                  <w:r>
                    <w:rPr>
                      <w:rFonts w:hint="eastAsia"/>
                      <w:b/>
                      <w:bCs/>
                      <w:color w:val="auto"/>
                      <w:szCs w:val="21"/>
                      <w:u w:val="single"/>
                    </w:rPr>
                    <w:t>3%</w:t>
                  </w:r>
                </w:p>
              </w:tc>
            </w:tr>
            <w:tr w14:paraId="4317C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1671" w:type="dxa"/>
                  <w:vMerge w:val="continue"/>
                  <w:vAlign w:val="center"/>
                </w:tcPr>
                <w:p w14:paraId="30125343">
                  <w:pPr>
                    <w:jc w:val="center"/>
                    <w:rPr>
                      <w:rFonts w:hint="eastAsia"/>
                      <w:b/>
                      <w:bCs/>
                      <w:color w:val="auto"/>
                      <w:u w:val="single"/>
                      <w:lang w:val="en-US" w:eastAsia="zh-CN"/>
                    </w:rPr>
                  </w:pPr>
                </w:p>
              </w:tc>
              <w:tc>
                <w:tcPr>
                  <w:tcW w:w="1623" w:type="dxa"/>
                  <w:shd w:val="clear" w:color="auto" w:fill="auto"/>
                  <w:vAlign w:val="center"/>
                </w:tcPr>
                <w:p w14:paraId="3CB0D73C">
                  <w:pPr>
                    <w:widowControl/>
                    <w:jc w:val="center"/>
                    <w:rPr>
                      <w:rFonts w:hint="eastAsia" w:ascii="Times New Roman" w:hAnsi="Times New Roman" w:eastAsia="宋体" w:cs="Times New Roman"/>
                      <w:b/>
                      <w:bCs/>
                      <w:color w:val="auto"/>
                      <w:kern w:val="0"/>
                      <w:sz w:val="21"/>
                      <w:szCs w:val="21"/>
                      <w:u w:val="single"/>
                      <w:lang w:val="en-US" w:eastAsia="zh-CN" w:bidi="ar-SA"/>
                    </w:rPr>
                  </w:pPr>
                  <w:r>
                    <w:rPr>
                      <w:rFonts w:hint="eastAsia"/>
                      <w:b/>
                      <w:bCs/>
                      <w:color w:val="auto"/>
                      <w:kern w:val="0"/>
                      <w:szCs w:val="21"/>
                      <w:u w:val="single"/>
                    </w:rPr>
                    <w:t>出水</w:t>
                  </w:r>
                  <w:r>
                    <w:rPr>
                      <w:b/>
                      <w:bCs/>
                      <w:color w:val="auto"/>
                      <w:kern w:val="0"/>
                      <w:szCs w:val="21"/>
                      <w:u w:val="single"/>
                    </w:rPr>
                    <w:t>（mg/L）</w:t>
                  </w:r>
                </w:p>
              </w:tc>
              <w:tc>
                <w:tcPr>
                  <w:tcW w:w="1062" w:type="dxa"/>
                  <w:shd w:val="clear" w:color="auto" w:fill="auto"/>
                  <w:vAlign w:val="center"/>
                </w:tcPr>
                <w:p w14:paraId="71C294BD">
                  <w:pPr>
                    <w:widowControl/>
                    <w:jc w:val="center"/>
                    <w:rPr>
                      <w:rFonts w:hint="eastAsia" w:ascii="Times New Roman" w:hAnsi="Times New Roman" w:eastAsia="宋体" w:cs="Times New Roman"/>
                      <w:b/>
                      <w:bCs/>
                      <w:color w:val="auto"/>
                      <w:kern w:val="0"/>
                      <w:sz w:val="21"/>
                      <w:szCs w:val="21"/>
                      <w:u w:val="single"/>
                      <w:lang w:val="en-US" w:eastAsia="zh-CN" w:bidi="ar-SA"/>
                    </w:rPr>
                  </w:pPr>
                  <w:r>
                    <w:rPr>
                      <w:rFonts w:hint="eastAsia"/>
                      <w:b/>
                      <w:bCs/>
                      <w:color w:val="auto"/>
                      <w:kern w:val="0"/>
                      <w:szCs w:val="21"/>
                      <w:u w:val="single"/>
                    </w:rPr>
                    <w:t>6.8</w:t>
                  </w:r>
                </w:p>
              </w:tc>
              <w:tc>
                <w:tcPr>
                  <w:tcW w:w="1062" w:type="dxa"/>
                  <w:shd w:val="clear" w:color="auto" w:fill="auto"/>
                  <w:vAlign w:val="center"/>
                </w:tcPr>
                <w:p w14:paraId="6A04717B">
                  <w:pPr>
                    <w:jc w:val="center"/>
                    <w:rPr>
                      <w:rFonts w:hint="eastAsia" w:ascii="Times New Roman" w:hAnsi="Times New Roman" w:eastAsia="宋体" w:cs="Times New Roman"/>
                      <w:b/>
                      <w:bCs/>
                      <w:color w:val="auto"/>
                      <w:kern w:val="0"/>
                      <w:sz w:val="21"/>
                      <w:szCs w:val="21"/>
                      <w:u w:val="single"/>
                      <w:lang w:val="en-US" w:eastAsia="zh-CN" w:bidi="ar-SA"/>
                    </w:rPr>
                  </w:pPr>
                  <w:r>
                    <w:rPr>
                      <w:b/>
                      <w:bCs/>
                      <w:color w:val="auto"/>
                      <w:szCs w:val="21"/>
                      <w:u w:val="single"/>
                    </w:rPr>
                    <w:t>255</w:t>
                  </w:r>
                </w:p>
              </w:tc>
              <w:tc>
                <w:tcPr>
                  <w:tcW w:w="1062" w:type="dxa"/>
                  <w:shd w:val="clear" w:color="auto" w:fill="auto"/>
                  <w:vAlign w:val="center"/>
                </w:tcPr>
                <w:p w14:paraId="46E9E4FE">
                  <w:pPr>
                    <w:jc w:val="center"/>
                    <w:rPr>
                      <w:rFonts w:hint="eastAsia" w:ascii="Times New Roman" w:hAnsi="Times New Roman" w:eastAsia="宋体" w:cs="Times New Roman"/>
                      <w:b/>
                      <w:bCs/>
                      <w:color w:val="auto"/>
                      <w:kern w:val="0"/>
                      <w:sz w:val="21"/>
                      <w:szCs w:val="21"/>
                      <w:u w:val="single"/>
                      <w:lang w:val="en-US" w:eastAsia="zh-CN" w:bidi="ar-SA"/>
                    </w:rPr>
                  </w:pPr>
                  <w:r>
                    <w:rPr>
                      <w:rFonts w:hint="eastAsia"/>
                      <w:b/>
                      <w:bCs/>
                      <w:color w:val="auto"/>
                      <w:szCs w:val="21"/>
                      <w:u w:val="single"/>
                      <w:lang w:val="en-US" w:eastAsia="zh-CN"/>
                    </w:rPr>
                    <w:t>/</w:t>
                  </w:r>
                </w:p>
              </w:tc>
              <w:tc>
                <w:tcPr>
                  <w:tcW w:w="1062" w:type="dxa"/>
                  <w:shd w:val="clear" w:color="auto" w:fill="auto"/>
                  <w:vAlign w:val="center"/>
                </w:tcPr>
                <w:p w14:paraId="7172EB5B">
                  <w:pPr>
                    <w:jc w:val="center"/>
                    <w:rPr>
                      <w:rFonts w:hint="eastAsia" w:ascii="Times New Roman" w:hAnsi="Times New Roman" w:eastAsia="宋体" w:cs="Times New Roman"/>
                      <w:b/>
                      <w:bCs/>
                      <w:color w:val="auto"/>
                      <w:kern w:val="0"/>
                      <w:sz w:val="21"/>
                      <w:szCs w:val="21"/>
                      <w:u w:val="single"/>
                      <w:lang w:val="en-US" w:eastAsia="zh-CN" w:bidi="ar-SA"/>
                    </w:rPr>
                  </w:pPr>
                  <w:r>
                    <w:rPr>
                      <w:rFonts w:hint="eastAsia"/>
                      <w:b/>
                      <w:bCs/>
                      <w:color w:val="auto"/>
                      <w:szCs w:val="21"/>
                      <w:u w:val="single"/>
                      <w:lang w:val="en-US" w:eastAsia="zh-CN"/>
                    </w:rPr>
                    <w:t>/</w:t>
                  </w:r>
                </w:p>
              </w:tc>
              <w:tc>
                <w:tcPr>
                  <w:tcW w:w="1063" w:type="dxa"/>
                  <w:shd w:val="clear" w:color="auto" w:fill="auto"/>
                  <w:vAlign w:val="center"/>
                </w:tcPr>
                <w:p w14:paraId="6CEB3AC5">
                  <w:pPr>
                    <w:jc w:val="center"/>
                    <w:rPr>
                      <w:rFonts w:hint="default" w:ascii="Times New Roman" w:hAnsi="Times New Roman" w:eastAsia="宋体" w:cs="Times New Roman"/>
                      <w:b/>
                      <w:bCs/>
                      <w:color w:val="auto"/>
                      <w:kern w:val="0"/>
                      <w:sz w:val="21"/>
                      <w:szCs w:val="21"/>
                      <w:u w:val="single"/>
                      <w:lang w:val="en-US" w:eastAsia="zh-CN" w:bidi="ar-SA"/>
                    </w:rPr>
                  </w:pPr>
                  <w:r>
                    <w:rPr>
                      <w:rFonts w:hint="eastAsia"/>
                      <w:b/>
                      <w:bCs/>
                      <w:color w:val="auto"/>
                      <w:szCs w:val="21"/>
                      <w:u w:val="single"/>
                      <w:lang w:val="en-US" w:eastAsia="zh-CN"/>
                    </w:rPr>
                    <w:t>0.97</w:t>
                  </w:r>
                </w:p>
              </w:tc>
            </w:tr>
            <w:tr w14:paraId="43185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3294" w:type="dxa"/>
                  <w:gridSpan w:val="2"/>
                  <w:vAlign w:val="center"/>
                </w:tcPr>
                <w:p w14:paraId="7B69A7B1">
                  <w:pPr>
                    <w:jc w:val="center"/>
                    <w:rPr>
                      <w:rFonts w:ascii="Times New Roman" w:hAnsi="Times New Roman" w:eastAsia="宋体" w:cs="Times New Roman"/>
                      <w:bCs/>
                      <w:color w:val="auto"/>
                      <w:kern w:val="0"/>
                      <w:sz w:val="21"/>
                      <w:szCs w:val="21"/>
                      <w:lang w:val="en-US" w:eastAsia="zh-CN" w:bidi="ar-SA"/>
                    </w:rPr>
                  </w:pPr>
                  <w:r>
                    <w:rPr>
                      <w:rFonts w:hint="eastAsia"/>
                      <w:bCs/>
                      <w:color w:val="auto"/>
                      <w:szCs w:val="21"/>
                    </w:rPr>
                    <w:t>清丰</w:t>
                  </w:r>
                  <w:r>
                    <w:rPr>
                      <w:bCs/>
                      <w:color w:val="auto"/>
                      <w:szCs w:val="21"/>
                    </w:rPr>
                    <w:t>中州水务有限公司第二污水处理厂设计进水水质要求</w:t>
                  </w:r>
                </w:p>
              </w:tc>
              <w:tc>
                <w:tcPr>
                  <w:tcW w:w="1062" w:type="dxa"/>
                  <w:vAlign w:val="center"/>
                </w:tcPr>
                <w:p w14:paraId="7EC10C31">
                  <w:pPr>
                    <w:jc w:val="center"/>
                    <w:rPr>
                      <w:rFonts w:ascii="Times New Roman" w:hAnsi="Times New Roman" w:eastAsia="宋体" w:cs="Times New Roman"/>
                      <w:bCs/>
                      <w:color w:val="auto"/>
                      <w:kern w:val="0"/>
                      <w:sz w:val="21"/>
                      <w:szCs w:val="21"/>
                      <w:lang w:val="en-US" w:eastAsia="zh-CN" w:bidi="ar-SA"/>
                    </w:rPr>
                  </w:pPr>
                  <w:r>
                    <w:rPr>
                      <w:bCs/>
                      <w:color w:val="auto"/>
                      <w:szCs w:val="21"/>
                    </w:rPr>
                    <w:t>6-9</w:t>
                  </w:r>
                </w:p>
              </w:tc>
              <w:tc>
                <w:tcPr>
                  <w:tcW w:w="1062" w:type="dxa"/>
                  <w:vAlign w:val="center"/>
                </w:tcPr>
                <w:p w14:paraId="095E4AF1">
                  <w:pPr>
                    <w:jc w:val="center"/>
                    <w:rPr>
                      <w:rFonts w:ascii="Times New Roman" w:hAnsi="Times New Roman" w:eastAsia="宋体" w:cs="Times New Roman"/>
                      <w:bCs/>
                      <w:color w:val="auto"/>
                      <w:kern w:val="0"/>
                      <w:sz w:val="21"/>
                      <w:szCs w:val="21"/>
                      <w:lang w:val="en-US" w:eastAsia="zh-CN" w:bidi="ar-SA"/>
                    </w:rPr>
                  </w:pPr>
                  <w:r>
                    <w:rPr>
                      <w:bCs/>
                      <w:color w:val="auto"/>
                      <w:szCs w:val="21"/>
                    </w:rPr>
                    <w:t>350</w:t>
                  </w:r>
                </w:p>
              </w:tc>
              <w:tc>
                <w:tcPr>
                  <w:tcW w:w="1062" w:type="dxa"/>
                  <w:vAlign w:val="center"/>
                </w:tcPr>
                <w:p w14:paraId="3D4120A7">
                  <w:pPr>
                    <w:jc w:val="center"/>
                    <w:rPr>
                      <w:rFonts w:ascii="Times New Roman" w:hAnsi="Times New Roman" w:eastAsia="宋体" w:cs="Times New Roman"/>
                      <w:bCs/>
                      <w:color w:val="auto"/>
                      <w:kern w:val="0"/>
                      <w:sz w:val="21"/>
                      <w:szCs w:val="21"/>
                      <w:lang w:val="en-US" w:eastAsia="zh-CN" w:bidi="ar-SA"/>
                    </w:rPr>
                  </w:pPr>
                  <w:r>
                    <w:rPr>
                      <w:bCs/>
                      <w:color w:val="auto"/>
                      <w:szCs w:val="21"/>
                    </w:rPr>
                    <w:t>1</w:t>
                  </w:r>
                  <w:r>
                    <w:rPr>
                      <w:rFonts w:hint="eastAsia"/>
                      <w:bCs/>
                      <w:color w:val="auto"/>
                      <w:szCs w:val="21"/>
                    </w:rPr>
                    <w:t>6</w:t>
                  </w:r>
                  <w:r>
                    <w:rPr>
                      <w:bCs/>
                      <w:color w:val="auto"/>
                      <w:szCs w:val="21"/>
                    </w:rPr>
                    <w:t>0</w:t>
                  </w:r>
                </w:p>
              </w:tc>
              <w:tc>
                <w:tcPr>
                  <w:tcW w:w="1062" w:type="dxa"/>
                  <w:vAlign w:val="center"/>
                </w:tcPr>
                <w:p w14:paraId="232D295E">
                  <w:pPr>
                    <w:jc w:val="center"/>
                    <w:rPr>
                      <w:rFonts w:hint="eastAsia" w:ascii="Times New Roman" w:hAnsi="Times New Roman" w:eastAsia="宋体" w:cs="Times New Roman"/>
                      <w:bCs/>
                      <w:color w:val="auto"/>
                      <w:kern w:val="0"/>
                      <w:sz w:val="21"/>
                      <w:szCs w:val="21"/>
                      <w:lang w:val="en-US" w:eastAsia="zh-CN" w:bidi="ar-SA"/>
                    </w:rPr>
                  </w:pPr>
                  <w:r>
                    <w:rPr>
                      <w:rFonts w:hint="eastAsia"/>
                      <w:bCs/>
                      <w:color w:val="auto"/>
                      <w:szCs w:val="21"/>
                    </w:rPr>
                    <w:t>200</w:t>
                  </w:r>
                </w:p>
              </w:tc>
              <w:tc>
                <w:tcPr>
                  <w:tcW w:w="1063" w:type="dxa"/>
                  <w:vAlign w:val="center"/>
                </w:tcPr>
                <w:p w14:paraId="6B1AB5BD">
                  <w:pPr>
                    <w:jc w:val="center"/>
                    <w:rPr>
                      <w:rFonts w:ascii="Times New Roman" w:hAnsi="Times New Roman" w:eastAsia="宋体" w:cs="Times New Roman"/>
                      <w:bCs/>
                      <w:color w:val="auto"/>
                      <w:kern w:val="0"/>
                      <w:sz w:val="21"/>
                      <w:szCs w:val="21"/>
                      <w:lang w:val="en-US" w:eastAsia="zh-CN" w:bidi="ar-SA"/>
                    </w:rPr>
                  </w:pPr>
                  <w:r>
                    <w:rPr>
                      <w:rFonts w:hint="eastAsia"/>
                      <w:bCs/>
                      <w:color w:val="auto"/>
                      <w:szCs w:val="21"/>
                    </w:rPr>
                    <w:t>40</w:t>
                  </w:r>
                </w:p>
              </w:tc>
            </w:tr>
            <w:tr w14:paraId="4C438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3294" w:type="dxa"/>
                  <w:gridSpan w:val="2"/>
                  <w:vAlign w:val="center"/>
                </w:tcPr>
                <w:p w14:paraId="176C3AD7">
                  <w:pPr>
                    <w:jc w:val="center"/>
                    <w:rPr>
                      <w:bCs/>
                      <w:color w:val="auto"/>
                      <w:kern w:val="0"/>
                      <w:szCs w:val="21"/>
                    </w:rPr>
                  </w:pPr>
                  <w:r>
                    <w:rPr>
                      <w:bCs/>
                      <w:color w:val="auto"/>
                      <w:szCs w:val="21"/>
                    </w:rPr>
                    <w:t>《污水综合排放标准》（GB8978-1996）三级标准</w:t>
                  </w:r>
                </w:p>
              </w:tc>
              <w:tc>
                <w:tcPr>
                  <w:tcW w:w="1062" w:type="dxa"/>
                  <w:vAlign w:val="center"/>
                </w:tcPr>
                <w:p w14:paraId="6FAF3321">
                  <w:pPr>
                    <w:jc w:val="center"/>
                    <w:rPr>
                      <w:bCs/>
                      <w:color w:val="auto"/>
                      <w:kern w:val="0"/>
                      <w:szCs w:val="21"/>
                    </w:rPr>
                  </w:pPr>
                  <w:r>
                    <w:rPr>
                      <w:bCs/>
                      <w:color w:val="auto"/>
                      <w:szCs w:val="21"/>
                    </w:rPr>
                    <w:t>6-9</w:t>
                  </w:r>
                </w:p>
              </w:tc>
              <w:tc>
                <w:tcPr>
                  <w:tcW w:w="1062" w:type="dxa"/>
                  <w:vAlign w:val="center"/>
                </w:tcPr>
                <w:p w14:paraId="6C153BD9">
                  <w:pPr>
                    <w:jc w:val="center"/>
                    <w:rPr>
                      <w:bCs/>
                      <w:color w:val="auto"/>
                      <w:kern w:val="0"/>
                      <w:szCs w:val="21"/>
                    </w:rPr>
                  </w:pPr>
                  <w:r>
                    <w:rPr>
                      <w:bCs/>
                      <w:color w:val="auto"/>
                      <w:szCs w:val="21"/>
                    </w:rPr>
                    <w:t>500</w:t>
                  </w:r>
                </w:p>
              </w:tc>
              <w:tc>
                <w:tcPr>
                  <w:tcW w:w="1062" w:type="dxa"/>
                  <w:vAlign w:val="center"/>
                </w:tcPr>
                <w:p w14:paraId="0291792F">
                  <w:pPr>
                    <w:jc w:val="center"/>
                    <w:rPr>
                      <w:bCs/>
                      <w:color w:val="auto"/>
                      <w:kern w:val="0"/>
                      <w:szCs w:val="21"/>
                    </w:rPr>
                  </w:pPr>
                  <w:r>
                    <w:rPr>
                      <w:bCs/>
                      <w:color w:val="auto"/>
                      <w:szCs w:val="21"/>
                    </w:rPr>
                    <w:t>300</w:t>
                  </w:r>
                </w:p>
              </w:tc>
              <w:tc>
                <w:tcPr>
                  <w:tcW w:w="1062" w:type="dxa"/>
                  <w:vAlign w:val="center"/>
                </w:tcPr>
                <w:p w14:paraId="375C1318">
                  <w:pPr>
                    <w:jc w:val="center"/>
                    <w:rPr>
                      <w:bCs/>
                      <w:color w:val="auto"/>
                      <w:kern w:val="0"/>
                      <w:szCs w:val="21"/>
                    </w:rPr>
                  </w:pPr>
                  <w:r>
                    <w:rPr>
                      <w:bCs/>
                      <w:color w:val="auto"/>
                      <w:szCs w:val="21"/>
                    </w:rPr>
                    <w:t>400</w:t>
                  </w:r>
                </w:p>
              </w:tc>
              <w:tc>
                <w:tcPr>
                  <w:tcW w:w="1063" w:type="dxa"/>
                  <w:vAlign w:val="center"/>
                </w:tcPr>
                <w:p w14:paraId="02E74F86">
                  <w:pPr>
                    <w:jc w:val="center"/>
                    <w:rPr>
                      <w:bCs/>
                      <w:color w:val="auto"/>
                      <w:kern w:val="0"/>
                      <w:szCs w:val="21"/>
                    </w:rPr>
                  </w:pPr>
                  <w:r>
                    <w:rPr>
                      <w:bCs/>
                      <w:color w:val="auto"/>
                      <w:szCs w:val="21"/>
                    </w:rPr>
                    <w:t>/</w:t>
                  </w:r>
                </w:p>
              </w:tc>
            </w:tr>
          </w:tbl>
          <w:p w14:paraId="4FF3E19F">
            <w:pPr>
              <w:pStyle w:val="7"/>
              <w:snapToGrid w:val="0"/>
              <w:spacing w:line="360" w:lineRule="auto"/>
              <w:ind w:firstLine="480" w:firstLineChars="200"/>
              <w:rPr>
                <w:rFonts w:hint="eastAsia"/>
                <w:color w:val="auto"/>
              </w:rPr>
            </w:pPr>
            <w:r>
              <w:rPr>
                <w:bCs/>
                <w:color w:val="auto"/>
                <w:sz w:val="24"/>
              </w:rPr>
              <w:t>生活废水</w:t>
            </w:r>
            <w:r>
              <w:rPr>
                <w:rFonts w:hint="eastAsia"/>
                <w:bCs/>
                <w:color w:val="auto"/>
                <w:sz w:val="24"/>
                <w:lang w:eastAsia="zh-CN"/>
              </w:rPr>
              <w:t>（</w:t>
            </w:r>
            <w:r>
              <w:rPr>
                <w:rFonts w:hint="eastAsia"/>
                <w:b/>
                <w:bCs w:val="0"/>
                <w:color w:val="auto"/>
                <w:sz w:val="24"/>
                <w:u w:val="single"/>
                <w:lang w:val="en-US" w:eastAsia="zh-CN"/>
              </w:rPr>
              <w:t>含制备废水</w:t>
            </w:r>
            <w:r>
              <w:rPr>
                <w:rFonts w:hint="eastAsia"/>
                <w:bCs/>
                <w:color w:val="auto"/>
                <w:sz w:val="24"/>
                <w:lang w:eastAsia="zh-CN"/>
              </w:rPr>
              <w:t>）</w:t>
            </w:r>
            <w:r>
              <w:rPr>
                <w:rFonts w:hint="eastAsia"/>
                <w:color w:val="auto"/>
                <w:sz w:val="24"/>
              </w:rPr>
              <w:t>经</w:t>
            </w:r>
            <w:r>
              <w:rPr>
                <w:rFonts w:hint="eastAsia"/>
                <w:color w:val="auto"/>
                <w:sz w:val="24"/>
                <w:lang w:val="en-US" w:eastAsia="zh-CN"/>
              </w:rPr>
              <w:t>厂区自建</w:t>
            </w:r>
            <w:r>
              <w:rPr>
                <w:rFonts w:hint="eastAsia"/>
                <w:color w:val="auto"/>
                <w:sz w:val="24"/>
              </w:rPr>
              <w:t>化粪池</w:t>
            </w:r>
            <w:r>
              <w:rPr>
                <w:rFonts w:hint="eastAsia"/>
                <w:color w:val="auto"/>
                <w:sz w:val="24"/>
                <w:lang w:eastAsia="zh-CN"/>
              </w:rPr>
              <w:t>（</w:t>
            </w:r>
            <w:r>
              <w:rPr>
                <w:rFonts w:hint="eastAsia"/>
                <w:color w:val="auto"/>
                <w:lang w:val="en-US" w:eastAsia="zh-CN"/>
              </w:rPr>
              <w:t>12m</w:t>
            </w:r>
            <w:r>
              <w:rPr>
                <w:rFonts w:hint="eastAsia"/>
                <w:color w:val="auto"/>
                <w:vertAlign w:val="superscript"/>
                <w:lang w:val="en-US" w:eastAsia="zh-CN"/>
              </w:rPr>
              <w:t>3</w:t>
            </w:r>
            <w:r>
              <w:rPr>
                <w:rFonts w:hint="eastAsia"/>
                <w:color w:val="auto"/>
                <w:sz w:val="24"/>
                <w:lang w:eastAsia="zh-CN"/>
              </w:rPr>
              <w:t>）</w:t>
            </w:r>
            <w:r>
              <w:rPr>
                <w:rFonts w:hint="eastAsia"/>
                <w:color w:val="auto"/>
                <w:sz w:val="24"/>
              </w:rPr>
              <w:t>收集处理后，</w:t>
            </w:r>
            <w:r>
              <w:rPr>
                <w:bCs/>
                <w:color w:val="auto"/>
                <w:sz w:val="24"/>
              </w:rPr>
              <w:t>满足清丰中州水务有限公司第二污水处理厂水质收纳标准，同时</w:t>
            </w:r>
            <w:r>
              <w:rPr>
                <w:rFonts w:hint="eastAsia"/>
                <w:bCs/>
                <w:color w:val="auto"/>
                <w:sz w:val="24"/>
                <w:lang w:val="en-US" w:eastAsia="zh-CN"/>
              </w:rPr>
              <w:t>满足</w:t>
            </w:r>
            <w:r>
              <w:rPr>
                <w:bCs/>
                <w:color w:val="auto"/>
                <w:sz w:val="24"/>
              </w:rPr>
              <w:t>《污水综合排放标准》（GB8978-1996）表4三级标准。</w:t>
            </w:r>
          </w:p>
        </w:tc>
      </w:tr>
    </w:tbl>
    <w:p w14:paraId="4E112E6A">
      <w:pPr>
        <w:pStyle w:val="5"/>
        <w:rPr>
          <w:color w:val="auto"/>
        </w:rPr>
        <w:sectPr>
          <w:pgSz w:w="11905" w:h="16838"/>
          <w:pgMar w:top="1417" w:right="1417" w:bottom="1417" w:left="1417" w:header="851" w:footer="1077" w:gutter="0"/>
          <w:pgNumType w:fmt="decimal"/>
          <w:cols w:space="720" w:num="1"/>
          <w:docGrid w:linePitch="312" w:charSpace="0"/>
        </w:sectPr>
      </w:pPr>
    </w:p>
    <w:tbl>
      <w:tblPr>
        <w:tblStyle w:val="25"/>
        <w:tblW w:w="142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3"/>
        <w:gridCol w:w="13666"/>
      </w:tblGrid>
      <w:tr w14:paraId="185EF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8" w:hRule="atLeast"/>
        </w:trPr>
        <w:tc>
          <w:tcPr>
            <w:tcW w:w="543" w:type="dxa"/>
            <w:vAlign w:val="center"/>
          </w:tcPr>
          <w:p w14:paraId="39CA2A18">
            <w:pPr>
              <w:adjustRightInd w:val="0"/>
              <w:snapToGrid w:val="0"/>
              <w:jc w:val="center"/>
              <w:rPr>
                <w:b/>
                <w:color w:val="auto"/>
                <w:sz w:val="24"/>
              </w:rPr>
            </w:pPr>
            <w:r>
              <w:rPr>
                <w:b/>
                <w:color w:val="auto"/>
                <w:sz w:val="24"/>
              </w:rPr>
              <w:t>运营</w:t>
            </w:r>
          </w:p>
          <w:p w14:paraId="2FB6655F">
            <w:pPr>
              <w:adjustRightInd w:val="0"/>
              <w:snapToGrid w:val="0"/>
              <w:jc w:val="center"/>
              <w:rPr>
                <w:b/>
                <w:color w:val="auto"/>
                <w:sz w:val="24"/>
              </w:rPr>
            </w:pPr>
            <w:r>
              <w:rPr>
                <w:b/>
                <w:color w:val="auto"/>
                <w:sz w:val="24"/>
              </w:rPr>
              <w:t>期环</w:t>
            </w:r>
          </w:p>
          <w:p w14:paraId="1E1374F5">
            <w:pPr>
              <w:adjustRightInd w:val="0"/>
              <w:snapToGrid w:val="0"/>
              <w:jc w:val="center"/>
              <w:rPr>
                <w:b/>
                <w:color w:val="auto"/>
                <w:sz w:val="24"/>
              </w:rPr>
            </w:pPr>
            <w:r>
              <w:rPr>
                <w:b/>
                <w:color w:val="auto"/>
                <w:sz w:val="24"/>
              </w:rPr>
              <w:t>境影</w:t>
            </w:r>
          </w:p>
          <w:p w14:paraId="5CE42E56">
            <w:pPr>
              <w:adjustRightInd w:val="0"/>
              <w:snapToGrid w:val="0"/>
              <w:jc w:val="center"/>
              <w:rPr>
                <w:b/>
                <w:color w:val="auto"/>
                <w:sz w:val="24"/>
              </w:rPr>
            </w:pPr>
            <w:r>
              <w:rPr>
                <w:b/>
                <w:color w:val="auto"/>
                <w:sz w:val="24"/>
              </w:rPr>
              <w:t>响和</w:t>
            </w:r>
          </w:p>
          <w:p w14:paraId="6D59FFF1">
            <w:pPr>
              <w:adjustRightInd w:val="0"/>
              <w:snapToGrid w:val="0"/>
              <w:jc w:val="center"/>
              <w:rPr>
                <w:b/>
                <w:color w:val="auto"/>
                <w:sz w:val="24"/>
              </w:rPr>
            </w:pPr>
            <w:r>
              <w:rPr>
                <w:b/>
                <w:color w:val="auto"/>
                <w:sz w:val="24"/>
              </w:rPr>
              <w:t>保护</w:t>
            </w:r>
          </w:p>
          <w:p w14:paraId="36293974">
            <w:pPr>
              <w:rPr>
                <w:color w:val="auto"/>
              </w:rPr>
            </w:pPr>
            <w:r>
              <w:rPr>
                <w:b/>
                <w:color w:val="auto"/>
                <w:sz w:val="24"/>
              </w:rPr>
              <w:t>措施</w:t>
            </w:r>
          </w:p>
        </w:tc>
        <w:tc>
          <w:tcPr>
            <w:tcW w:w="13666" w:type="dxa"/>
            <w:vAlign w:val="top"/>
          </w:tcPr>
          <w:p w14:paraId="3D1DA516">
            <w:pPr>
              <w:snapToGrid w:val="0"/>
              <w:spacing w:line="360" w:lineRule="auto"/>
              <w:ind w:firstLine="480" w:firstLineChars="200"/>
              <w:rPr>
                <w:rFonts w:hint="eastAsia"/>
                <w:color w:val="auto"/>
                <w:sz w:val="24"/>
              </w:rPr>
            </w:pPr>
            <w:r>
              <w:rPr>
                <w:rFonts w:hint="eastAsia"/>
                <w:color w:val="auto"/>
                <w:sz w:val="24"/>
              </w:rPr>
              <w:t>项目废水排放口基本情况见表3</w:t>
            </w:r>
            <w:r>
              <w:rPr>
                <w:rFonts w:hint="eastAsia"/>
                <w:color w:val="auto"/>
                <w:sz w:val="24"/>
                <w:lang w:val="en-US" w:eastAsia="zh-CN"/>
              </w:rPr>
              <w:t>5</w:t>
            </w:r>
            <w:r>
              <w:rPr>
                <w:rFonts w:hint="eastAsia"/>
                <w:color w:val="auto"/>
                <w:sz w:val="24"/>
              </w:rPr>
              <w:t>。</w:t>
            </w:r>
          </w:p>
          <w:p w14:paraId="00ED387C">
            <w:pPr>
              <w:pStyle w:val="46"/>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eastAsia" w:ascii="Times New Roman" w:hAnsi="Arial Unicode MS" w:eastAsia="宋体" w:cs="Times New Roman"/>
                <w:b/>
                <w:color w:val="auto"/>
                <w:kern w:val="2"/>
                <w:sz w:val="24"/>
                <w:szCs w:val="24"/>
                <w:lang w:val="en-US" w:eastAsia="zh-CN" w:bidi="ar-SA"/>
              </w:rPr>
            </w:pPr>
            <w:r>
              <w:rPr>
                <w:rFonts w:hint="eastAsia" w:ascii="Times New Roman" w:hAnsi="Arial Unicode MS" w:eastAsia="宋体" w:cs="Times New Roman"/>
                <w:b/>
                <w:color w:val="auto"/>
                <w:kern w:val="2"/>
                <w:sz w:val="24"/>
                <w:szCs w:val="24"/>
                <w:lang w:val="en-US" w:eastAsia="zh-CN" w:bidi="ar-SA"/>
              </w:rPr>
              <w:t>废水排放口基本情况表</w:t>
            </w:r>
          </w:p>
          <w:tbl>
            <w:tblPr>
              <w:tblStyle w:val="25"/>
              <w:tblW w:w="13435"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632"/>
              <w:gridCol w:w="1178"/>
              <w:gridCol w:w="1823"/>
              <w:gridCol w:w="1373"/>
              <w:gridCol w:w="1650"/>
              <w:gridCol w:w="715"/>
              <w:gridCol w:w="1303"/>
              <w:gridCol w:w="1908"/>
              <w:gridCol w:w="1123"/>
              <w:gridCol w:w="1730"/>
            </w:tblGrid>
            <w:tr w14:paraId="52644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trPr>
              <w:tc>
                <w:tcPr>
                  <w:tcW w:w="632" w:type="dxa"/>
                  <w:vMerge w:val="restart"/>
                  <w:vAlign w:val="center"/>
                </w:tcPr>
                <w:p w14:paraId="1C874D8F">
                  <w:pPr>
                    <w:pStyle w:val="10"/>
                    <w:adjustRightInd w:val="0"/>
                    <w:spacing w:before="0" w:after="0" w:line="240" w:lineRule="auto"/>
                    <w:ind w:right="0"/>
                    <w:jc w:val="center"/>
                    <w:rPr>
                      <w:b/>
                      <w:bCs/>
                      <w:color w:val="auto"/>
                      <w:sz w:val="21"/>
                      <w:szCs w:val="21"/>
                    </w:rPr>
                  </w:pPr>
                  <w:r>
                    <w:rPr>
                      <w:b/>
                      <w:bCs/>
                      <w:color w:val="auto"/>
                      <w:sz w:val="21"/>
                      <w:szCs w:val="21"/>
                    </w:rPr>
                    <w:t>序号</w:t>
                  </w:r>
                </w:p>
              </w:tc>
              <w:tc>
                <w:tcPr>
                  <w:tcW w:w="1178" w:type="dxa"/>
                  <w:vMerge w:val="restart"/>
                  <w:vAlign w:val="center"/>
                </w:tcPr>
                <w:p w14:paraId="0DC7DCFB">
                  <w:pPr>
                    <w:pStyle w:val="10"/>
                    <w:adjustRightInd w:val="0"/>
                    <w:spacing w:before="0" w:after="0" w:line="240" w:lineRule="auto"/>
                    <w:ind w:right="0"/>
                    <w:jc w:val="center"/>
                    <w:rPr>
                      <w:b/>
                      <w:bCs/>
                      <w:color w:val="auto"/>
                      <w:sz w:val="21"/>
                      <w:szCs w:val="21"/>
                    </w:rPr>
                  </w:pPr>
                  <w:r>
                    <w:rPr>
                      <w:b/>
                      <w:bCs/>
                      <w:color w:val="auto"/>
                      <w:sz w:val="21"/>
                      <w:szCs w:val="21"/>
                    </w:rPr>
                    <w:t>排放口编号</w:t>
                  </w:r>
                </w:p>
              </w:tc>
              <w:tc>
                <w:tcPr>
                  <w:tcW w:w="1823" w:type="dxa"/>
                  <w:vMerge w:val="restart"/>
                  <w:vAlign w:val="center"/>
                </w:tcPr>
                <w:p w14:paraId="16631CD7">
                  <w:pPr>
                    <w:pStyle w:val="10"/>
                    <w:adjustRightInd w:val="0"/>
                    <w:spacing w:before="0" w:after="0" w:line="240" w:lineRule="auto"/>
                    <w:ind w:right="0"/>
                    <w:jc w:val="center"/>
                    <w:rPr>
                      <w:b/>
                      <w:bCs/>
                      <w:color w:val="auto"/>
                      <w:sz w:val="21"/>
                      <w:szCs w:val="21"/>
                    </w:rPr>
                  </w:pPr>
                  <w:r>
                    <w:rPr>
                      <w:b/>
                      <w:bCs/>
                      <w:color w:val="auto"/>
                      <w:sz w:val="21"/>
                      <w:szCs w:val="21"/>
                    </w:rPr>
                    <w:t>排放口地理坐标</w:t>
                  </w:r>
                </w:p>
              </w:tc>
              <w:tc>
                <w:tcPr>
                  <w:tcW w:w="1373" w:type="dxa"/>
                  <w:vMerge w:val="restart"/>
                  <w:vAlign w:val="center"/>
                </w:tcPr>
                <w:p w14:paraId="206716A0">
                  <w:pPr>
                    <w:pStyle w:val="10"/>
                    <w:adjustRightInd w:val="0"/>
                    <w:spacing w:before="0" w:after="0" w:line="240" w:lineRule="auto"/>
                    <w:ind w:right="0"/>
                    <w:jc w:val="center"/>
                    <w:rPr>
                      <w:b/>
                      <w:bCs/>
                      <w:color w:val="auto"/>
                      <w:sz w:val="21"/>
                      <w:szCs w:val="21"/>
                    </w:rPr>
                  </w:pPr>
                  <w:r>
                    <w:rPr>
                      <w:b/>
                      <w:bCs/>
                      <w:color w:val="auto"/>
                      <w:sz w:val="21"/>
                      <w:szCs w:val="21"/>
                    </w:rPr>
                    <w:t>废水排放量（m</w:t>
                  </w:r>
                  <w:r>
                    <w:rPr>
                      <w:b/>
                      <w:bCs/>
                      <w:color w:val="auto"/>
                      <w:sz w:val="21"/>
                      <w:szCs w:val="21"/>
                      <w:vertAlign w:val="superscript"/>
                    </w:rPr>
                    <w:t>3</w:t>
                  </w:r>
                  <w:r>
                    <w:rPr>
                      <w:b/>
                      <w:bCs/>
                      <w:color w:val="auto"/>
                      <w:sz w:val="21"/>
                      <w:szCs w:val="21"/>
                    </w:rPr>
                    <w:t>/a）</w:t>
                  </w:r>
                </w:p>
              </w:tc>
              <w:tc>
                <w:tcPr>
                  <w:tcW w:w="1650" w:type="dxa"/>
                  <w:vMerge w:val="restart"/>
                  <w:vAlign w:val="center"/>
                </w:tcPr>
                <w:p w14:paraId="284E8F43">
                  <w:pPr>
                    <w:pStyle w:val="10"/>
                    <w:adjustRightInd w:val="0"/>
                    <w:spacing w:before="0" w:after="0" w:line="240" w:lineRule="auto"/>
                    <w:ind w:right="0"/>
                    <w:jc w:val="center"/>
                    <w:rPr>
                      <w:b/>
                      <w:bCs/>
                      <w:color w:val="auto"/>
                      <w:sz w:val="21"/>
                      <w:szCs w:val="21"/>
                    </w:rPr>
                  </w:pPr>
                  <w:r>
                    <w:rPr>
                      <w:b/>
                      <w:bCs/>
                      <w:color w:val="auto"/>
                      <w:sz w:val="21"/>
                      <w:szCs w:val="21"/>
                    </w:rPr>
                    <w:t>排放去向</w:t>
                  </w:r>
                </w:p>
              </w:tc>
              <w:tc>
                <w:tcPr>
                  <w:tcW w:w="715" w:type="dxa"/>
                  <w:vMerge w:val="restart"/>
                  <w:vAlign w:val="center"/>
                </w:tcPr>
                <w:p w14:paraId="6FB1AB48">
                  <w:pPr>
                    <w:pStyle w:val="10"/>
                    <w:adjustRightInd w:val="0"/>
                    <w:spacing w:before="0" w:after="0" w:line="240" w:lineRule="auto"/>
                    <w:ind w:right="0"/>
                    <w:jc w:val="center"/>
                    <w:rPr>
                      <w:b/>
                      <w:bCs/>
                      <w:color w:val="auto"/>
                      <w:sz w:val="21"/>
                      <w:szCs w:val="21"/>
                    </w:rPr>
                  </w:pPr>
                  <w:r>
                    <w:rPr>
                      <w:b/>
                      <w:bCs/>
                      <w:color w:val="auto"/>
                      <w:sz w:val="21"/>
                      <w:szCs w:val="21"/>
                    </w:rPr>
                    <w:t>排放规律</w:t>
                  </w:r>
                </w:p>
              </w:tc>
              <w:tc>
                <w:tcPr>
                  <w:tcW w:w="1303" w:type="dxa"/>
                  <w:vMerge w:val="restart"/>
                  <w:vAlign w:val="center"/>
                </w:tcPr>
                <w:p w14:paraId="6927FE57">
                  <w:pPr>
                    <w:pStyle w:val="10"/>
                    <w:adjustRightInd w:val="0"/>
                    <w:spacing w:before="0" w:after="0" w:line="240" w:lineRule="auto"/>
                    <w:ind w:right="0"/>
                    <w:jc w:val="center"/>
                    <w:rPr>
                      <w:b/>
                      <w:bCs/>
                      <w:color w:val="auto"/>
                      <w:sz w:val="21"/>
                      <w:szCs w:val="21"/>
                    </w:rPr>
                  </w:pPr>
                  <w:r>
                    <w:rPr>
                      <w:b/>
                      <w:bCs/>
                      <w:color w:val="auto"/>
                      <w:sz w:val="21"/>
                      <w:szCs w:val="21"/>
                    </w:rPr>
                    <w:t>间歇排放时段</w:t>
                  </w:r>
                </w:p>
              </w:tc>
              <w:tc>
                <w:tcPr>
                  <w:tcW w:w="4761" w:type="dxa"/>
                  <w:gridSpan w:val="3"/>
                  <w:vAlign w:val="center"/>
                </w:tcPr>
                <w:p w14:paraId="3B326D1B">
                  <w:pPr>
                    <w:pStyle w:val="10"/>
                    <w:adjustRightInd w:val="0"/>
                    <w:spacing w:before="0" w:after="0" w:line="240" w:lineRule="auto"/>
                    <w:ind w:right="0"/>
                    <w:jc w:val="center"/>
                    <w:rPr>
                      <w:b/>
                      <w:bCs/>
                      <w:color w:val="auto"/>
                      <w:sz w:val="21"/>
                      <w:szCs w:val="21"/>
                    </w:rPr>
                  </w:pPr>
                  <w:r>
                    <w:rPr>
                      <w:b/>
                      <w:bCs/>
                      <w:color w:val="auto"/>
                      <w:sz w:val="21"/>
                      <w:szCs w:val="21"/>
                    </w:rPr>
                    <w:t>受纳污水处理厂信息</w:t>
                  </w:r>
                </w:p>
              </w:tc>
            </w:tr>
            <w:tr w14:paraId="0A6DD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trPr>
              <w:tc>
                <w:tcPr>
                  <w:tcW w:w="632" w:type="dxa"/>
                  <w:vMerge w:val="continue"/>
                  <w:vAlign w:val="center"/>
                </w:tcPr>
                <w:p w14:paraId="611A58B9">
                  <w:pPr>
                    <w:widowControl/>
                    <w:snapToGrid w:val="0"/>
                    <w:jc w:val="center"/>
                    <w:rPr>
                      <w:b/>
                      <w:bCs/>
                      <w:color w:val="auto"/>
                      <w:szCs w:val="21"/>
                    </w:rPr>
                  </w:pPr>
                </w:p>
              </w:tc>
              <w:tc>
                <w:tcPr>
                  <w:tcW w:w="1178" w:type="dxa"/>
                  <w:vMerge w:val="continue"/>
                  <w:vAlign w:val="center"/>
                </w:tcPr>
                <w:p w14:paraId="14628FFD">
                  <w:pPr>
                    <w:widowControl/>
                    <w:snapToGrid w:val="0"/>
                    <w:jc w:val="center"/>
                    <w:rPr>
                      <w:b/>
                      <w:bCs/>
                      <w:color w:val="auto"/>
                      <w:szCs w:val="21"/>
                    </w:rPr>
                  </w:pPr>
                </w:p>
              </w:tc>
              <w:tc>
                <w:tcPr>
                  <w:tcW w:w="1823" w:type="dxa"/>
                  <w:vMerge w:val="continue"/>
                  <w:vAlign w:val="center"/>
                </w:tcPr>
                <w:p w14:paraId="2E3A181D">
                  <w:pPr>
                    <w:pStyle w:val="10"/>
                    <w:adjustRightInd w:val="0"/>
                    <w:spacing w:before="0" w:after="0" w:line="240" w:lineRule="auto"/>
                    <w:ind w:right="0"/>
                    <w:jc w:val="center"/>
                    <w:rPr>
                      <w:b/>
                      <w:bCs/>
                      <w:color w:val="auto"/>
                      <w:sz w:val="21"/>
                      <w:szCs w:val="21"/>
                    </w:rPr>
                  </w:pPr>
                </w:p>
              </w:tc>
              <w:tc>
                <w:tcPr>
                  <w:tcW w:w="1373" w:type="dxa"/>
                  <w:vMerge w:val="continue"/>
                  <w:vAlign w:val="center"/>
                </w:tcPr>
                <w:p w14:paraId="6668FEF3">
                  <w:pPr>
                    <w:widowControl/>
                    <w:snapToGrid w:val="0"/>
                    <w:jc w:val="center"/>
                    <w:rPr>
                      <w:b/>
                      <w:bCs/>
                      <w:color w:val="auto"/>
                      <w:szCs w:val="21"/>
                    </w:rPr>
                  </w:pPr>
                </w:p>
              </w:tc>
              <w:tc>
                <w:tcPr>
                  <w:tcW w:w="1650" w:type="dxa"/>
                  <w:vMerge w:val="continue"/>
                  <w:vAlign w:val="center"/>
                </w:tcPr>
                <w:p w14:paraId="7E6E43ED">
                  <w:pPr>
                    <w:widowControl/>
                    <w:snapToGrid w:val="0"/>
                    <w:jc w:val="center"/>
                    <w:rPr>
                      <w:b/>
                      <w:bCs/>
                      <w:color w:val="auto"/>
                      <w:szCs w:val="21"/>
                    </w:rPr>
                  </w:pPr>
                </w:p>
              </w:tc>
              <w:tc>
                <w:tcPr>
                  <w:tcW w:w="715" w:type="dxa"/>
                  <w:vMerge w:val="continue"/>
                  <w:vAlign w:val="center"/>
                </w:tcPr>
                <w:p w14:paraId="3756BF83">
                  <w:pPr>
                    <w:widowControl/>
                    <w:snapToGrid w:val="0"/>
                    <w:jc w:val="center"/>
                    <w:rPr>
                      <w:b/>
                      <w:bCs/>
                      <w:color w:val="auto"/>
                      <w:szCs w:val="21"/>
                    </w:rPr>
                  </w:pPr>
                </w:p>
              </w:tc>
              <w:tc>
                <w:tcPr>
                  <w:tcW w:w="1303" w:type="dxa"/>
                  <w:vMerge w:val="continue"/>
                  <w:vAlign w:val="center"/>
                </w:tcPr>
                <w:p w14:paraId="470CE098">
                  <w:pPr>
                    <w:widowControl/>
                    <w:snapToGrid w:val="0"/>
                    <w:jc w:val="center"/>
                    <w:rPr>
                      <w:b/>
                      <w:bCs/>
                      <w:color w:val="auto"/>
                      <w:szCs w:val="21"/>
                    </w:rPr>
                  </w:pPr>
                </w:p>
              </w:tc>
              <w:tc>
                <w:tcPr>
                  <w:tcW w:w="1908" w:type="dxa"/>
                  <w:vAlign w:val="center"/>
                </w:tcPr>
                <w:p w14:paraId="67EEF010">
                  <w:pPr>
                    <w:pStyle w:val="10"/>
                    <w:adjustRightInd w:val="0"/>
                    <w:spacing w:before="0" w:after="0" w:line="240" w:lineRule="auto"/>
                    <w:ind w:right="0"/>
                    <w:jc w:val="center"/>
                    <w:rPr>
                      <w:b/>
                      <w:bCs/>
                      <w:color w:val="auto"/>
                      <w:sz w:val="21"/>
                      <w:szCs w:val="21"/>
                    </w:rPr>
                  </w:pPr>
                  <w:r>
                    <w:rPr>
                      <w:b/>
                      <w:bCs/>
                      <w:color w:val="auto"/>
                      <w:sz w:val="21"/>
                      <w:szCs w:val="21"/>
                    </w:rPr>
                    <w:t>名称</w:t>
                  </w:r>
                </w:p>
              </w:tc>
              <w:tc>
                <w:tcPr>
                  <w:tcW w:w="1123" w:type="dxa"/>
                  <w:vAlign w:val="center"/>
                </w:tcPr>
                <w:p w14:paraId="57C81FCE">
                  <w:pPr>
                    <w:pStyle w:val="10"/>
                    <w:adjustRightInd w:val="0"/>
                    <w:spacing w:before="0" w:after="0" w:line="240" w:lineRule="auto"/>
                    <w:ind w:right="0"/>
                    <w:jc w:val="center"/>
                    <w:rPr>
                      <w:b/>
                      <w:bCs/>
                      <w:color w:val="auto"/>
                      <w:sz w:val="21"/>
                      <w:szCs w:val="21"/>
                    </w:rPr>
                  </w:pPr>
                  <w:r>
                    <w:rPr>
                      <w:b/>
                      <w:bCs/>
                      <w:color w:val="auto"/>
                      <w:sz w:val="21"/>
                      <w:szCs w:val="21"/>
                    </w:rPr>
                    <w:t>污染物种类</w:t>
                  </w:r>
                </w:p>
              </w:tc>
              <w:tc>
                <w:tcPr>
                  <w:tcW w:w="1730" w:type="dxa"/>
                  <w:vAlign w:val="center"/>
                </w:tcPr>
                <w:p w14:paraId="6E1784E5">
                  <w:pPr>
                    <w:pStyle w:val="10"/>
                    <w:adjustRightInd w:val="0"/>
                    <w:spacing w:before="0" w:after="0" w:line="240" w:lineRule="auto"/>
                    <w:ind w:right="0"/>
                    <w:jc w:val="center"/>
                    <w:rPr>
                      <w:b/>
                      <w:bCs/>
                      <w:color w:val="auto"/>
                      <w:sz w:val="21"/>
                      <w:szCs w:val="21"/>
                    </w:rPr>
                  </w:pPr>
                  <w:r>
                    <w:rPr>
                      <w:b/>
                      <w:bCs/>
                      <w:color w:val="auto"/>
                      <w:sz w:val="21"/>
                      <w:szCs w:val="21"/>
                    </w:rPr>
                    <w:t>国家或地方污染物排放标准浓度限值/(mg/L)</w:t>
                  </w:r>
                </w:p>
              </w:tc>
            </w:tr>
            <w:tr w14:paraId="32634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08" w:hRule="atLeast"/>
              </w:trPr>
              <w:tc>
                <w:tcPr>
                  <w:tcW w:w="632" w:type="dxa"/>
                  <w:vMerge w:val="restart"/>
                  <w:vAlign w:val="center"/>
                </w:tcPr>
                <w:p w14:paraId="34150011">
                  <w:pPr>
                    <w:pStyle w:val="10"/>
                    <w:adjustRightInd w:val="0"/>
                    <w:spacing w:before="0" w:after="0" w:line="240" w:lineRule="auto"/>
                    <w:ind w:right="0"/>
                    <w:jc w:val="center"/>
                    <w:rPr>
                      <w:color w:val="auto"/>
                      <w:sz w:val="21"/>
                      <w:szCs w:val="21"/>
                    </w:rPr>
                  </w:pPr>
                  <w:r>
                    <w:rPr>
                      <w:color w:val="auto"/>
                      <w:sz w:val="21"/>
                      <w:szCs w:val="21"/>
                    </w:rPr>
                    <w:t>1</w:t>
                  </w:r>
                </w:p>
              </w:tc>
              <w:tc>
                <w:tcPr>
                  <w:tcW w:w="1178" w:type="dxa"/>
                  <w:vMerge w:val="restart"/>
                  <w:vAlign w:val="center"/>
                </w:tcPr>
                <w:p w14:paraId="0F26AAED">
                  <w:pPr>
                    <w:pStyle w:val="10"/>
                    <w:adjustRightInd w:val="0"/>
                    <w:spacing w:before="0" w:after="0" w:line="240" w:lineRule="auto"/>
                    <w:ind w:right="0"/>
                    <w:jc w:val="center"/>
                    <w:rPr>
                      <w:color w:val="auto"/>
                      <w:sz w:val="21"/>
                      <w:szCs w:val="21"/>
                    </w:rPr>
                  </w:pPr>
                  <w:r>
                    <w:rPr>
                      <w:color w:val="auto"/>
                      <w:sz w:val="21"/>
                      <w:szCs w:val="21"/>
                    </w:rPr>
                    <w:t>DW001</w:t>
                  </w:r>
                </w:p>
              </w:tc>
              <w:tc>
                <w:tcPr>
                  <w:tcW w:w="1823" w:type="dxa"/>
                  <w:vMerge w:val="restart"/>
                  <w:vAlign w:val="center"/>
                </w:tcPr>
                <w:p w14:paraId="50C1E910">
                  <w:pPr>
                    <w:pStyle w:val="10"/>
                    <w:adjustRightInd w:val="0"/>
                    <w:spacing w:before="0" w:after="0" w:line="240" w:lineRule="auto"/>
                    <w:ind w:right="0"/>
                    <w:jc w:val="center"/>
                    <w:rPr>
                      <w:color w:val="auto"/>
                      <w:sz w:val="21"/>
                      <w:szCs w:val="21"/>
                    </w:rPr>
                  </w:pPr>
                  <w:r>
                    <w:rPr>
                      <w:rFonts w:hint="eastAsia"/>
                      <w:color w:val="auto"/>
                      <w:sz w:val="21"/>
                      <w:szCs w:val="21"/>
                    </w:rPr>
                    <w:t>E</w:t>
                  </w:r>
                  <w:r>
                    <w:rPr>
                      <w:color w:val="auto"/>
                      <w:sz w:val="21"/>
                      <w:szCs w:val="21"/>
                    </w:rPr>
                    <w:t>115°7′17.99″</w:t>
                  </w:r>
                  <w:r>
                    <w:rPr>
                      <w:rFonts w:hint="eastAsia"/>
                      <w:color w:val="auto"/>
                      <w:sz w:val="21"/>
                      <w:szCs w:val="21"/>
                    </w:rPr>
                    <w:t>、N</w:t>
                  </w:r>
                  <w:r>
                    <w:rPr>
                      <w:color w:val="auto"/>
                      <w:sz w:val="21"/>
                      <w:szCs w:val="21"/>
                    </w:rPr>
                    <w:t>35°51′26.81″</w:t>
                  </w:r>
                </w:p>
              </w:tc>
              <w:tc>
                <w:tcPr>
                  <w:tcW w:w="1373" w:type="dxa"/>
                  <w:vMerge w:val="restart"/>
                  <w:vAlign w:val="center"/>
                </w:tcPr>
                <w:p w14:paraId="2CA4722B">
                  <w:pPr>
                    <w:pStyle w:val="10"/>
                    <w:adjustRightInd w:val="0"/>
                    <w:spacing w:before="0" w:after="0" w:line="240" w:lineRule="auto"/>
                    <w:ind w:right="0"/>
                    <w:jc w:val="center"/>
                    <w:rPr>
                      <w:color w:val="auto"/>
                      <w:sz w:val="21"/>
                      <w:szCs w:val="21"/>
                    </w:rPr>
                  </w:pPr>
                  <w:r>
                    <w:rPr>
                      <w:rFonts w:hint="eastAsia"/>
                      <w:bCs/>
                      <w:color w:val="auto"/>
                      <w:sz w:val="21"/>
                      <w:szCs w:val="21"/>
                    </w:rPr>
                    <w:t>880</w:t>
                  </w:r>
                </w:p>
              </w:tc>
              <w:tc>
                <w:tcPr>
                  <w:tcW w:w="1650" w:type="dxa"/>
                  <w:vMerge w:val="restart"/>
                  <w:vAlign w:val="center"/>
                </w:tcPr>
                <w:p w14:paraId="36AB21BA">
                  <w:pPr>
                    <w:pStyle w:val="10"/>
                    <w:adjustRightInd w:val="0"/>
                    <w:spacing w:before="0" w:after="0" w:line="240" w:lineRule="auto"/>
                    <w:ind w:right="0"/>
                    <w:jc w:val="center"/>
                    <w:rPr>
                      <w:color w:val="auto"/>
                      <w:sz w:val="21"/>
                      <w:szCs w:val="21"/>
                    </w:rPr>
                  </w:pPr>
                  <w:r>
                    <w:rPr>
                      <w:rFonts w:hint="eastAsia"/>
                      <w:color w:val="auto"/>
                      <w:sz w:val="21"/>
                      <w:szCs w:val="21"/>
                    </w:rPr>
                    <w:t>城镇</w:t>
                  </w:r>
                  <w:r>
                    <w:rPr>
                      <w:color w:val="auto"/>
                      <w:sz w:val="21"/>
                      <w:szCs w:val="21"/>
                    </w:rPr>
                    <w:t>污水处理厂</w:t>
                  </w:r>
                </w:p>
              </w:tc>
              <w:tc>
                <w:tcPr>
                  <w:tcW w:w="715" w:type="dxa"/>
                  <w:vMerge w:val="restart"/>
                  <w:vAlign w:val="center"/>
                </w:tcPr>
                <w:p w14:paraId="422DA20F">
                  <w:pPr>
                    <w:pStyle w:val="10"/>
                    <w:adjustRightInd w:val="0"/>
                    <w:spacing w:before="0" w:after="0" w:line="240" w:lineRule="auto"/>
                    <w:ind w:right="0"/>
                    <w:jc w:val="center"/>
                    <w:rPr>
                      <w:rFonts w:hint="eastAsia"/>
                      <w:color w:val="auto"/>
                      <w:sz w:val="21"/>
                      <w:szCs w:val="21"/>
                    </w:rPr>
                  </w:pPr>
                  <w:r>
                    <w:rPr>
                      <w:rFonts w:hint="eastAsia"/>
                      <w:color w:val="auto"/>
                      <w:sz w:val="21"/>
                      <w:szCs w:val="21"/>
                    </w:rPr>
                    <w:t>间断</w:t>
                  </w:r>
                </w:p>
              </w:tc>
              <w:tc>
                <w:tcPr>
                  <w:tcW w:w="1303" w:type="dxa"/>
                  <w:vMerge w:val="restart"/>
                  <w:vAlign w:val="center"/>
                </w:tcPr>
                <w:p w14:paraId="48199D51">
                  <w:pPr>
                    <w:pStyle w:val="10"/>
                    <w:adjustRightInd w:val="0"/>
                    <w:spacing w:before="0" w:after="0" w:line="240" w:lineRule="auto"/>
                    <w:ind w:right="0"/>
                    <w:jc w:val="center"/>
                    <w:rPr>
                      <w:color w:val="auto"/>
                      <w:sz w:val="21"/>
                      <w:szCs w:val="21"/>
                    </w:rPr>
                  </w:pPr>
                  <w:r>
                    <w:rPr>
                      <w:rFonts w:hint="eastAsia"/>
                      <w:color w:val="auto"/>
                      <w:sz w:val="21"/>
                      <w:szCs w:val="21"/>
                    </w:rPr>
                    <w:t>8：00~18：00</w:t>
                  </w:r>
                </w:p>
              </w:tc>
              <w:tc>
                <w:tcPr>
                  <w:tcW w:w="1908" w:type="dxa"/>
                  <w:vMerge w:val="restart"/>
                  <w:vAlign w:val="center"/>
                </w:tcPr>
                <w:p w14:paraId="61795749">
                  <w:pPr>
                    <w:pStyle w:val="10"/>
                    <w:adjustRightInd w:val="0"/>
                    <w:spacing w:before="0" w:after="0" w:line="240" w:lineRule="auto"/>
                    <w:ind w:right="0"/>
                    <w:jc w:val="center"/>
                    <w:rPr>
                      <w:color w:val="auto"/>
                      <w:sz w:val="21"/>
                      <w:szCs w:val="21"/>
                    </w:rPr>
                  </w:pPr>
                  <w:r>
                    <w:rPr>
                      <w:rFonts w:hint="eastAsia"/>
                      <w:color w:val="auto"/>
                      <w:spacing w:val="-10"/>
                      <w:sz w:val="21"/>
                      <w:szCs w:val="21"/>
                    </w:rPr>
                    <w:t>清丰中州水务有限公司第二污水处理厂</w:t>
                  </w:r>
                </w:p>
              </w:tc>
              <w:tc>
                <w:tcPr>
                  <w:tcW w:w="1123" w:type="dxa"/>
                  <w:vAlign w:val="center"/>
                </w:tcPr>
                <w:p w14:paraId="01AA9358">
                  <w:pPr>
                    <w:pStyle w:val="10"/>
                    <w:adjustRightInd w:val="0"/>
                    <w:spacing w:before="0" w:after="0" w:line="240" w:lineRule="auto"/>
                    <w:ind w:right="0"/>
                    <w:jc w:val="center"/>
                    <w:rPr>
                      <w:color w:val="auto"/>
                      <w:sz w:val="21"/>
                      <w:szCs w:val="21"/>
                    </w:rPr>
                  </w:pPr>
                  <w:r>
                    <w:rPr>
                      <w:color w:val="auto"/>
                      <w:sz w:val="21"/>
                      <w:szCs w:val="21"/>
                    </w:rPr>
                    <w:t>COD</w:t>
                  </w:r>
                </w:p>
              </w:tc>
              <w:tc>
                <w:tcPr>
                  <w:tcW w:w="1730" w:type="dxa"/>
                  <w:vAlign w:val="center"/>
                </w:tcPr>
                <w:p w14:paraId="3B59CFF3">
                  <w:pPr>
                    <w:pStyle w:val="10"/>
                    <w:adjustRightInd w:val="0"/>
                    <w:spacing w:before="0" w:after="0" w:line="240" w:lineRule="auto"/>
                    <w:ind w:right="0"/>
                    <w:jc w:val="center"/>
                    <w:rPr>
                      <w:color w:val="auto"/>
                      <w:sz w:val="21"/>
                      <w:szCs w:val="21"/>
                    </w:rPr>
                  </w:pPr>
                  <w:r>
                    <w:rPr>
                      <w:rFonts w:hint="eastAsia"/>
                      <w:color w:val="auto"/>
                      <w:sz w:val="21"/>
                      <w:szCs w:val="21"/>
                    </w:rPr>
                    <w:t>40</w:t>
                  </w:r>
                </w:p>
              </w:tc>
            </w:tr>
            <w:tr w14:paraId="1DD54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08" w:hRule="atLeast"/>
              </w:trPr>
              <w:tc>
                <w:tcPr>
                  <w:tcW w:w="632" w:type="dxa"/>
                  <w:vMerge w:val="continue"/>
                  <w:vAlign w:val="center"/>
                </w:tcPr>
                <w:p w14:paraId="7AC8B9FD">
                  <w:pPr>
                    <w:pStyle w:val="10"/>
                    <w:adjustRightInd w:val="0"/>
                    <w:spacing w:before="0" w:after="0" w:line="240" w:lineRule="auto"/>
                    <w:ind w:right="0"/>
                    <w:jc w:val="center"/>
                    <w:rPr>
                      <w:color w:val="auto"/>
                      <w:sz w:val="21"/>
                      <w:szCs w:val="21"/>
                    </w:rPr>
                  </w:pPr>
                </w:p>
              </w:tc>
              <w:tc>
                <w:tcPr>
                  <w:tcW w:w="1178" w:type="dxa"/>
                  <w:vMerge w:val="continue"/>
                  <w:vAlign w:val="center"/>
                </w:tcPr>
                <w:p w14:paraId="35FAC181">
                  <w:pPr>
                    <w:pStyle w:val="10"/>
                    <w:adjustRightInd w:val="0"/>
                    <w:spacing w:before="0" w:after="0" w:line="240" w:lineRule="auto"/>
                    <w:ind w:right="0"/>
                    <w:jc w:val="center"/>
                    <w:rPr>
                      <w:color w:val="auto"/>
                      <w:sz w:val="21"/>
                      <w:szCs w:val="21"/>
                    </w:rPr>
                  </w:pPr>
                </w:p>
              </w:tc>
              <w:tc>
                <w:tcPr>
                  <w:tcW w:w="1823" w:type="dxa"/>
                  <w:vMerge w:val="continue"/>
                  <w:vAlign w:val="center"/>
                </w:tcPr>
                <w:p w14:paraId="21E73B53">
                  <w:pPr>
                    <w:pStyle w:val="10"/>
                    <w:adjustRightInd w:val="0"/>
                    <w:spacing w:before="0" w:after="0" w:line="240" w:lineRule="auto"/>
                    <w:ind w:right="0"/>
                    <w:jc w:val="center"/>
                    <w:rPr>
                      <w:color w:val="auto"/>
                      <w:sz w:val="21"/>
                      <w:szCs w:val="21"/>
                    </w:rPr>
                  </w:pPr>
                </w:p>
              </w:tc>
              <w:tc>
                <w:tcPr>
                  <w:tcW w:w="1373" w:type="dxa"/>
                  <w:vMerge w:val="continue"/>
                  <w:vAlign w:val="center"/>
                </w:tcPr>
                <w:p w14:paraId="20824AC1">
                  <w:pPr>
                    <w:pStyle w:val="10"/>
                    <w:adjustRightInd w:val="0"/>
                    <w:spacing w:before="0" w:after="0" w:line="240" w:lineRule="auto"/>
                    <w:ind w:right="0"/>
                    <w:jc w:val="center"/>
                    <w:rPr>
                      <w:color w:val="auto"/>
                      <w:sz w:val="21"/>
                      <w:szCs w:val="21"/>
                    </w:rPr>
                  </w:pPr>
                </w:p>
              </w:tc>
              <w:tc>
                <w:tcPr>
                  <w:tcW w:w="1650" w:type="dxa"/>
                  <w:vMerge w:val="continue"/>
                  <w:vAlign w:val="center"/>
                </w:tcPr>
                <w:p w14:paraId="5808EB9D">
                  <w:pPr>
                    <w:pStyle w:val="10"/>
                    <w:adjustRightInd w:val="0"/>
                    <w:spacing w:before="0" w:after="0" w:line="240" w:lineRule="auto"/>
                    <w:ind w:right="0"/>
                    <w:jc w:val="center"/>
                    <w:rPr>
                      <w:color w:val="auto"/>
                      <w:sz w:val="21"/>
                      <w:szCs w:val="21"/>
                    </w:rPr>
                  </w:pPr>
                </w:p>
              </w:tc>
              <w:tc>
                <w:tcPr>
                  <w:tcW w:w="715" w:type="dxa"/>
                  <w:vMerge w:val="continue"/>
                  <w:vAlign w:val="center"/>
                </w:tcPr>
                <w:p w14:paraId="5AFA7F4D">
                  <w:pPr>
                    <w:pStyle w:val="10"/>
                    <w:adjustRightInd w:val="0"/>
                    <w:spacing w:before="0" w:after="0" w:line="240" w:lineRule="auto"/>
                    <w:ind w:right="0"/>
                    <w:jc w:val="center"/>
                    <w:rPr>
                      <w:color w:val="auto"/>
                      <w:sz w:val="21"/>
                      <w:szCs w:val="21"/>
                    </w:rPr>
                  </w:pPr>
                </w:p>
              </w:tc>
              <w:tc>
                <w:tcPr>
                  <w:tcW w:w="1303" w:type="dxa"/>
                  <w:vMerge w:val="continue"/>
                  <w:vAlign w:val="center"/>
                </w:tcPr>
                <w:p w14:paraId="3F1C2CE7">
                  <w:pPr>
                    <w:pStyle w:val="10"/>
                    <w:adjustRightInd w:val="0"/>
                    <w:spacing w:before="0" w:after="0" w:line="240" w:lineRule="auto"/>
                    <w:ind w:right="0"/>
                    <w:jc w:val="center"/>
                    <w:rPr>
                      <w:color w:val="auto"/>
                      <w:sz w:val="21"/>
                      <w:szCs w:val="21"/>
                    </w:rPr>
                  </w:pPr>
                </w:p>
              </w:tc>
              <w:tc>
                <w:tcPr>
                  <w:tcW w:w="1908" w:type="dxa"/>
                  <w:vMerge w:val="continue"/>
                  <w:vAlign w:val="center"/>
                </w:tcPr>
                <w:p w14:paraId="0D1FD366">
                  <w:pPr>
                    <w:pStyle w:val="10"/>
                    <w:adjustRightInd w:val="0"/>
                    <w:spacing w:before="0" w:after="0" w:line="240" w:lineRule="auto"/>
                    <w:ind w:right="0"/>
                    <w:jc w:val="center"/>
                    <w:rPr>
                      <w:color w:val="auto"/>
                      <w:sz w:val="21"/>
                      <w:szCs w:val="21"/>
                    </w:rPr>
                  </w:pPr>
                </w:p>
              </w:tc>
              <w:tc>
                <w:tcPr>
                  <w:tcW w:w="1123" w:type="dxa"/>
                  <w:vAlign w:val="center"/>
                </w:tcPr>
                <w:p w14:paraId="56362E1C">
                  <w:pPr>
                    <w:pStyle w:val="10"/>
                    <w:adjustRightInd w:val="0"/>
                    <w:spacing w:before="0" w:after="0" w:line="240" w:lineRule="auto"/>
                    <w:ind w:right="0"/>
                    <w:jc w:val="center"/>
                    <w:rPr>
                      <w:color w:val="auto"/>
                      <w:sz w:val="21"/>
                      <w:szCs w:val="21"/>
                    </w:rPr>
                  </w:pPr>
                  <w:r>
                    <w:rPr>
                      <w:color w:val="auto"/>
                      <w:sz w:val="21"/>
                      <w:szCs w:val="21"/>
                    </w:rPr>
                    <w:t>氨氮</w:t>
                  </w:r>
                </w:p>
              </w:tc>
              <w:tc>
                <w:tcPr>
                  <w:tcW w:w="1730" w:type="dxa"/>
                  <w:vAlign w:val="center"/>
                </w:tcPr>
                <w:p w14:paraId="0D0D6DE0">
                  <w:pPr>
                    <w:pStyle w:val="10"/>
                    <w:adjustRightInd w:val="0"/>
                    <w:spacing w:before="0" w:after="0" w:line="240" w:lineRule="auto"/>
                    <w:ind w:right="0"/>
                    <w:jc w:val="center"/>
                    <w:rPr>
                      <w:rFonts w:hint="eastAsia"/>
                      <w:color w:val="auto"/>
                      <w:sz w:val="21"/>
                      <w:szCs w:val="21"/>
                    </w:rPr>
                  </w:pPr>
                  <w:r>
                    <w:rPr>
                      <w:rFonts w:hint="eastAsia"/>
                      <w:color w:val="auto"/>
                      <w:sz w:val="21"/>
                      <w:szCs w:val="21"/>
                      <w:lang w:val="en-US" w:eastAsia="zh-CN"/>
                    </w:rPr>
                    <w:t>2</w:t>
                  </w:r>
                </w:p>
              </w:tc>
            </w:tr>
            <w:tr w14:paraId="26C54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08" w:hRule="atLeast"/>
              </w:trPr>
              <w:tc>
                <w:tcPr>
                  <w:tcW w:w="632" w:type="dxa"/>
                  <w:vMerge w:val="continue"/>
                  <w:vAlign w:val="center"/>
                </w:tcPr>
                <w:p w14:paraId="2EFD0480">
                  <w:pPr>
                    <w:pStyle w:val="10"/>
                    <w:adjustRightInd w:val="0"/>
                    <w:spacing w:before="0" w:after="0" w:line="240" w:lineRule="auto"/>
                    <w:ind w:right="0"/>
                    <w:jc w:val="center"/>
                    <w:rPr>
                      <w:color w:val="auto"/>
                      <w:sz w:val="21"/>
                      <w:szCs w:val="21"/>
                    </w:rPr>
                  </w:pPr>
                </w:p>
              </w:tc>
              <w:tc>
                <w:tcPr>
                  <w:tcW w:w="1178" w:type="dxa"/>
                  <w:vMerge w:val="continue"/>
                  <w:vAlign w:val="center"/>
                </w:tcPr>
                <w:p w14:paraId="4E28EE3E">
                  <w:pPr>
                    <w:pStyle w:val="10"/>
                    <w:adjustRightInd w:val="0"/>
                    <w:spacing w:before="0" w:after="0" w:line="240" w:lineRule="auto"/>
                    <w:ind w:right="0"/>
                    <w:jc w:val="center"/>
                    <w:rPr>
                      <w:color w:val="auto"/>
                      <w:sz w:val="21"/>
                      <w:szCs w:val="21"/>
                    </w:rPr>
                  </w:pPr>
                </w:p>
              </w:tc>
              <w:tc>
                <w:tcPr>
                  <w:tcW w:w="1823" w:type="dxa"/>
                  <w:vMerge w:val="continue"/>
                  <w:vAlign w:val="center"/>
                </w:tcPr>
                <w:p w14:paraId="401873B9">
                  <w:pPr>
                    <w:pStyle w:val="10"/>
                    <w:adjustRightInd w:val="0"/>
                    <w:spacing w:before="0" w:after="0" w:line="240" w:lineRule="auto"/>
                    <w:ind w:right="0"/>
                    <w:jc w:val="center"/>
                    <w:rPr>
                      <w:color w:val="auto"/>
                      <w:sz w:val="21"/>
                      <w:szCs w:val="21"/>
                    </w:rPr>
                  </w:pPr>
                </w:p>
              </w:tc>
              <w:tc>
                <w:tcPr>
                  <w:tcW w:w="1373" w:type="dxa"/>
                  <w:vMerge w:val="continue"/>
                  <w:vAlign w:val="center"/>
                </w:tcPr>
                <w:p w14:paraId="6FA38615">
                  <w:pPr>
                    <w:pStyle w:val="10"/>
                    <w:adjustRightInd w:val="0"/>
                    <w:spacing w:before="0" w:after="0" w:line="240" w:lineRule="auto"/>
                    <w:ind w:right="0"/>
                    <w:jc w:val="center"/>
                    <w:rPr>
                      <w:color w:val="auto"/>
                      <w:sz w:val="21"/>
                      <w:szCs w:val="21"/>
                    </w:rPr>
                  </w:pPr>
                </w:p>
              </w:tc>
              <w:tc>
                <w:tcPr>
                  <w:tcW w:w="1650" w:type="dxa"/>
                  <w:vMerge w:val="continue"/>
                  <w:vAlign w:val="center"/>
                </w:tcPr>
                <w:p w14:paraId="4C8F8880">
                  <w:pPr>
                    <w:pStyle w:val="10"/>
                    <w:adjustRightInd w:val="0"/>
                    <w:spacing w:before="0" w:after="0" w:line="240" w:lineRule="auto"/>
                    <w:ind w:right="0"/>
                    <w:jc w:val="center"/>
                    <w:rPr>
                      <w:color w:val="auto"/>
                      <w:sz w:val="21"/>
                      <w:szCs w:val="21"/>
                    </w:rPr>
                  </w:pPr>
                </w:p>
              </w:tc>
              <w:tc>
                <w:tcPr>
                  <w:tcW w:w="715" w:type="dxa"/>
                  <w:vMerge w:val="continue"/>
                  <w:vAlign w:val="center"/>
                </w:tcPr>
                <w:p w14:paraId="0E0F1C80">
                  <w:pPr>
                    <w:pStyle w:val="10"/>
                    <w:adjustRightInd w:val="0"/>
                    <w:spacing w:before="0" w:after="0" w:line="240" w:lineRule="auto"/>
                    <w:ind w:right="0"/>
                    <w:jc w:val="center"/>
                    <w:rPr>
                      <w:color w:val="auto"/>
                      <w:sz w:val="21"/>
                      <w:szCs w:val="21"/>
                    </w:rPr>
                  </w:pPr>
                </w:p>
              </w:tc>
              <w:tc>
                <w:tcPr>
                  <w:tcW w:w="1303" w:type="dxa"/>
                  <w:vMerge w:val="continue"/>
                  <w:vAlign w:val="center"/>
                </w:tcPr>
                <w:p w14:paraId="3FCFBEBE">
                  <w:pPr>
                    <w:pStyle w:val="10"/>
                    <w:adjustRightInd w:val="0"/>
                    <w:spacing w:before="0" w:after="0" w:line="240" w:lineRule="auto"/>
                    <w:ind w:right="0"/>
                    <w:jc w:val="center"/>
                    <w:rPr>
                      <w:color w:val="auto"/>
                      <w:sz w:val="21"/>
                      <w:szCs w:val="21"/>
                    </w:rPr>
                  </w:pPr>
                </w:p>
              </w:tc>
              <w:tc>
                <w:tcPr>
                  <w:tcW w:w="1908" w:type="dxa"/>
                  <w:vMerge w:val="continue"/>
                  <w:vAlign w:val="center"/>
                </w:tcPr>
                <w:p w14:paraId="1B010B43">
                  <w:pPr>
                    <w:pStyle w:val="10"/>
                    <w:adjustRightInd w:val="0"/>
                    <w:spacing w:before="0" w:after="0" w:line="240" w:lineRule="auto"/>
                    <w:ind w:right="0"/>
                    <w:jc w:val="center"/>
                    <w:rPr>
                      <w:color w:val="auto"/>
                      <w:sz w:val="21"/>
                      <w:szCs w:val="21"/>
                    </w:rPr>
                  </w:pPr>
                </w:p>
              </w:tc>
              <w:tc>
                <w:tcPr>
                  <w:tcW w:w="1123" w:type="dxa"/>
                  <w:vAlign w:val="center"/>
                </w:tcPr>
                <w:p w14:paraId="652B57AC">
                  <w:pPr>
                    <w:pStyle w:val="10"/>
                    <w:adjustRightInd w:val="0"/>
                    <w:spacing w:before="0" w:after="0" w:line="240" w:lineRule="auto"/>
                    <w:ind w:right="0"/>
                    <w:jc w:val="center"/>
                    <w:rPr>
                      <w:color w:val="auto"/>
                      <w:sz w:val="21"/>
                      <w:szCs w:val="21"/>
                    </w:rPr>
                  </w:pPr>
                  <w:r>
                    <w:rPr>
                      <w:bCs/>
                      <w:color w:val="auto"/>
                      <w:szCs w:val="21"/>
                    </w:rPr>
                    <w:t>BOD</w:t>
                  </w:r>
                  <w:r>
                    <w:rPr>
                      <w:bCs/>
                      <w:color w:val="auto"/>
                      <w:szCs w:val="21"/>
                      <w:vertAlign w:val="subscript"/>
                    </w:rPr>
                    <w:t>5</w:t>
                  </w:r>
                </w:p>
              </w:tc>
              <w:tc>
                <w:tcPr>
                  <w:tcW w:w="1730" w:type="dxa"/>
                  <w:vAlign w:val="center"/>
                </w:tcPr>
                <w:p w14:paraId="2F929700">
                  <w:pPr>
                    <w:pStyle w:val="10"/>
                    <w:adjustRightInd w:val="0"/>
                    <w:spacing w:before="0" w:after="0" w:line="240" w:lineRule="auto"/>
                    <w:ind w:right="0"/>
                    <w:jc w:val="center"/>
                    <w:rPr>
                      <w:color w:val="auto"/>
                      <w:sz w:val="21"/>
                      <w:szCs w:val="21"/>
                    </w:rPr>
                  </w:pPr>
                  <w:r>
                    <w:rPr>
                      <w:rFonts w:hint="eastAsia"/>
                      <w:color w:val="auto"/>
                      <w:sz w:val="21"/>
                      <w:szCs w:val="21"/>
                    </w:rPr>
                    <w:t>10</w:t>
                  </w:r>
                </w:p>
              </w:tc>
            </w:tr>
            <w:tr w14:paraId="65077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08" w:hRule="atLeast"/>
              </w:trPr>
              <w:tc>
                <w:tcPr>
                  <w:tcW w:w="632" w:type="dxa"/>
                  <w:vMerge w:val="continue"/>
                  <w:vAlign w:val="center"/>
                </w:tcPr>
                <w:p w14:paraId="4C02D88D">
                  <w:pPr>
                    <w:pStyle w:val="10"/>
                    <w:adjustRightInd w:val="0"/>
                    <w:spacing w:before="0" w:after="0" w:line="240" w:lineRule="auto"/>
                    <w:ind w:right="0"/>
                    <w:jc w:val="center"/>
                    <w:rPr>
                      <w:color w:val="auto"/>
                      <w:sz w:val="21"/>
                      <w:szCs w:val="21"/>
                    </w:rPr>
                  </w:pPr>
                </w:p>
              </w:tc>
              <w:tc>
                <w:tcPr>
                  <w:tcW w:w="1178" w:type="dxa"/>
                  <w:vMerge w:val="continue"/>
                  <w:vAlign w:val="center"/>
                </w:tcPr>
                <w:p w14:paraId="5094592C">
                  <w:pPr>
                    <w:pStyle w:val="10"/>
                    <w:adjustRightInd w:val="0"/>
                    <w:spacing w:before="0" w:after="0" w:line="240" w:lineRule="auto"/>
                    <w:ind w:right="0"/>
                    <w:jc w:val="center"/>
                    <w:rPr>
                      <w:color w:val="auto"/>
                      <w:sz w:val="21"/>
                      <w:szCs w:val="21"/>
                    </w:rPr>
                  </w:pPr>
                </w:p>
              </w:tc>
              <w:tc>
                <w:tcPr>
                  <w:tcW w:w="1823" w:type="dxa"/>
                  <w:vMerge w:val="continue"/>
                  <w:vAlign w:val="center"/>
                </w:tcPr>
                <w:p w14:paraId="013C2EA5">
                  <w:pPr>
                    <w:pStyle w:val="10"/>
                    <w:adjustRightInd w:val="0"/>
                    <w:spacing w:before="0" w:after="0" w:line="240" w:lineRule="auto"/>
                    <w:ind w:right="0"/>
                    <w:jc w:val="center"/>
                    <w:rPr>
                      <w:color w:val="auto"/>
                      <w:sz w:val="21"/>
                      <w:szCs w:val="21"/>
                    </w:rPr>
                  </w:pPr>
                </w:p>
              </w:tc>
              <w:tc>
                <w:tcPr>
                  <w:tcW w:w="1373" w:type="dxa"/>
                  <w:vMerge w:val="continue"/>
                  <w:vAlign w:val="center"/>
                </w:tcPr>
                <w:p w14:paraId="3AA22139">
                  <w:pPr>
                    <w:pStyle w:val="10"/>
                    <w:adjustRightInd w:val="0"/>
                    <w:spacing w:before="0" w:after="0" w:line="240" w:lineRule="auto"/>
                    <w:ind w:right="0"/>
                    <w:jc w:val="center"/>
                    <w:rPr>
                      <w:color w:val="auto"/>
                      <w:sz w:val="21"/>
                      <w:szCs w:val="21"/>
                    </w:rPr>
                  </w:pPr>
                </w:p>
              </w:tc>
              <w:tc>
                <w:tcPr>
                  <w:tcW w:w="1650" w:type="dxa"/>
                  <w:vMerge w:val="continue"/>
                  <w:vAlign w:val="center"/>
                </w:tcPr>
                <w:p w14:paraId="4CD10D55">
                  <w:pPr>
                    <w:pStyle w:val="10"/>
                    <w:adjustRightInd w:val="0"/>
                    <w:spacing w:before="0" w:after="0" w:line="240" w:lineRule="auto"/>
                    <w:ind w:right="0"/>
                    <w:jc w:val="center"/>
                    <w:rPr>
                      <w:color w:val="auto"/>
                      <w:sz w:val="21"/>
                      <w:szCs w:val="21"/>
                    </w:rPr>
                  </w:pPr>
                </w:p>
              </w:tc>
              <w:tc>
                <w:tcPr>
                  <w:tcW w:w="715" w:type="dxa"/>
                  <w:vMerge w:val="continue"/>
                  <w:vAlign w:val="center"/>
                </w:tcPr>
                <w:p w14:paraId="3524113C">
                  <w:pPr>
                    <w:pStyle w:val="10"/>
                    <w:adjustRightInd w:val="0"/>
                    <w:spacing w:before="0" w:after="0" w:line="240" w:lineRule="auto"/>
                    <w:ind w:right="0"/>
                    <w:jc w:val="center"/>
                    <w:rPr>
                      <w:color w:val="auto"/>
                      <w:sz w:val="21"/>
                      <w:szCs w:val="21"/>
                    </w:rPr>
                  </w:pPr>
                </w:p>
              </w:tc>
              <w:tc>
                <w:tcPr>
                  <w:tcW w:w="1303" w:type="dxa"/>
                  <w:vMerge w:val="continue"/>
                  <w:vAlign w:val="center"/>
                </w:tcPr>
                <w:p w14:paraId="3D72C564">
                  <w:pPr>
                    <w:pStyle w:val="10"/>
                    <w:adjustRightInd w:val="0"/>
                    <w:spacing w:before="0" w:after="0" w:line="240" w:lineRule="auto"/>
                    <w:ind w:right="0"/>
                    <w:jc w:val="center"/>
                    <w:rPr>
                      <w:color w:val="auto"/>
                      <w:sz w:val="21"/>
                      <w:szCs w:val="21"/>
                    </w:rPr>
                  </w:pPr>
                </w:p>
              </w:tc>
              <w:tc>
                <w:tcPr>
                  <w:tcW w:w="1908" w:type="dxa"/>
                  <w:vMerge w:val="continue"/>
                  <w:vAlign w:val="center"/>
                </w:tcPr>
                <w:p w14:paraId="769B69FF">
                  <w:pPr>
                    <w:pStyle w:val="10"/>
                    <w:adjustRightInd w:val="0"/>
                    <w:spacing w:before="0" w:after="0" w:line="240" w:lineRule="auto"/>
                    <w:ind w:right="0"/>
                    <w:jc w:val="center"/>
                    <w:rPr>
                      <w:color w:val="auto"/>
                      <w:sz w:val="21"/>
                      <w:szCs w:val="21"/>
                    </w:rPr>
                  </w:pPr>
                </w:p>
              </w:tc>
              <w:tc>
                <w:tcPr>
                  <w:tcW w:w="1123" w:type="dxa"/>
                  <w:vAlign w:val="center"/>
                </w:tcPr>
                <w:p w14:paraId="01F4452A">
                  <w:pPr>
                    <w:pStyle w:val="10"/>
                    <w:adjustRightInd w:val="0"/>
                    <w:spacing w:before="0" w:after="0" w:line="240" w:lineRule="auto"/>
                    <w:ind w:right="0"/>
                    <w:jc w:val="center"/>
                    <w:rPr>
                      <w:color w:val="auto"/>
                      <w:sz w:val="21"/>
                      <w:szCs w:val="21"/>
                    </w:rPr>
                  </w:pPr>
                  <w:r>
                    <w:rPr>
                      <w:bCs/>
                      <w:color w:val="auto"/>
                      <w:szCs w:val="21"/>
                    </w:rPr>
                    <w:t>SS</w:t>
                  </w:r>
                </w:p>
              </w:tc>
              <w:tc>
                <w:tcPr>
                  <w:tcW w:w="1730" w:type="dxa"/>
                  <w:vAlign w:val="center"/>
                </w:tcPr>
                <w:p w14:paraId="00148835">
                  <w:pPr>
                    <w:pStyle w:val="10"/>
                    <w:adjustRightInd w:val="0"/>
                    <w:spacing w:before="0" w:after="0" w:line="240" w:lineRule="auto"/>
                    <w:ind w:right="0"/>
                    <w:jc w:val="center"/>
                    <w:rPr>
                      <w:color w:val="auto"/>
                      <w:sz w:val="21"/>
                      <w:szCs w:val="21"/>
                    </w:rPr>
                  </w:pPr>
                  <w:r>
                    <w:rPr>
                      <w:rFonts w:hint="eastAsia"/>
                      <w:color w:val="auto"/>
                      <w:sz w:val="21"/>
                      <w:szCs w:val="21"/>
                    </w:rPr>
                    <w:t>10</w:t>
                  </w:r>
                </w:p>
              </w:tc>
            </w:tr>
            <w:tr w14:paraId="68964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08" w:hRule="atLeast"/>
              </w:trPr>
              <w:tc>
                <w:tcPr>
                  <w:tcW w:w="632" w:type="dxa"/>
                  <w:vMerge w:val="continue"/>
                  <w:vAlign w:val="center"/>
                </w:tcPr>
                <w:p w14:paraId="33C019CA">
                  <w:pPr>
                    <w:pStyle w:val="10"/>
                    <w:adjustRightInd w:val="0"/>
                    <w:spacing w:before="0" w:after="0" w:line="240" w:lineRule="auto"/>
                    <w:ind w:right="0"/>
                    <w:jc w:val="center"/>
                    <w:rPr>
                      <w:color w:val="auto"/>
                      <w:sz w:val="21"/>
                      <w:szCs w:val="21"/>
                    </w:rPr>
                  </w:pPr>
                </w:p>
              </w:tc>
              <w:tc>
                <w:tcPr>
                  <w:tcW w:w="1178" w:type="dxa"/>
                  <w:vMerge w:val="continue"/>
                  <w:vAlign w:val="center"/>
                </w:tcPr>
                <w:p w14:paraId="478BD818">
                  <w:pPr>
                    <w:pStyle w:val="10"/>
                    <w:adjustRightInd w:val="0"/>
                    <w:spacing w:before="0" w:after="0" w:line="240" w:lineRule="auto"/>
                    <w:ind w:right="0"/>
                    <w:jc w:val="center"/>
                    <w:rPr>
                      <w:color w:val="auto"/>
                      <w:sz w:val="21"/>
                      <w:szCs w:val="21"/>
                    </w:rPr>
                  </w:pPr>
                </w:p>
              </w:tc>
              <w:tc>
                <w:tcPr>
                  <w:tcW w:w="1823" w:type="dxa"/>
                  <w:vMerge w:val="continue"/>
                  <w:vAlign w:val="center"/>
                </w:tcPr>
                <w:p w14:paraId="34E73F14">
                  <w:pPr>
                    <w:pStyle w:val="10"/>
                    <w:adjustRightInd w:val="0"/>
                    <w:spacing w:before="0" w:after="0" w:line="240" w:lineRule="auto"/>
                    <w:ind w:right="0"/>
                    <w:jc w:val="center"/>
                    <w:rPr>
                      <w:color w:val="auto"/>
                      <w:sz w:val="21"/>
                      <w:szCs w:val="21"/>
                    </w:rPr>
                  </w:pPr>
                </w:p>
              </w:tc>
              <w:tc>
                <w:tcPr>
                  <w:tcW w:w="1373" w:type="dxa"/>
                  <w:vMerge w:val="continue"/>
                  <w:vAlign w:val="center"/>
                </w:tcPr>
                <w:p w14:paraId="53010C1A">
                  <w:pPr>
                    <w:pStyle w:val="10"/>
                    <w:adjustRightInd w:val="0"/>
                    <w:spacing w:before="0" w:after="0" w:line="240" w:lineRule="auto"/>
                    <w:ind w:right="0"/>
                    <w:jc w:val="center"/>
                    <w:rPr>
                      <w:color w:val="auto"/>
                      <w:sz w:val="21"/>
                      <w:szCs w:val="21"/>
                    </w:rPr>
                  </w:pPr>
                </w:p>
              </w:tc>
              <w:tc>
                <w:tcPr>
                  <w:tcW w:w="1650" w:type="dxa"/>
                  <w:vMerge w:val="continue"/>
                  <w:vAlign w:val="center"/>
                </w:tcPr>
                <w:p w14:paraId="1906FE0C">
                  <w:pPr>
                    <w:pStyle w:val="10"/>
                    <w:adjustRightInd w:val="0"/>
                    <w:spacing w:before="0" w:after="0" w:line="240" w:lineRule="auto"/>
                    <w:ind w:right="0"/>
                    <w:jc w:val="center"/>
                    <w:rPr>
                      <w:color w:val="auto"/>
                      <w:sz w:val="21"/>
                      <w:szCs w:val="21"/>
                    </w:rPr>
                  </w:pPr>
                </w:p>
              </w:tc>
              <w:tc>
                <w:tcPr>
                  <w:tcW w:w="715" w:type="dxa"/>
                  <w:vMerge w:val="continue"/>
                  <w:vAlign w:val="center"/>
                </w:tcPr>
                <w:p w14:paraId="6C7C1250">
                  <w:pPr>
                    <w:pStyle w:val="10"/>
                    <w:adjustRightInd w:val="0"/>
                    <w:spacing w:before="0" w:after="0" w:line="240" w:lineRule="auto"/>
                    <w:ind w:right="0"/>
                    <w:jc w:val="center"/>
                    <w:rPr>
                      <w:color w:val="auto"/>
                      <w:sz w:val="21"/>
                      <w:szCs w:val="21"/>
                    </w:rPr>
                  </w:pPr>
                </w:p>
              </w:tc>
              <w:tc>
                <w:tcPr>
                  <w:tcW w:w="1303" w:type="dxa"/>
                  <w:vMerge w:val="continue"/>
                  <w:vAlign w:val="center"/>
                </w:tcPr>
                <w:p w14:paraId="5343EA75">
                  <w:pPr>
                    <w:pStyle w:val="10"/>
                    <w:adjustRightInd w:val="0"/>
                    <w:spacing w:before="0" w:after="0" w:line="240" w:lineRule="auto"/>
                    <w:ind w:right="0"/>
                    <w:jc w:val="center"/>
                    <w:rPr>
                      <w:color w:val="auto"/>
                      <w:sz w:val="21"/>
                      <w:szCs w:val="21"/>
                    </w:rPr>
                  </w:pPr>
                </w:p>
              </w:tc>
              <w:tc>
                <w:tcPr>
                  <w:tcW w:w="1908" w:type="dxa"/>
                  <w:vMerge w:val="continue"/>
                  <w:vAlign w:val="center"/>
                </w:tcPr>
                <w:p w14:paraId="7FDE0A90">
                  <w:pPr>
                    <w:pStyle w:val="10"/>
                    <w:adjustRightInd w:val="0"/>
                    <w:spacing w:before="0" w:after="0" w:line="240" w:lineRule="auto"/>
                    <w:ind w:right="0"/>
                    <w:jc w:val="center"/>
                    <w:rPr>
                      <w:color w:val="auto"/>
                      <w:sz w:val="21"/>
                      <w:szCs w:val="21"/>
                    </w:rPr>
                  </w:pPr>
                </w:p>
              </w:tc>
              <w:tc>
                <w:tcPr>
                  <w:tcW w:w="1123" w:type="dxa"/>
                  <w:vAlign w:val="center"/>
                </w:tcPr>
                <w:p w14:paraId="5EFF963A">
                  <w:pPr>
                    <w:pStyle w:val="10"/>
                    <w:adjustRightInd w:val="0"/>
                    <w:spacing w:before="0" w:after="0" w:line="240" w:lineRule="auto"/>
                    <w:ind w:right="0"/>
                    <w:jc w:val="center"/>
                    <w:rPr>
                      <w:rFonts w:hint="eastAsia"/>
                      <w:color w:val="auto"/>
                      <w:sz w:val="21"/>
                      <w:szCs w:val="21"/>
                    </w:rPr>
                  </w:pPr>
                  <w:r>
                    <w:rPr>
                      <w:rFonts w:hint="eastAsia"/>
                      <w:color w:val="auto"/>
                      <w:sz w:val="21"/>
                      <w:szCs w:val="21"/>
                    </w:rPr>
                    <w:t>pH</w:t>
                  </w:r>
                </w:p>
              </w:tc>
              <w:tc>
                <w:tcPr>
                  <w:tcW w:w="1730" w:type="dxa"/>
                  <w:vAlign w:val="center"/>
                </w:tcPr>
                <w:p w14:paraId="2607E883">
                  <w:pPr>
                    <w:pStyle w:val="10"/>
                    <w:adjustRightInd w:val="0"/>
                    <w:spacing w:before="0" w:after="0" w:line="240" w:lineRule="auto"/>
                    <w:ind w:right="0"/>
                    <w:jc w:val="center"/>
                    <w:rPr>
                      <w:color w:val="auto"/>
                      <w:sz w:val="21"/>
                      <w:szCs w:val="21"/>
                    </w:rPr>
                  </w:pPr>
                  <w:r>
                    <w:rPr>
                      <w:rFonts w:hint="eastAsia"/>
                      <w:color w:val="auto"/>
                      <w:sz w:val="21"/>
                      <w:szCs w:val="21"/>
                    </w:rPr>
                    <w:t>6-9</w:t>
                  </w:r>
                </w:p>
              </w:tc>
            </w:tr>
          </w:tbl>
          <w:p w14:paraId="39B9D7C4">
            <w:pPr>
              <w:pStyle w:val="46"/>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eastAsia" w:ascii="Times New Roman" w:hAnsi="Arial Unicode MS" w:eastAsia="宋体" w:cs="Times New Roman"/>
                <w:b/>
                <w:color w:val="auto"/>
                <w:kern w:val="2"/>
                <w:sz w:val="24"/>
                <w:szCs w:val="24"/>
                <w:lang w:val="en-US" w:eastAsia="zh-CN" w:bidi="ar-SA"/>
              </w:rPr>
            </w:pPr>
            <w:r>
              <w:rPr>
                <w:rFonts w:hint="eastAsia" w:ascii="Times New Roman" w:hAnsi="Arial Unicode MS" w:eastAsia="宋体" w:cs="Times New Roman"/>
                <w:b/>
                <w:color w:val="auto"/>
                <w:kern w:val="2"/>
                <w:sz w:val="24"/>
                <w:szCs w:val="24"/>
                <w:lang w:val="en-US" w:eastAsia="zh-CN" w:bidi="ar-SA"/>
              </w:rPr>
              <w:t>重点水污染物排放信息表</w:t>
            </w:r>
          </w:p>
          <w:tbl>
            <w:tblPr>
              <w:tblStyle w:val="25"/>
              <w:tblW w:w="13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1072"/>
              <w:gridCol w:w="2260"/>
              <w:gridCol w:w="2089"/>
              <w:gridCol w:w="3874"/>
              <w:gridCol w:w="4123"/>
            </w:tblGrid>
            <w:tr w14:paraId="5A4BD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1072" w:type="dxa"/>
                  <w:vAlign w:val="center"/>
                </w:tcPr>
                <w:p w14:paraId="6A1AB74D">
                  <w:pPr>
                    <w:pStyle w:val="7"/>
                    <w:adjustRightInd w:val="0"/>
                    <w:snapToGrid w:val="0"/>
                    <w:jc w:val="center"/>
                    <w:rPr>
                      <w:color w:val="auto"/>
                      <w:szCs w:val="21"/>
                    </w:rPr>
                  </w:pPr>
                  <w:r>
                    <w:rPr>
                      <w:color w:val="auto"/>
                      <w:szCs w:val="21"/>
                    </w:rPr>
                    <w:t>序号</w:t>
                  </w:r>
                </w:p>
              </w:tc>
              <w:tc>
                <w:tcPr>
                  <w:tcW w:w="2260" w:type="dxa"/>
                  <w:vAlign w:val="center"/>
                </w:tcPr>
                <w:p w14:paraId="5C773220">
                  <w:pPr>
                    <w:pStyle w:val="7"/>
                    <w:adjustRightInd w:val="0"/>
                    <w:snapToGrid w:val="0"/>
                    <w:jc w:val="center"/>
                    <w:rPr>
                      <w:color w:val="auto"/>
                      <w:szCs w:val="21"/>
                    </w:rPr>
                  </w:pPr>
                  <w:r>
                    <w:rPr>
                      <w:color w:val="auto"/>
                      <w:szCs w:val="21"/>
                    </w:rPr>
                    <w:t>排放口编号</w:t>
                  </w:r>
                </w:p>
              </w:tc>
              <w:tc>
                <w:tcPr>
                  <w:tcW w:w="2089" w:type="dxa"/>
                  <w:vAlign w:val="center"/>
                </w:tcPr>
                <w:p w14:paraId="151487B4">
                  <w:pPr>
                    <w:pStyle w:val="7"/>
                    <w:adjustRightInd w:val="0"/>
                    <w:snapToGrid w:val="0"/>
                    <w:jc w:val="center"/>
                    <w:rPr>
                      <w:color w:val="auto"/>
                      <w:szCs w:val="21"/>
                    </w:rPr>
                  </w:pPr>
                  <w:r>
                    <w:rPr>
                      <w:color w:val="auto"/>
                      <w:szCs w:val="21"/>
                    </w:rPr>
                    <w:t>污染物种类</w:t>
                  </w:r>
                </w:p>
              </w:tc>
              <w:tc>
                <w:tcPr>
                  <w:tcW w:w="3874" w:type="dxa"/>
                  <w:vAlign w:val="center"/>
                </w:tcPr>
                <w:p w14:paraId="1C483D74">
                  <w:pPr>
                    <w:pStyle w:val="7"/>
                    <w:adjustRightInd w:val="0"/>
                    <w:snapToGrid w:val="0"/>
                    <w:jc w:val="center"/>
                    <w:rPr>
                      <w:color w:val="auto"/>
                      <w:szCs w:val="21"/>
                    </w:rPr>
                  </w:pPr>
                  <w:r>
                    <w:rPr>
                      <w:color w:val="auto"/>
                      <w:szCs w:val="21"/>
                    </w:rPr>
                    <w:t>排放浓度（mg/L）</w:t>
                  </w:r>
                </w:p>
              </w:tc>
              <w:tc>
                <w:tcPr>
                  <w:tcW w:w="4123" w:type="dxa"/>
                  <w:vAlign w:val="center"/>
                </w:tcPr>
                <w:p w14:paraId="45A04F75">
                  <w:pPr>
                    <w:pStyle w:val="7"/>
                    <w:adjustRightInd w:val="0"/>
                    <w:snapToGrid w:val="0"/>
                    <w:jc w:val="center"/>
                    <w:rPr>
                      <w:color w:val="auto"/>
                      <w:szCs w:val="21"/>
                    </w:rPr>
                  </w:pPr>
                  <w:r>
                    <w:rPr>
                      <w:color w:val="auto"/>
                      <w:szCs w:val="21"/>
                    </w:rPr>
                    <w:t>年排放量（t/a）</w:t>
                  </w:r>
                </w:p>
              </w:tc>
            </w:tr>
            <w:tr w14:paraId="77691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1072" w:type="dxa"/>
                  <w:vMerge w:val="restart"/>
                  <w:vAlign w:val="center"/>
                </w:tcPr>
                <w:p w14:paraId="161E1637">
                  <w:pPr>
                    <w:pStyle w:val="7"/>
                    <w:adjustRightInd w:val="0"/>
                    <w:snapToGrid w:val="0"/>
                    <w:jc w:val="center"/>
                    <w:rPr>
                      <w:color w:val="auto"/>
                      <w:szCs w:val="21"/>
                    </w:rPr>
                  </w:pPr>
                  <w:r>
                    <w:rPr>
                      <w:color w:val="auto"/>
                      <w:szCs w:val="21"/>
                    </w:rPr>
                    <w:t>1</w:t>
                  </w:r>
                </w:p>
              </w:tc>
              <w:tc>
                <w:tcPr>
                  <w:tcW w:w="2260" w:type="dxa"/>
                  <w:vMerge w:val="restart"/>
                  <w:vAlign w:val="center"/>
                </w:tcPr>
                <w:p w14:paraId="7003FA6C">
                  <w:pPr>
                    <w:pStyle w:val="7"/>
                    <w:adjustRightInd w:val="0"/>
                    <w:snapToGrid w:val="0"/>
                    <w:jc w:val="center"/>
                    <w:rPr>
                      <w:color w:val="auto"/>
                      <w:szCs w:val="21"/>
                    </w:rPr>
                  </w:pPr>
                  <w:r>
                    <w:rPr>
                      <w:color w:val="auto"/>
                      <w:szCs w:val="21"/>
                    </w:rPr>
                    <w:t>DW001</w:t>
                  </w:r>
                </w:p>
              </w:tc>
              <w:tc>
                <w:tcPr>
                  <w:tcW w:w="2089" w:type="dxa"/>
                  <w:vAlign w:val="center"/>
                </w:tcPr>
                <w:p w14:paraId="67877DDE">
                  <w:pPr>
                    <w:pStyle w:val="7"/>
                    <w:adjustRightInd w:val="0"/>
                    <w:snapToGrid w:val="0"/>
                    <w:jc w:val="center"/>
                    <w:rPr>
                      <w:color w:val="auto"/>
                      <w:szCs w:val="21"/>
                    </w:rPr>
                  </w:pPr>
                  <w:r>
                    <w:rPr>
                      <w:color w:val="auto"/>
                      <w:szCs w:val="21"/>
                    </w:rPr>
                    <w:t>COD</w:t>
                  </w:r>
                </w:p>
              </w:tc>
              <w:tc>
                <w:tcPr>
                  <w:tcW w:w="3874" w:type="dxa"/>
                  <w:vAlign w:val="center"/>
                </w:tcPr>
                <w:p w14:paraId="2DD486AE">
                  <w:pPr>
                    <w:widowControl/>
                    <w:adjustRightInd w:val="0"/>
                    <w:snapToGrid w:val="0"/>
                    <w:jc w:val="center"/>
                    <w:rPr>
                      <w:color w:val="auto"/>
                      <w:kern w:val="0"/>
                      <w:szCs w:val="21"/>
                    </w:rPr>
                  </w:pPr>
                  <w:r>
                    <w:rPr>
                      <w:rFonts w:hint="eastAsia"/>
                      <w:color w:val="auto"/>
                      <w:kern w:val="0"/>
                      <w:szCs w:val="21"/>
                      <w:lang w:bidi="ar"/>
                    </w:rPr>
                    <w:t>255</w:t>
                  </w:r>
                  <w:r>
                    <w:rPr>
                      <w:color w:val="auto"/>
                      <w:szCs w:val="21"/>
                    </w:rPr>
                    <w:t>（</w:t>
                  </w:r>
                  <w:r>
                    <w:rPr>
                      <w:rFonts w:hint="eastAsia"/>
                      <w:color w:val="auto"/>
                      <w:szCs w:val="21"/>
                    </w:rPr>
                    <w:t>40</w:t>
                  </w:r>
                  <w:r>
                    <w:rPr>
                      <w:color w:val="auto"/>
                      <w:szCs w:val="21"/>
                    </w:rPr>
                    <w:t>）</w:t>
                  </w:r>
                  <w:r>
                    <w:rPr>
                      <w:color w:val="auto"/>
                      <w:szCs w:val="21"/>
                      <w:vertAlign w:val="superscript"/>
                    </w:rPr>
                    <w:t>*</w:t>
                  </w:r>
                </w:p>
              </w:tc>
              <w:tc>
                <w:tcPr>
                  <w:tcW w:w="4123" w:type="dxa"/>
                  <w:vAlign w:val="center"/>
                </w:tcPr>
                <w:p w14:paraId="584360F1">
                  <w:pPr>
                    <w:widowControl/>
                    <w:jc w:val="center"/>
                    <w:textAlignment w:val="center"/>
                    <w:rPr>
                      <w:color w:val="auto"/>
                      <w:szCs w:val="21"/>
                    </w:rPr>
                  </w:pPr>
                  <w:r>
                    <w:rPr>
                      <w:rFonts w:hint="eastAsia"/>
                      <w:b/>
                      <w:bCs/>
                      <w:color w:val="auto"/>
                      <w:kern w:val="0"/>
                      <w:szCs w:val="21"/>
                      <w:u w:val="single"/>
                      <w:lang w:bidi="ar"/>
                    </w:rPr>
                    <w:t>0.224</w:t>
                  </w:r>
                  <w:r>
                    <w:rPr>
                      <w:rFonts w:hint="eastAsia"/>
                      <w:b/>
                      <w:bCs/>
                      <w:color w:val="auto"/>
                      <w:kern w:val="0"/>
                      <w:szCs w:val="21"/>
                      <w:u w:val="single"/>
                      <w:lang w:val="en-US" w:eastAsia="zh-CN" w:bidi="ar"/>
                    </w:rPr>
                    <w:t>5</w:t>
                  </w:r>
                  <w:r>
                    <w:rPr>
                      <w:rFonts w:hint="eastAsia"/>
                      <w:b/>
                      <w:bCs/>
                      <w:color w:val="auto"/>
                      <w:kern w:val="0"/>
                      <w:szCs w:val="21"/>
                      <w:u w:val="single"/>
                      <w:lang w:bidi="ar"/>
                    </w:rPr>
                    <w:t>（0.0352）</w:t>
                  </w:r>
                  <w:r>
                    <w:rPr>
                      <w:rFonts w:hint="eastAsia"/>
                      <w:color w:val="auto"/>
                      <w:kern w:val="0"/>
                      <w:szCs w:val="21"/>
                      <w:lang w:bidi="ar"/>
                    </w:rPr>
                    <w:t>*</w:t>
                  </w:r>
                </w:p>
              </w:tc>
            </w:tr>
            <w:tr w14:paraId="3484B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1072" w:type="dxa"/>
                  <w:vMerge w:val="continue"/>
                  <w:vAlign w:val="center"/>
                </w:tcPr>
                <w:p w14:paraId="60EBD5E4">
                  <w:pPr>
                    <w:widowControl/>
                    <w:snapToGrid w:val="0"/>
                    <w:jc w:val="center"/>
                    <w:rPr>
                      <w:color w:val="auto"/>
                      <w:szCs w:val="21"/>
                    </w:rPr>
                  </w:pPr>
                </w:p>
              </w:tc>
              <w:tc>
                <w:tcPr>
                  <w:tcW w:w="2260" w:type="dxa"/>
                  <w:vMerge w:val="continue"/>
                  <w:vAlign w:val="center"/>
                </w:tcPr>
                <w:p w14:paraId="7E2A4CFA">
                  <w:pPr>
                    <w:widowControl/>
                    <w:snapToGrid w:val="0"/>
                    <w:jc w:val="center"/>
                    <w:rPr>
                      <w:color w:val="auto"/>
                      <w:szCs w:val="21"/>
                    </w:rPr>
                  </w:pPr>
                </w:p>
              </w:tc>
              <w:tc>
                <w:tcPr>
                  <w:tcW w:w="2089" w:type="dxa"/>
                  <w:vAlign w:val="center"/>
                </w:tcPr>
                <w:p w14:paraId="1BECBFB1">
                  <w:pPr>
                    <w:pStyle w:val="7"/>
                    <w:adjustRightInd w:val="0"/>
                    <w:snapToGrid w:val="0"/>
                    <w:jc w:val="center"/>
                    <w:rPr>
                      <w:color w:val="auto"/>
                      <w:szCs w:val="21"/>
                    </w:rPr>
                  </w:pPr>
                  <w:r>
                    <w:rPr>
                      <w:color w:val="auto"/>
                      <w:szCs w:val="21"/>
                    </w:rPr>
                    <w:t>氨氮</w:t>
                  </w:r>
                </w:p>
              </w:tc>
              <w:tc>
                <w:tcPr>
                  <w:tcW w:w="3874" w:type="dxa"/>
                  <w:vAlign w:val="center"/>
                </w:tcPr>
                <w:p w14:paraId="401C99C1">
                  <w:pPr>
                    <w:adjustRightInd w:val="0"/>
                    <w:snapToGrid w:val="0"/>
                    <w:jc w:val="center"/>
                    <w:rPr>
                      <w:color w:val="auto"/>
                      <w:szCs w:val="21"/>
                    </w:rPr>
                  </w:pPr>
                  <w:r>
                    <w:rPr>
                      <w:rFonts w:hint="eastAsia"/>
                      <w:color w:val="auto"/>
                      <w:kern w:val="0"/>
                      <w:szCs w:val="21"/>
                      <w:lang w:bidi="ar"/>
                    </w:rPr>
                    <w:t>29.1</w:t>
                  </w:r>
                  <w:r>
                    <w:rPr>
                      <w:color w:val="auto"/>
                      <w:szCs w:val="21"/>
                    </w:rPr>
                    <w:t>（</w:t>
                  </w:r>
                  <w:r>
                    <w:rPr>
                      <w:rFonts w:hint="eastAsia"/>
                      <w:color w:val="auto"/>
                      <w:szCs w:val="21"/>
                      <w:lang w:val="en-US" w:eastAsia="zh-CN"/>
                    </w:rPr>
                    <w:t>2</w:t>
                  </w:r>
                  <w:r>
                    <w:rPr>
                      <w:color w:val="auto"/>
                      <w:szCs w:val="21"/>
                    </w:rPr>
                    <w:t>）</w:t>
                  </w:r>
                  <w:r>
                    <w:rPr>
                      <w:color w:val="auto"/>
                      <w:szCs w:val="21"/>
                      <w:vertAlign w:val="superscript"/>
                    </w:rPr>
                    <w:t>*</w:t>
                  </w:r>
                </w:p>
              </w:tc>
              <w:tc>
                <w:tcPr>
                  <w:tcW w:w="4123" w:type="dxa"/>
                  <w:vAlign w:val="center"/>
                </w:tcPr>
                <w:p w14:paraId="154D8AF3">
                  <w:pPr>
                    <w:adjustRightInd w:val="0"/>
                    <w:snapToGrid w:val="0"/>
                    <w:jc w:val="center"/>
                    <w:rPr>
                      <w:color w:val="auto"/>
                      <w:szCs w:val="21"/>
                    </w:rPr>
                  </w:pPr>
                  <w:r>
                    <w:rPr>
                      <w:color w:val="auto"/>
                      <w:kern w:val="0"/>
                      <w:szCs w:val="21"/>
                      <w:lang w:bidi="ar"/>
                    </w:rPr>
                    <w:t>0.0</w:t>
                  </w:r>
                  <w:r>
                    <w:rPr>
                      <w:rFonts w:hint="eastAsia"/>
                      <w:color w:val="auto"/>
                      <w:kern w:val="0"/>
                      <w:szCs w:val="21"/>
                      <w:lang w:bidi="ar"/>
                    </w:rPr>
                    <w:t>256</w:t>
                  </w:r>
                  <w:r>
                    <w:rPr>
                      <w:color w:val="auto"/>
                      <w:kern w:val="0"/>
                      <w:szCs w:val="21"/>
                      <w:lang w:bidi="ar"/>
                    </w:rPr>
                    <w:t>（0.00</w:t>
                  </w:r>
                  <w:r>
                    <w:rPr>
                      <w:rFonts w:hint="eastAsia"/>
                      <w:color w:val="auto"/>
                      <w:kern w:val="0"/>
                      <w:szCs w:val="21"/>
                      <w:lang w:val="en-US" w:eastAsia="zh-CN" w:bidi="ar"/>
                    </w:rPr>
                    <w:t>18</w:t>
                  </w:r>
                  <w:r>
                    <w:rPr>
                      <w:color w:val="auto"/>
                      <w:kern w:val="0"/>
                      <w:szCs w:val="21"/>
                      <w:lang w:bidi="ar"/>
                    </w:rPr>
                    <w:t>）*</w:t>
                  </w:r>
                </w:p>
              </w:tc>
            </w:tr>
            <w:tr w14:paraId="5E584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3332" w:type="dxa"/>
                  <w:gridSpan w:val="2"/>
                  <w:vMerge w:val="restart"/>
                  <w:vAlign w:val="center"/>
                </w:tcPr>
                <w:p w14:paraId="2BB8F484">
                  <w:pPr>
                    <w:pStyle w:val="7"/>
                    <w:adjustRightInd w:val="0"/>
                    <w:snapToGrid w:val="0"/>
                    <w:jc w:val="center"/>
                    <w:rPr>
                      <w:color w:val="auto"/>
                      <w:szCs w:val="21"/>
                    </w:rPr>
                  </w:pPr>
                  <w:r>
                    <w:rPr>
                      <w:color w:val="auto"/>
                      <w:szCs w:val="21"/>
                    </w:rPr>
                    <w:t>全厂排放口合计</w:t>
                  </w:r>
                </w:p>
              </w:tc>
              <w:tc>
                <w:tcPr>
                  <w:tcW w:w="5963" w:type="dxa"/>
                  <w:gridSpan w:val="2"/>
                  <w:vAlign w:val="center"/>
                </w:tcPr>
                <w:p w14:paraId="2233A5BD">
                  <w:pPr>
                    <w:pStyle w:val="7"/>
                    <w:adjustRightInd w:val="0"/>
                    <w:snapToGrid w:val="0"/>
                    <w:jc w:val="center"/>
                    <w:rPr>
                      <w:color w:val="auto"/>
                      <w:szCs w:val="21"/>
                    </w:rPr>
                  </w:pPr>
                  <w:r>
                    <w:rPr>
                      <w:color w:val="auto"/>
                      <w:szCs w:val="21"/>
                    </w:rPr>
                    <w:t>COD</w:t>
                  </w:r>
                </w:p>
              </w:tc>
              <w:tc>
                <w:tcPr>
                  <w:tcW w:w="4123" w:type="dxa"/>
                  <w:vAlign w:val="center"/>
                </w:tcPr>
                <w:p w14:paraId="3A1670DE">
                  <w:pPr>
                    <w:widowControl/>
                    <w:jc w:val="center"/>
                    <w:textAlignment w:val="center"/>
                    <w:rPr>
                      <w:color w:val="auto"/>
                      <w:szCs w:val="21"/>
                    </w:rPr>
                  </w:pPr>
                  <w:r>
                    <w:rPr>
                      <w:rFonts w:hint="eastAsia"/>
                      <w:b/>
                      <w:bCs/>
                      <w:color w:val="auto"/>
                      <w:kern w:val="0"/>
                      <w:szCs w:val="21"/>
                      <w:u w:val="single"/>
                      <w:lang w:bidi="ar"/>
                    </w:rPr>
                    <w:t>0.224</w:t>
                  </w:r>
                  <w:r>
                    <w:rPr>
                      <w:rFonts w:hint="eastAsia"/>
                      <w:b/>
                      <w:bCs/>
                      <w:color w:val="auto"/>
                      <w:kern w:val="0"/>
                      <w:szCs w:val="21"/>
                      <w:u w:val="single"/>
                      <w:lang w:val="en-US" w:eastAsia="zh-CN" w:bidi="ar"/>
                    </w:rPr>
                    <w:t>5</w:t>
                  </w:r>
                  <w:r>
                    <w:rPr>
                      <w:rFonts w:hint="eastAsia"/>
                      <w:b/>
                      <w:bCs/>
                      <w:color w:val="auto"/>
                      <w:kern w:val="0"/>
                      <w:szCs w:val="21"/>
                      <w:u w:val="single"/>
                      <w:lang w:bidi="ar"/>
                    </w:rPr>
                    <w:t>（0.0352）</w:t>
                  </w:r>
                  <w:r>
                    <w:rPr>
                      <w:rFonts w:hint="eastAsia"/>
                      <w:color w:val="auto"/>
                      <w:kern w:val="0"/>
                      <w:szCs w:val="21"/>
                      <w:lang w:bidi="ar"/>
                    </w:rPr>
                    <w:t>*</w:t>
                  </w:r>
                </w:p>
              </w:tc>
            </w:tr>
            <w:tr w14:paraId="06DB3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3332" w:type="dxa"/>
                  <w:gridSpan w:val="2"/>
                  <w:vMerge w:val="continue"/>
                  <w:vAlign w:val="center"/>
                </w:tcPr>
                <w:p w14:paraId="42A1C7EC">
                  <w:pPr>
                    <w:widowControl/>
                    <w:snapToGrid w:val="0"/>
                    <w:jc w:val="center"/>
                    <w:rPr>
                      <w:color w:val="auto"/>
                      <w:szCs w:val="21"/>
                    </w:rPr>
                  </w:pPr>
                </w:p>
              </w:tc>
              <w:tc>
                <w:tcPr>
                  <w:tcW w:w="5963" w:type="dxa"/>
                  <w:gridSpan w:val="2"/>
                  <w:vAlign w:val="center"/>
                </w:tcPr>
                <w:p w14:paraId="6E224CE8">
                  <w:pPr>
                    <w:pStyle w:val="7"/>
                    <w:adjustRightInd w:val="0"/>
                    <w:snapToGrid w:val="0"/>
                    <w:jc w:val="center"/>
                    <w:rPr>
                      <w:color w:val="auto"/>
                      <w:szCs w:val="21"/>
                    </w:rPr>
                  </w:pPr>
                  <w:r>
                    <w:rPr>
                      <w:color w:val="auto"/>
                      <w:szCs w:val="21"/>
                    </w:rPr>
                    <w:t>氨氮</w:t>
                  </w:r>
                </w:p>
              </w:tc>
              <w:tc>
                <w:tcPr>
                  <w:tcW w:w="4123" w:type="dxa"/>
                  <w:vAlign w:val="center"/>
                </w:tcPr>
                <w:p w14:paraId="0EA23001">
                  <w:pPr>
                    <w:adjustRightInd w:val="0"/>
                    <w:snapToGrid w:val="0"/>
                    <w:jc w:val="center"/>
                    <w:rPr>
                      <w:color w:val="auto"/>
                      <w:szCs w:val="21"/>
                    </w:rPr>
                  </w:pPr>
                  <w:r>
                    <w:rPr>
                      <w:color w:val="auto"/>
                      <w:kern w:val="0"/>
                      <w:szCs w:val="21"/>
                      <w:lang w:bidi="ar"/>
                    </w:rPr>
                    <w:t>0.0</w:t>
                  </w:r>
                  <w:r>
                    <w:rPr>
                      <w:rFonts w:hint="eastAsia"/>
                      <w:color w:val="auto"/>
                      <w:kern w:val="0"/>
                      <w:szCs w:val="21"/>
                      <w:lang w:bidi="ar"/>
                    </w:rPr>
                    <w:t>256</w:t>
                  </w:r>
                  <w:r>
                    <w:rPr>
                      <w:color w:val="auto"/>
                      <w:kern w:val="0"/>
                      <w:szCs w:val="21"/>
                      <w:lang w:bidi="ar"/>
                    </w:rPr>
                    <w:t>（0.00</w:t>
                  </w:r>
                  <w:r>
                    <w:rPr>
                      <w:rFonts w:hint="eastAsia"/>
                      <w:color w:val="auto"/>
                      <w:kern w:val="0"/>
                      <w:szCs w:val="21"/>
                      <w:lang w:val="en-US" w:eastAsia="zh-CN" w:bidi="ar"/>
                    </w:rPr>
                    <w:t>18</w:t>
                  </w:r>
                  <w:r>
                    <w:rPr>
                      <w:color w:val="auto"/>
                      <w:kern w:val="0"/>
                      <w:szCs w:val="21"/>
                      <w:lang w:bidi="ar"/>
                    </w:rPr>
                    <w:t>）*</w:t>
                  </w:r>
                </w:p>
              </w:tc>
            </w:tr>
            <w:tr w14:paraId="4C09D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13418" w:type="dxa"/>
                  <w:gridSpan w:val="5"/>
                  <w:vAlign w:val="center"/>
                </w:tcPr>
                <w:p w14:paraId="03A040F8">
                  <w:pPr>
                    <w:adjustRightInd w:val="0"/>
                    <w:snapToGrid w:val="0"/>
                    <w:rPr>
                      <w:color w:val="auto"/>
                      <w:szCs w:val="21"/>
                    </w:rPr>
                  </w:pPr>
                  <w:r>
                    <w:rPr>
                      <w:color w:val="auto"/>
                      <w:szCs w:val="21"/>
                    </w:rPr>
                    <w:t>备注：（）*内为污水处理厂处理后排入环境情况</w:t>
                  </w:r>
                </w:p>
              </w:tc>
            </w:tr>
          </w:tbl>
          <w:p w14:paraId="5BC1161B">
            <w:pPr>
              <w:pStyle w:val="2"/>
              <w:ind w:left="0" w:firstLine="0"/>
              <w:rPr>
                <w:rFonts w:hint="eastAsia"/>
                <w:color w:val="auto"/>
              </w:rPr>
            </w:pPr>
          </w:p>
        </w:tc>
      </w:tr>
    </w:tbl>
    <w:p w14:paraId="3EB2A5FE">
      <w:pPr>
        <w:pStyle w:val="5"/>
        <w:rPr>
          <w:color w:val="auto"/>
        </w:rPr>
        <w:sectPr>
          <w:pgSz w:w="16838" w:h="11905" w:orient="landscape"/>
          <w:pgMar w:top="1417" w:right="1417" w:bottom="1417" w:left="1417" w:header="851" w:footer="1077" w:gutter="0"/>
          <w:pgNumType w:fmt="decimal"/>
          <w:cols w:space="720" w:num="1"/>
          <w:docGrid w:linePitch="312" w:charSpace="0"/>
        </w:sectPr>
      </w:pPr>
    </w:p>
    <w:tbl>
      <w:tblPr>
        <w:tblStyle w:val="25"/>
        <w:tblW w:w="9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
        <w:gridCol w:w="8844"/>
      </w:tblGrid>
      <w:tr w14:paraId="35051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18" w:hRule="atLeast"/>
        </w:trPr>
        <w:tc>
          <w:tcPr>
            <w:tcW w:w="436" w:type="dxa"/>
            <w:vAlign w:val="center"/>
          </w:tcPr>
          <w:p w14:paraId="534B99A6">
            <w:pPr>
              <w:adjustRightInd w:val="0"/>
              <w:snapToGrid w:val="0"/>
              <w:jc w:val="center"/>
              <w:rPr>
                <w:b/>
                <w:color w:val="auto"/>
                <w:sz w:val="24"/>
              </w:rPr>
            </w:pPr>
            <w:r>
              <w:rPr>
                <w:b/>
                <w:color w:val="auto"/>
                <w:sz w:val="24"/>
              </w:rPr>
              <w:t>运营</w:t>
            </w:r>
          </w:p>
          <w:p w14:paraId="60E4376D">
            <w:pPr>
              <w:adjustRightInd w:val="0"/>
              <w:snapToGrid w:val="0"/>
              <w:jc w:val="center"/>
              <w:rPr>
                <w:b/>
                <w:color w:val="auto"/>
                <w:sz w:val="24"/>
              </w:rPr>
            </w:pPr>
            <w:r>
              <w:rPr>
                <w:b/>
                <w:color w:val="auto"/>
                <w:sz w:val="24"/>
              </w:rPr>
              <w:t>期环</w:t>
            </w:r>
          </w:p>
          <w:p w14:paraId="6AEE2A3F">
            <w:pPr>
              <w:adjustRightInd w:val="0"/>
              <w:snapToGrid w:val="0"/>
              <w:jc w:val="center"/>
              <w:rPr>
                <w:b/>
                <w:color w:val="auto"/>
                <w:sz w:val="24"/>
              </w:rPr>
            </w:pPr>
            <w:r>
              <w:rPr>
                <w:b/>
                <w:color w:val="auto"/>
                <w:sz w:val="24"/>
              </w:rPr>
              <w:t>境影</w:t>
            </w:r>
          </w:p>
          <w:p w14:paraId="65DAFD17">
            <w:pPr>
              <w:adjustRightInd w:val="0"/>
              <w:snapToGrid w:val="0"/>
              <w:jc w:val="center"/>
              <w:rPr>
                <w:b/>
                <w:color w:val="auto"/>
                <w:sz w:val="24"/>
              </w:rPr>
            </w:pPr>
            <w:r>
              <w:rPr>
                <w:b/>
                <w:color w:val="auto"/>
                <w:sz w:val="24"/>
              </w:rPr>
              <w:t>响和</w:t>
            </w:r>
          </w:p>
          <w:p w14:paraId="15C6AFEC">
            <w:pPr>
              <w:adjustRightInd w:val="0"/>
              <w:snapToGrid w:val="0"/>
              <w:jc w:val="center"/>
              <w:rPr>
                <w:b/>
                <w:color w:val="auto"/>
                <w:sz w:val="24"/>
              </w:rPr>
            </w:pPr>
            <w:r>
              <w:rPr>
                <w:b/>
                <w:color w:val="auto"/>
                <w:sz w:val="24"/>
              </w:rPr>
              <w:t>保护</w:t>
            </w:r>
          </w:p>
          <w:p w14:paraId="33606F52">
            <w:pPr>
              <w:pStyle w:val="32"/>
              <w:rPr>
                <w:rFonts w:hint="default"/>
                <w:color w:val="auto"/>
              </w:rPr>
            </w:pPr>
            <w:r>
              <w:rPr>
                <w:b/>
                <w:color w:val="auto"/>
                <w:sz w:val="24"/>
              </w:rPr>
              <w:t>措施</w:t>
            </w:r>
          </w:p>
        </w:tc>
        <w:tc>
          <w:tcPr>
            <w:tcW w:w="8844" w:type="dxa"/>
            <w:vAlign w:val="top"/>
          </w:tcPr>
          <w:p w14:paraId="7B512AF6">
            <w:pPr>
              <w:spacing w:line="360" w:lineRule="auto"/>
              <w:rPr>
                <w:rFonts w:hint="eastAsia"/>
                <w:b/>
                <w:bCs/>
                <w:color w:val="auto"/>
                <w:sz w:val="24"/>
              </w:rPr>
            </w:pPr>
            <w:r>
              <w:rPr>
                <w:rFonts w:hint="eastAsia"/>
                <w:b/>
                <w:bCs/>
                <w:color w:val="auto"/>
                <w:sz w:val="24"/>
              </w:rPr>
              <w:t>2.2废水进入</w:t>
            </w:r>
            <w:r>
              <w:rPr>
                <w:b/>
                <w:bCs/>
                <w:color w:val="auto"/>
                <w:sz w:val="24"/>
              </w:rPr>
              <w:t>清丰中州水务有限公司第二污水处理厂可行性</w:t>
            </w:r>
            <w:r>
              <w:rPr>
                <w:rFonts w:hint="eastAsia"/>
                <w:b/>
                <w:bCs/>
                <w:color w:val="auto"/>
                <w:sz w:val="24"/>
              </w:rPr>
              <w:t>分析</w:t>
            </w:r>
          </w:p>
          <w:p w14:paraId="19BE722A">
            <w:pPr>
              <w:spacing w:line="360" w:lineRule="auto"/>
              <w:ind w:firstLine="480" w:firstLineChars="200"/>
              <w:rPr>
                <w:rFonts w:hint="eastAsia"/>
                <w:color w:val="auto"/>
                <w:sz w:val="24"/>
              </w:rPr>
            </w:pPr>
            <w:r>
              <w:rPr>
                <w:rFonts w:hint="eastAsia"/>
                <w:color w:val="auto"/>
                <w:sz w:val="24"/>
              </w:rPr>
              <w:t>（1）处理工艺及水质</w:t>
            </w:r>
          </w:p>
          <w:p w14:paraId="43142DC3">
            <w:pPr>
              <w:spacing w:line="360" w:lineRule="auto"/>
              <w:ind w:firstLine="480" w:firstLineChars="200"/>
              <w:rPr>
                <w:color w:val="auto"/>
                <w:kern w:val="0"/>
                <w:sz w:val="24"/>
                <w:lang w:bidi="ar"/>
              </w:rPr>
            </w:pPr>
            <w:r>
              <w:rPr>
                <w:color w:val="auto"/>
                <w:sz w:val="24"/>
              </w:rPr>
              <w:t>清丰中州水务有限公司第二污水处理厂设计处理工艺采用改良型Carrousel氧化沟工艺，出水水质达到《地表水环境质量标准》（GB3838-2002）Ⅴ类标准。设计进水水质为COD：350mg/L、BOD</w:t>
            </w:r>
            <w:r>
              <w:rPr>
                <w:color w:val="auto"/>
                <w:sz w:val="24"/>
                <w:vertAlign w:val="subscript"/>
              </w:rPr>
              <w:t>5</w:t>
            </w:r>
            <w:r>
              <w:rPr>
                <w:color w:val="auto"/>
                <w:sz w:val="24"/>
              </w:rPr>
              <w:t>：1</w:t>
            </w:r>
            <w:r>
              <w:rPr>
                <w:rFonts w:hint="eastAsia"/>
                <w:color w:val="auto"/>
                <w:sz w:val="24"/>
              </w:rPr>
              <w:t>6</w:t>
            </w:r>
            <w:r>
              <w:rPr>
                <w:color w:val="auto"/>
                <w:sz w:val="24"/>
              </w:rPr>
              <w:t>0mg/L、SS：2</w:t>
            </w:r>
            <w:r>
              <w:rPr>
                <w:rFonts w:hint="eastAsia"/>
                <w:color w:val="auto"/>
                <w:sz w:val="24"/>
              </w:rPr>
              <w:t>0</w:t>
            </w:r>
            <w:r>
              <w:rPr>
                <w:color w:val="auto"/>
                <w:sz w:val="24"/>
              </w:rPr>
              <w:t>0mg/L、NH</w:t>
            </w:r>
            <w:r>
              <w:rPr>
                <w:color w:val="auto"/>
                <w:sz w:val="24"/>
                <w:vertAlign w:val="subscript"/>
              </w:rPr>
              <w:t>3</w:t>
            </w:r>
            <w:r>
              <w:rPr>
                <w:color w:val="auto"/>
                <w:sz w:val="24"/>
              </w:rPr>
              <w:t>-N：</w:t>
            </w:r>
            <w:r>
              <w:rPr>
                <w:rFonts w:hint="eastAsia"/>
                <w:color w:val="auto"/>
                <w:sz w:val="24"/>
              </w:rPr>
              <w:t>4</w:t>
            </w:r>
            <w:r>
              <w:rPr>
                <w:color w:val="auto"/>
                <w:sz w:val="24"/>
              </w:rPr>
              <w:t>0mg/L；出水水质为《地表水环境质量标准》（GB3838-2002）Ⅴ类标准（COD：40mg/L、NH</w:t>
            </w:r>
            <w:r>
              <w:rPr>
                <w:color w:val="auto"/>
                <w:sz w:val="24"/>
                <w:vertAlign w:val="subscript"/>
              </w:rPr>
              <w:t>3</w:t>
            </w:r>
            <w:r>
              <w:rPr>
                <w:color w:val="auto"/>
                <w:sz w:val="24"/>
              </w:rPr>
              <w:t>-N</w:t>
            </w:r>
            <w:r>
              <w:rPr>
                <w:rFonts w:hint="eastAsia"/>
                <w:color w:val="auto"/>
                <w:sz w:val="24"/>
                <w:lang w:eastAsia="zh-CN"/>
              </w:rPr>
              <w:t>：</w:t>
            </w:r>
            <w:r>
              <w:rPr>
                <w:color w:val="auto"/>
                <w:sz w:val="24"/>
              </w:rPr>
              <w:t>2mg/L）</w:t>
            </w:r>
            <w:r>
              <w:rPr>
                <w:rFonts w:hint="eastAsia"/>
                <w:color w:val="auto"/>
                <w:kern w:val="0"/>
                <w:sz w:val="24"/>
                <w:lang w:bidi="ar"/>
              </w:rPr>
              <w:t>。</w:t>
            </w:r>
            <w:r>
              <w:rPr>
                <w:rFonts w:hint="eastAsia"/>
                <w:color w:val="auto"/>
                <w:sz w:val="24"/>
              </w:rPr>
              <w:t>根据上述分析，本项目废水水质为</w:t>
            </w:r>
            <w:r>
              <w:rPr>
                <w:color w:val="auto"/>
                <w:sz w:val="24"/>
              </w:rPr>
              <w:t>COD</w:t>
            </w:r>
            <w:r>
              <w:rPr>
                <w:rFonts w:hint="eastAsia"/>
                <w:color w:val="auto"/>
                <w:sz w:val="24"/>
                <w:lang w:eastAsia="zh-CN"/>
              </w:rPr>
              <w:t>：</w:t>
            </w:r>
            <w:r>
              <w:rPr>
                <w:rFonts w:hint="eastAsia"/>
                <w:color w:val="auto"/>
                <w:sz w:val="24"/>
              </w:rPr>
              <w:t>255</w:t>
            </w:r>
            <w:r>
              <w:rPr>
                <w:color w:val="auto"/>
                <w:sz w:val="24"/>
              </w:rPr>
              <w:t>mg/L、BOD</w:t>
            </w:r>
            <w:r>
              <w:rPr>
                <w:color w:val="auto"/>
                <w:sz w:val="24"/>
                <w:vertAlign w:val="subscript"/>
              </w:rPr>
              <w:t>5</w:t>
            </w:r>
            <w:r>
              <w:rPr>
                <w:rFonts w:hint="eastAsia"/>
                <w:color w:val="auto"/>
                <w:sz w:val="24"/>
                <w:vertAlign w:val="baseline"/>
                <w:lang w:eastAsia="zh-CN"/>
              </w:rPr>
              <w:t>：</w:t>
            </w:r>
            <w:r>
              <w:rPr>
                <w:rFonts w:hint="eastAsia"/>
                <w:color w:val="auto"/>
                <w:sz w:val="24"/>
              </w:rPr>
              <w:t>126</w:t>
            </w:r>
            <w:r>
              <w:rPr>
                <w:color w:val="auto"/>
                <w:sz w:val="24"/>
              </w:rPr>
              <w:t>mg/L、SS</w:t>
            </w:r>
            <w:r>
              <w:rPr>
                <w:rFonts w:hint="eastAsia"/>
                <w:color w:val="auto"/>
                <w:sz w:val="24"/>
                <w:lang w:eastAsia="zh-CN"/>
              </w:rPr>
              <w:t>：</w:t>
            </w:r>
            <w:r>
              <w:rPr>
                <w:rFonts w:hint="eastAsia"/>
                <w:color w:val="auto"/>
                <w:sz w:val="24"/>
              </w:rPr>
              <w:t>80</w:t>
            </w:r>
            <w:r>
              <w:rPr>
                <w:color w:val="auto"/>
                <w:sz w:val="24"/>
              </w:rPr>
              <w:t>mg/L、NH</w:t>
            </w:r>
            <w:r>
              <w:rPr>
                <w:color w:val="auto"/>
                <w:sz w:val="24"/>
                <w:vertAlign w:val="subscript"/>
              </w:rPr>
              <w:t>3</w:t>
            </w:r>
            <w:r>
              <w:rPr>
                <w:color w:val="auto"/>
                <w:sz w:val="24"/>
              </w:rPr>
              <w:t>-N</w:t>
            </w:r>
            <w:r>
              <w:rPr>
                <w:rFonts w:hint="eastAsia"/>
                <w:color w:val="auto"/>
                <w:sz w:val="24"/>
                <w:lang w:eastAsia="zh-CN"/>
              </w:rPr>
              <w:t>：</w:t>
            </w:r>
            <w:r>
              <w:rPr>
                <w:rFonts w:hint="eastAsia"/>
                <w:color w:val="auto"/>
                <w:sz w:val="24"/>
              </w:rPr>
              <w:t>29.1</w:t>
            </w:r>
            <w:r>
              <w:rPr>
                <w:color w:val="auto"/>
                <w:sz w:val="24"/>
              </w:rPr>
              <w:t>mg/L</w:t>
            </w:r>
            <w:r>
              <w:rPr>
                <w:rFonts w:hint="eastAsia"/>
                <w:color w:val="auto"/>
                <w:sz w:val="24"/>
              </w:rPr>
              <w:t>，可以满足</w:t>
            </w:r>
            <w:r>
              <w:rPr>
                <w:color w:val="auto"/>
                <w:sz w:val="24"/>
              </w:rPr>
              <w:t>清丰中州水务有限公司第二污水处理厂</w:t>
            </w:r>
            <w:r>
              <w:rPr>
                <w:rFonts w:hint="eastAsia"/>
                <w:color w:val="auto"/>
                <w:sz w:val="24"/>
              </w:rPr>
              <w:t>进水水质要求。</w:t>
            </w:r>
          </w:p>
          <w:p w14:paraId="15BDE8A4">
            <w:pPr>
              <w:spacing w:line="360" w:lineRule="auto"/>
              <w:ind w:firstLine="480" w:firstLineChars="200"/>
              <w:rPr>
                <w:rFonts w:hint="eastAsia"/>
                <w:color w:val="auto"/>
                <w:sz w:val="24"/>
              </w:rPr>
            </w:pPr>
            <w:r>
              <w:rPr>
                <w:rFonts w:hint="eastAsia"/>
                <w:color w:val="auto"/>
                <w:sz w:val="24"/>
              </w:rPr>
              <w:t>（2）水量</w:t>
            </w:r>
          </w:p>
          <w:p w14:paraId="4C153969">
            <w:pPr>
              <w:snapToGrid w:val="0"/>
              <w:spacing w:line="360" w:lineRule="auto"/>
              <w:ind w:firstLine="480" w:firstLineChars="200"/>
              <w:rPr>
                <w:color w:val="auto"/>
                <w:sz w:val="24"/>
              </w:rPr>
            </w:pPr>
            <w:r>
              <w:rPr>
                <w:color w:val="auto"/>
                <w:sz w:val="24"/>
              </w:rPr>
              <w:t>目前清丰中州水务有限公司第二污水处理厂</w:t>
            </w:r>
            <w:r>
              <w:rPr>
                <w:rFonts w:hint="eastAsia"/>
                <w:color w:val="auto"/>
                <w:sz w:val="24"/>
                <w:lang w:val="en-US" w:eastAsia="zh-CN"/>
              </w:rPr>
              <w:t>日处理能力为2万</w:t>
            </w:r>
            <w:r>
              <w:rPr>
                <w:color w:val="auto"/>
                <w:sz w:val="24"/>
              </w:rPr>
              <w:t>m</w:t>
            </w:r>
            <w:r>
              <w:rPr>
                <w:color w:val="auto"/>
                <w:sz w:val="24"/>
                <w:vertAlign w:val="superscript"/>
              </w:rPr>
              <w:t>3</w:t>
            </w:r>
            <w:r>
              <w:rPr>
                <w:color w:val="auto"/>
                <w:sz w:val="24"/>
              </w:rPr>
              <w:t>∕d，</w:t>
            </w:r>
            <w:r>
              <w:rPr>
                <w:rFonts w:hint="eastAsia"/>
                <w:color w:val="auto"/>
                <w:sz w:val="24"/>
                <w:lang w:val="en-US" w:eastAsia="zh-CN"/>
              </w:rPr>
              <w:t>目前平均处理能力为1.8万</w:t>
            </w:r>
            <w:r>
              <w:rPr>
                <w:color w:val="auto"/>
                <w:sz w:val="24"/>
              </w:rPr>
              <w:t>m</w:t>
            </w:r>
            <w:r>
              <w:rPr>
                <w:color w:val="auto"/>
                <w:sz w:val="24"/>
                <w:vertAlign w:val="superscript"/>
              </w:rPr>
              <w:t>3</w:t>
            </w:r>
            <w:r>
              <w:rPr>
                <w:color w:val="auto"/>
                <w:sz w:val="24"/>
              </w:rPr>
              <w:t>∕d，</w:t>
            </w:r>
            <w:r>
              <w:rPr>
                <w:rFonts w:hint="default" w:ascii="Times New Roman" w:hAnsi="Times New Roman" w:cs="Times New Roman"/>
                <w:b w:val="0"/>
                <w:bCs w:val="0"/>
                <w:color w:val="auto"/>
                <w:sz w:val="24"/>
                <w:szCs w:val="24"/>
                <w:u w:val="none"/>
                <w:lang w:eastAsia="zh-CN"/>
              </w:rPr>
              <w:t>剩余</w:t>
            </w:r>
            <w:r>
              <w:rPr>
                <w:rFonts w:hint="default" w:ascii="Times New Roman" w:hAnsi="Times New Roman" w:cs="Times New Roman"/>
                <w:b w:val="0"/>
                <w:bCs w:val="0"/>
                <w:color w:val="auto"/>
                <w:sz w:val="24"/>
                <w:szCs w:val="24"/>
                <w:u w:val="none"/>
                <w:lang w:val="en-US" w:eastAsia="zh-CN"/>
              </w:rPr>
              <w:t>0.2</w:t>
            </w:r>
            <w:r>
              <w:rPr>
                <w:rFonts w:hint="default" w:ascii="Times New Roman" w:hAnsi="Times New Roman" w:cs="Times New Roman"/>
                <w:b w:val="0"/>
                <w:bCs w:val="0"/>
                <w:color w:val="auto"/>
                <w:sz w:val="24"/>
                <w:szCs w:val="24"/>
                <w:u w:val="none"/>
                <w:lang w:eastAsia="zh-CN"/>
              </w:rPr>
              <w:t>万m</w:t>
            </w:r>
            <w:r>
              <w:rPr>
                <w:rFonts w:hint="default" w:ascii="Times New Roman" w:hAnsi="Times New Roman" w:cs="Times New Roman"/>
                <w:b w:val="0"/>
                <w:bCs w:val="0"/>
                <w:color w:val="auto"/>
                <w:sz w:val="24"/>
                <w:szCs w:val="24"/>
                <w:u w:val="none"/>
                <w:vertAlign w:val="superscript"/>
                <w:lang w:eastAsia="zh-CN"/>
              </w:rPr>
              <w:t>3</w:t>
            </w:r>
            <w:r>
              <w:rPr>
                <w:rFonts w:hint="default" w:ascii="Times New Roman" w:hAnsi="Times New Roman" w:cs="Times New Roman"/>
                <w:b w:val="0"/>
                <w:bCs w:val="0"/>
                <w:color w:val="auto"/>
                <w:sz w:val="24"/>
                <w:szCs w:val="24"/>
                <w:u w:val="none"/>
                <w:lang w:eastAsia="zh-CN"/>
              </w:rPr>
              <w:t>∕d</w:t>
            </w:r>
            <w:r>
              <w:rPr>
                <w:color w:val="auto"/>
                <w:sz w:val="24"/>
              </w:rPr>
              <w:t>。本项目废水总排放量为</w:t>
            </w:r>
            <w:r>
              <w:rPr>
                <w:rFonts w:hint="eastAsia"/>
                <w:b/>
                <w:bCs/>
                <w:color w:val="auto"/>
                <w:sz w:val="24"/>
                <w:u w:val="single"/>
              </w:rPr>
              <w:t>2.94</w:t>
            </w:r>
            <w:r>
              <w:rPr>
                <w:rFonts w:hint="eastAsia"/>
                <w:b/>
                <w:bCs/>
                <w:color w:val="auto"/>
                <w:sz w:val="24"/>
                <w:u w:val="single"/>
                <w:lang w:val="en-US" w:eastAsia="zh-CN"/>
              </w:rPr>
              <w:t>12</w:t>
            </w:r>
            <w:r>
              <w:rPr>
                <w:color w:val="auto"/>
                <w:sz w:val="24"/>
              </w:rPr>
              <w:t>m</w:t>
            </w:r>
            <w:r>
              <w:rPr>
                <w:color w:val="auto"/>
                <w:sz w:val="24"/>
                <w:vertAlign w:val="superscript"/>
              </w:rPr>
              <w:t>3</w:t>
            </w:r>
            <w:r>
              <w:rPr>
                <w:color w:val="auto"/>
                <w:sz w:val="24"/>
              </w:rPr>
              <w:t>∕d，约占污水处理厂剩余日处理污水规模的</w:t>
            </w:r>
            <w:r>
              <w:rPr>
                <w:rFonts w:hint="eastAsia"/>
                <w:color w:val="auto"/>
                <w:sz w:val="24"/>
                <w:lang w:val="en-US" w:eastAsia="zh-CN"/>
              </w:rPr>
              <w:t>0.147</w:t>
            </w:r>
            <w:r>
              <w:rPr>
                <w:color w:val="auto"/>
                <w:sz w:val="24"/>
              </w:rPr>
              <w:t>%，</w:t>
            </w:r>
            <w:r>
              <w:rPr>
                <w:rFonts w:hint="eastAsia"/>
                <w:bCs/>
                <w:color w:val="auto"/>
                <w:sz w:val="24"/>
              </w:rPr>
              <w:t>占比较小，</w:t>
            </w:r>
            <w:r>
              <w:rPr>
                <w:color w:val="auto"/>
                <w:sz w:val="24"/>
              </w:rPr>
              <w:t>排放量</w:t>
            </w:r>
            <w:r>
              <w:rPr>
                <w:rFonts w:hint="eastAsia"/>
                <w:color w:val="auto"/>
                <w:sz w:val="24"/>
              </w:rPr>
              <w:t>不会</w:t>
            </w:r>
            <w:r>
              <w:rPr>
                <w:color w:val="auto"/>
                <w:sz w:val="24"/>
              </w:rPr>
              <w:t>对其</w:t>
            </w:r>
            <w:r>
              <w:rPr>
                <w:rFonts w:hint="eastAsia"/>
                <w:color w:val="auto"/>
                <w:sz w:val="24"/>
              </w:rPr>
              <w:t>产生</w:t>
            </w:r>
            <w:r>
              <w:rPr>
                <w:color w:val="auto"/>
                <w:sz w:val="24"/>
              </w:rPr>
              <w:t>冲击影响。</w:t>
            </w:r>
          </w:p>
          <w:p w14:paraId="76751D48">
            <w:pPr>
              <w:spacing w:line="360" w:lineRule="auto"/>
              <w:ind w:firstLine="480" w:firstLineChars="200"/>
              <w:rPr>
                <w:rFonts w:hint="eastAsia"/>
                <w:color w:val="auto"/>
                <w:sz w:val="24"/>
              </w:rPr>
            </w:pPr>
            <w:r>
              <w:rPr>
                <w:rFonts w:hint="eastAsia"/>
                <w:color w:val="auto"/>
                <w:sz w:val="24"/>
              </w:rPr>
              <w:t>（3）收水管网</w:t>
            </w:r>
          </w:p>
          <w:p w14:paraId="0E1B0454">
            <w:pPr>
              <w:spacing w:line="360" w:lineRule="auto"/>
              <w:ind w:firstLine="480" w:firstLineChars="200"/>
              <w:rPr>
                <w:color w:val="auto"/>
                <w:sz w:val="24"/>
              </w:rPr>
            </w:pPr>
            <w:r>
              <w:rPr>
                <w:color w:val="auto"/>
                <w:sz w:val="24"/>
              </w:rPr>
              <w:t>清丰中州水务有限公司第二污水处理厂位于清丰县金水路与106国道交叉口西北角，主要收集清丰县城东部地区和</w:t>
            </w:r>
            <w:r>
              <w:rPr>
                <w:rFonts w:hint="eastAsia"/>
                <w:color w:val="auto"/>
                <w:sz w:val="24"/>
              </w:rPr>
              <w:t>清丰县先进制造业开发区</w:t>
            </w:r>
            <w:r>
              <w:rPr>
                <w:color w:val="auto"/>
                <w:sz w:val="24"/>
              </w:rPr>
              <w:t>的生活污水和工业废水，</w:t>
            </w:r>
            <w:r>
              <w:rPr>
                <w:rFonts w:hint="eastAsia"/>
                <w:color w:val="auto"/>
                <w:sz w:val="24"/>
              </w:rPr>
              <w:t>本项目在其收水范围内。</w:t>
            </w:r>
          </w:p>
          <w:p w14:paraId="3C24783F">
            <w:pPr>
              <w:keepNext w:val="0"/>
              <w:keepLines w:val="0"/>
              <w:pageBreakBefore w:val="0"/>
              <w:widowControl w:val="0"/>
              <w:kinsoku/>
              <w:wordWrap/>
              <w:overflowPunct/>
              <w:topLinePunct w:val="0"/>
              <w:bidi w:val="0"/>
              <w:spacing w:line="360" w:lineRule="auto"/>
              <w:ind w:firstLine="480" w:firstLineChars="200"/>
              <w:jc w:val="left"/>
              <w:textAlignment w:val="auto"/>
              <w:rPr>
                <w:rFonts w:hint="eastAsia"/>
                <w:color w:val="auto"/>
                <w:sz w:val="24"/>
              </w:rPr>
            </w:pPr>
            <w:r>
              <w:rPr>
                <w:color w:val="auto"/>
                <w:sz w:val="24"/>
              </w:rPr>
              <w:t>综上分析，本项目废水</w:t>
            </w:r>
            <w:r>
              <w:rPr>
                <w:rFonts w:hint="eastAsia"/>
                <w:color w:val="auto"/>
                <w:sz w:val="24"/>
              </w:rPr>
              <w:t>排入</w:t>
            </w:r>
            <w:r>
              <w:rPr>
                <w:color w:val="auto"/>
                <w:sz w:val="24"/>
              </w:rPr>
              <w:t>清丰中州水务有限公司第二污水处理厂</w:t>
            </w:r>
            <w:r>
              <w:rPr>
                <w:rFonts w:hint="eastAsia"/>
                <w:color w:val="auto"/>
                <w:sz w:val="24"/>
              </w:rPr>
              <w:t>可行</w:t>
            </w:r>
            <w:r>
              <w:rPr>
                <w:color w:val="auto"/>
                <w:sz w:val="24"/>
              </w:rPr>
              <w:t>。</w:t>
            </w:r>
          </w:p>
          <w:p w14:paraId="02645514">
            <w:pPr>
              <w:pStyle w:val="32"/>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outlineLvl w:val="9"/>
              <w:rPr>
                <w:color w:val="auto"/>
              </w:rPr>
            </w:pPr>
            <w:r>
              <w:rPr>
                <w:rStyle w:val="31"/>
                <w:rFonts w:hint="eastAsia" w:ascii="Times New Roman" w:hAnsi="Times New Roman" w:eastAsia="宋体" w:cs="Times New Roman"/>
                <w:b w:val="0"/>
                <w:color w:val="auto"/>
                <w:kern w:val="0"/>
                <w:sz w:val="24"/>
                <w:szCs w:val="24"/>
                <w:lang w:val="en-US" w:eastAsia="zh-CN"/>
              </w:rPr>
              <w:t>根据《</w:t>
            </w:r>
            <w:r>
              <w:rPr>
                <w:rStyle w:val="31"/>
                <w:rFonts w:hint="default" w:ascii="Times New Roman" w:hAnsi="Times New Roman" w:eastAsia="宋体" w:cs="Times New Roman"/>
                <w:b w:val="0"/>
                <w:color w:val="auto"/>
                <w:kern w:val="0"/>
                <w:sz w:val="24"/>
                <w:szCs w:val="24"/>
              </w:rPr>
              <w:t>排污许可证申请与核发技术规范</w:t>
            </w:r>
            <w:r>
              <w:rPr>
                <w:rStyle w:val="31"/>
                <w:rFonts w:hint="eastAsia" w:ascii="Times New Roman" w:hAnsi="Times New Roman" w:eastAsia="宋体" w:cs="Times New Roman"/>
                <w:b w:val="0"/>
                <w:color w:val="auto"/>
                <w:kern w:val="0"/>
                <w:sz w:val="24"/>
                <w:szCs w:val="24"/>
                <w:lang w:val="en-US" w:eastAsia="zh-CN"/>
              </w:rPr>
              <w:t xml:space="preserve">  </w:t>
            </w:r>
            <w:r>
              <w:rPr>
                <w:rStyle w:val="31"/>
                <w:rFonts w:hint="default" w:ascii="Times New Roman" w:hAnsi="Times New Roman" w:eastAsia="宋体" w:cs="Times New Roman"/>
                <w:b w:val="0"/>
                <w:color w:val="auto"/>
                <w:kern w:val="0"/>
                <w:sz w:val="24"/>
                <w:szCs w:val="24"/>
              </w:rPr>
              <w:t>家具制造工业</w:t>
            </w:r>
            <w:r>
              <w:rPr>
                <w:rStyle w:val="31"/>
                <w:rFonts w:hint="eastAsia" w:ascii="Times New Roman" w:hAnsi="Times New Roman" w:eastAsia="宋体" w:cs="Times New Roman"/>
                <w:b w:val="0"/>
                <w:color w:val="auto"/>
                <w:kern w:val="0"/>
                <w:sz w:val="24"/>
                <w:szCs w:val="24"/>
                <w:lang w:val="en-US" w:eastAsia="zh-CN"/>
              </w:rPr>
              <w:t>》（HJ1027-2019）、《排污单位自行监测技术指南 涂装》(HJ 1086—2020)，家具行业生活污水单独排放口间接排放时自行监测未做要求，因此本次评价不对废水做监测计划要求。</w:t>
            </w:r>
          </w:p>
          <w:p w14:paraId="446A83A8">
            <w:pPr>
              <w:spacing w:line="360" w:lineRule="auto"/>
              <w:rPr>
                <w:b/>
                <w:bCs/>
                <w:color w:val="auto"/>
                <w:sz w:val="24"/>
              </w:rPr>
            </w:pPr>
            <w:r>
              <w:rPr>
                <w:b/>
                <w:bCs/>
                <w:color w:val="auto"/>
                <w:sz w:val="24"/>
              </w:rPr>
              <w:t>3、声环境影响分析</w:t>
            </w:r>
          </w:p>
          <w:p w14:paraId="53F85944">
            <w:pPr>
              <w:spacing w:line="360" w:lineRule="auto"/>
              <w:rPr>
                <w:b/>
                <w:bCs/>
                <w:color w:val="auto"/>
                <w:sz w:val="24"/>
              </w:rPr>
            </w:pPr>
            <w:r>
              <w:rPr>
                <w:b/>
                <w:bCs/>
                <w:color w:val="auto"/>
                <w:sz w:val="24"/>
              </w:rPr>
              <w:t>3.1噪声源强及降噪措施</w:t>
            </w:r>
          </w:p>
          <w:p w14:paraId="27441E88">
            <w:pPr>
              <w:spacing w:line="360" w:lineRule="auto"/>
              <w:ind w:firstLine="480" w:firstLineChars="200"/>
              <w:rPr>
                <w:rFonts w:hint="eastAsia"/>
                <w:color w:val="auto"/>
                <w:sz w:val="24"/>
              </w:rPr>
            </w:pPr>
            <w:r>
              <w:rPr>
                <w:color w:val="auto"/>
                <w:kern w:val="0"/>
                <w:sz w:val="24"/>
              </w:rPr>
              <w:t>本项目噪声源主要</w:t>
            </w:r>
            <w:r>
              <w:rPr>
                <w:rFonts w:hint="eastAsia"/>
                <w:color w:val="auto"/>
                <w:kern w:val="0"/>
                <w:sz w:val="24"/>
              </w:rPr>
              <w:t>为生产设备</w:t>
            </w:r>
            <w:r>
              <w:rPr>
                <w:color w:val="auto"/>
                <w:sz w:val="24"/>
              </w:rPr>
              <w:t>运行时产生的噪声</w:t>
            </w:r>
            <w:r>
              <w:rPr>
                <w:rFonts w:hint="eastAsia"/>
                <w:color w:val="auto"/>
                <w:sz w:val="24"/>
              </w:rPr>
              <w:t>，</w:t>
            </w:r>
            <w:r>
              <w:rPr>
                <w:color w:val="auto"/>
                <w:sz w:val="24"/>
              </w:rPr>
              <w:t>噪声级为</w:t>
            </w:r>
            <w:r>
              <w:rPr>
                <w:rFonts w:hint="eastAsia"/>
                <w:color w:val="auto"/>
                <w:sz w:val="24"/>
              </w:rPr>
              <w:t>75</w:t>
            </w:r>
            <w:r>
              <w:rPr>
                <w:color w:val="auto"/>
                <w:sz w:val="24"/>
              </w:rPr>
              <w:t>~</w:t>
            </w:r>
            <w:r>
              <w:rPr>
                <w:rFonts w:hint="eastAsia"/>
                <w:color w:val="auto"/>
                <w:sz w:val="24"/>
              </w:rPr>
              <w:t>8</w:t>
            </w:r>
            <w:r>
              <w:rPr>
                <w:rFonts w:hint="eastAsia"/>
                <w:color w:val="auto"/>
                <w:sz w:val="24"/>
                <w:lang w:val="en-US" w:eastAsia="zh-CN"/>
              </w:rPr>
              <w:t>0</w:t>
            </w:r>
            <w:r>
              <w:rPr>
                <w:color w:val="auto"/>
                <w:sz w:val="24"/>
              </w:rPr>
              <w:t>dB（A）。项目主要设备噪声源强详见下表</w:t>
            </w:r>
            <w:r>
              <w:rPr>
                <w:rFonts w:hint="eastAsia"/>
                <w:color w:val="auto"/>
                <w:sz w:val="24"/>
              </w:rPr>
              <w:t>。</w:t>
            </w:r>
          </w:p>
          <w:p w14:paraId="43114537">
            <w:pPr>
              <w:pStyle w:val="2"/>
              <w:ind w:left="0" w:firstLine="0"/>
              <w:rPr>
                <w:rFonts w:hint="eastAsia"/>
                <w:color w:val="auto"/>
              </w:rPr>
            </w:pPr>
          </w:p>
        </w:tc>
      </w:tr>
    </w:tbl>
    <w:p w14:paraId="1BD3D344">
      <w:pPr>
        <w:pStyle w:val="21"/>
        <w:jc w:val="both"/>
        <w:outlineLvl w:val="0"/>
        <w:rPr>
          <w:rFonts w:hint="eastAsia" w:ascii="黑体" w:hAnsi="黑体" w:eastAsia="黑体"/>
          <w:snapToGrid w:val="0"/>
          <w:color w:val="auto"/>
          <w:sz w:val="30"/>
          <w:szCs w:val="30"/>
        </w:rPr>
        <w:sectPr>
          <w:pgSz w:w="11905" w:h="16838"/>
          <w:pgMar w:top="1417" w:right="1417" w:bottom="1417" w:left="1417" w:header="851" w:footer="1077" w:gutter="0"/>
          <w:pgNumType w:fmt="decimal"/>
          <w:cols w:space="720" w:num="1"/>
          <w:docGrid w:linePitch="312" w:charSpace="0"/>
        </w:sectPr>
      </w:pPr>
      <w:bookmarkStart w:id="103" w:name="_Toc13679"/>
      <w:bookmarkStart w:id="104" w:name="_Toc9798"/>
    </w:p>
    <w:tbl>
      <w:tblPr>
        <w:tblStyle w:val="25"/>
        <w:tblW w:w="14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5"/>
        <w:gridCol w:w="13722"/>
      </w:tblGrid>
      <w:tr w14:paraId="46CDD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dxa"/>
            <w:vAlign w:val="center"/>
          </w:tcPr>
          <w:p w14:paraId="41E7A465">
            <w:pPr>
              <w:keepNext w:val="0"/>
              <w:keepLines w:val="0"/>
              <w:pageBreakBefore w:val="0"/>
              <w:kinsoku/>
              <w:wordWrap/>
              <w:overflowPunct/>
              <w:topLinePunct w:val="0"/>
              <w:autoSpaceDE/>
              <w:autoSpaceDN/>
              <w:bidi w:val="0"/>
              <w:adjustRightInd w:val="0"/>
              <w:snapToGrid w:val="0"/>
              <w:spacing w:beforeAutospacing="0" w:afterAutospacing="0"/>
              <w:jc w:val="center"/>
              <w:textAlignment w:val="auto"/>
              <w:rPr>
                <w:b/>
                <w:color w:val="auto"/>
                <w:sz w:val="24"/>
              </w:rPr>
            </w:pPr>
            <w:r>
              <w:rPr>
                <w:b/>
                <w:color w:val="auto"/>
                <w:sz w:val="24"/>
              </w:rPr>
              <w:t>运营</w:t>
            </w:r>
          </w:p>
          <w:p w14:paraId="440B00F2">
            <w:pPr>
              <w:keepNext w:val="0"/>
              <w:keepLines w:val="0"/>
              <w:pageBreakBefore w:val="0"/>
              <w:kinsoku/>
              <w:wordWrap/>
              <w:overflowPunct/>
              <w:topLinePunct w:val="0"/>
              <w:autoSpaceDE/>
              <w:autoSpaceDN/>
              <w:bidi w:val="0"/>
              <w:adjustRightInd w:val="0"/>
              <w:snapToGrid w:val="0"/>
              <w:spacing w:beforeAutospacing="0" w:afterAutospacing="0"/>
              <w:jc w:val="center"/>
              <w:textAlignment w:val="auto"/>
              <w:rPr>
                <w:b/>
                <w:color w:val="auto"/>
                <w:sz w:val="24"/>
              </w:rPr>
            </w:pPr>
            <w:r>
              <w:rPr>
                <w:b/>
                <w:color w:val="auto"/>
                <w:sz w:val="24"/>
              </w:rPr>
              <w:t>期环</w:t>
            </w:r>
          </w:p>
          <w:p w14:paraId="1774210E">
            <w:pPr>
              <w:keepNext w:val="0"/>
              <w:keepLines w:val="0"/>
              <w:pageBreakBefore w:val="0"/>
              <w:kinsoku/>
              <w:wordWrap/>
              <w:overflowPunct/>
              <w:topLinePunct w:val="0"/>
              <w:autoSpaceDE/>
              <w:autoSpaceDN/>
              <w:bidi w:val="0"/>
              <w:adjustRightInd w:val="0"/>
              <w:snapToGrid w:val="0"/>
              <w:spacing w:beforeAutospacing="0" w:afterAutospacing="0"/>
              <w:jc w:val="center"/>
              <w:textAlignment w:val="auto"/>
              <w:rPr>
                <w:b/>
                <w:color w:val="auto"/>
                <w:sz w:val="24"/>
              </w:rPr>
            </w:pPr>
            <w:r>
              <w:rPr>
                <w:b/>
                <w:color w:val="auto"/>
                <w:sz w:val="24"/>
              </w:rPr>
              <w:t>境影</w:t>
            </w:r>
          </w:p>
          <w:p w14:paraId="36EE5F1F">
            <w:pPr>
              <w:keepNext w:val="0"/>
              <w:keepLines w:val="0"/>
              <w:pageBreakBefore w:val="0"/>
              <w:kinsoku/>
              <w:wordWrap/>
              <w:overflowPunct/>
              <w:topLinePunct w:val="0"/>
              <w:autoSpaceDE/>
              <w:autoSpaceDN/>
              <w:bidi w:val="0"/>
              <w:adjustRightInd w:val="0"/>
              <w:snapToGrid w:val="0"/>
              <w:spacing w:beforeAutospacing="0" w:afterAutospacing="0"/>
              <w:jc w:val="center"/>
              <w:textAlignment w:val="auto"/>
              <w:rPr>
                <w:b/>
                <w:color w:val="auto"/>
                <w:sz w:val="24"/>
              </w:rPr>
            </w:pPr>
            <w:r>
              <w:rPr>
                <w:b/>
                <w:color w:val="auto"/>
                <w:sz w:val="24"/>
              </w:rPr>
              <w:t>响和</w:t>
            </w:r>
          </w:p>
          <w:p w14:paraId="3E3DAC86">
            <w:pPr>
              <w:keepNext w:val="0"/>
              <w:keepLines w:val="0"/>
              <w:pageBreakBefore w:val="0"/>
              <w:kinsoku/>
              <w:wordWrap/>
              <w:overflowPunct/>
              <w:topLinePunct w:val="0"/>
              <w:autoSpaceDE/>
              <w:autoSpaceDN/>
              <w:bidi w:val="0"/>
              <w:adjustRightInd w:val="0"/>
              <w:snapToGrid w:val="0"/>
              <w:spacing w:beforeAutospacing="0" w:afterAutospacing="0"/>
              <w:jc w:val="center"/>
              <w:textAlignment w:val="auto"/>
              <w:rPr>
                <w:b/>
                <w:color w:val="auto"/>
                <w:sz w:val="24"/>
              </w:rPr>
            </w:pPr>
            <w:r>
              <w:rPr>
                <w:b/>
                <w:color w:val="auto"/>
                <w:sz w:val="24"/>
              </w:rPr>
              <w:t>保护</w:t>
            </w:r>
          </w:p>
          <w:p w14:paraId="4294E9B8">
            <w:pPr>
              <w:pStyle w:val="21"/>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eastAsia" w:ascii="黑体" w:hAnsi="黑体" w:eastAsia="黑体"/>
                <w:snapToGrid w:val="0"/>
                <w:color w:val="auto"/>
                <w:sz w:val="30"/>
                <w:szCs w:val="30"/>
              </w:rPr>
            </w:pPr>
            <w:r>
              <w:rPr>
                <w:b/>
                <w:color w:val="auto"/>
                <w:sz w:val="24"/>
              </w:rPr>
              <w:t>措施</w:t>
            </w:r>
          </w:p>
        </w:tc>
        <w:tc>
          <w:tcPr>
            <w:tcW w:w="13722" w:type="dxa"/>
            <w:vAlign w:val="top"/>
          </w:tcPr>
          <w:p w14:paraId="5C874393">
            <w:pPr>
              <w:pStyle w:val="46"/>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eastAsia" w:ascii="Times New Roman" w:hAnsi="Arial Unicode MS" w:eastAsia="宋体" w:cs="Times New Roman"/>
                <w:b/>
                <w:color w:val="auto"/>
                <w:kern w:val="2"/>
                <w:sz w:val="24"/>
                <w:szCs w:val="24"/>
                <w:lang w:val="en-US" w:eastAsia="zh-CN" w:bidi="ar-SA"/>
              </w:rPr>
            </w:pPr>
            <w:r>
              <w:rPr>
                <w:rFonts w:hint="eastAsia" w:ascii="Times New Roman" w:hAnsi="Arial Unicode MS" w:eastAsia="宋体" w:cs="Times New Roman"/>
                <w:b/>
                <w:color w:val="auto"/>
                <w:kern w:val="2"/>
                <w:sz w:val="24"/>
                <w:szCs w:val="24"/>
                <w:lang w:val="en-US" w:eastAsia="zh-CN" w:bidi="ar-SA"/>
              </w:rPr>
              <w:t>本项目噪声源强调查表（室内）</w:t>
            </w:r>
          </w:p>
          <w:tbl>
            <w:tblPr>
              <w:tblStyle w:val="25"/>
              <w:tblW w:w="13493"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4"/>
              <w:gridCol w:w="786"/>
              <w:gridCol w:w="1383"/>
              <w:gridCol w:w="1494"/>
              <w:gridCol w:w="1081"/>
              <w:gridCol w:w="768"/>
              <w:gridCol w:w="617"/>
              <w:gridCol w:w="617"/>
              <w:gridCol w:w="623"/>
              <w:gridCol w:w="1171"/>
              <w:gridCol w:w="782"/>
              <w:gridCol w:w="741"/>
              <w:gridCol w:w="893"/>
              <w:gridCol w:w="693"/>
              <w:gridCol w:w="1260"/>
            </w:tblGrid>
            <w:tr w14:paraId="690EC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vMerge w:val="restart"/>
                  <w:vAlign w:val="center"/>
                </w:tcPr>
                <w:p w14:paraId="53E941CE">
                  <w:pPr>
                    <w:snapToGrid w:val="0"/>
                    <w:jc w:val="center"/>
                    <w:rPr>
                      <w:color w:val="auto"/>
                      <w:szCs w:val="21"/>
                    </w:rPr>
                  </w:pPr>
                  <w:r>
                    <w:rPr>
                      <w:color w:val="auto"/>
                      <w:szCs w:val="21"/>
                    </w:rPr>
                    <w:t>序号</w:t>
                  </w:r>
                </w:p>
              </w:tc>
              <w:tc>
                <w:tcPr>
                  <w:tcW w:w="786" w:type="dxa"/>
                  <w:vMerge w:val="restart"/>
                  <w:vAlign w:val="center"/>
                </w:tcPr>
                <w:p w14:paraId="0F2171CB">
                  <w:pPr>
                    <w:snapToGrid w:val="0"/>
                    <w:jc w:val="center"/>
                    <w:rPr>
                      <w:color w:val="auto"/>
                      <w:szCs w:val="21"/>
                    </w:rPr>
                  </w:pPr>
                  <w:r>
                    <w:rPr>
                      <w:color w:val="auto"/>
                      <w:szCs w:val="21"/>
                    </w:rPr>
                    <w:t>建筑物名称</w:t>
                  </w:r>
                </w:p>
              </w:tc>
              <w:tc>
                <w:tcPr>
                  <w:tcW w:w="1383" w:type="dxa"/>
                  <w:vMerge w:val="restart"/>
                  <w:vAlign w:val="center"/>
                </w:tcPr>
                <w:p w14:paraId="65336677">
                  <w:pPr>
                    <w:snapToGrid w:val="0"/>
                    <w:jc w:val="center"/>
                    <w:rPr>
                      <w:color w:val="auto"/>
                      <w:szCs w:val="21"/>
                    </w:rPr>
                  </w:pPr>
                  <w:r>
                    <w:rPr>
                      <w:color w:val="auto"/>
                      <w:szCs w:val="21"/>
                    </w:rPr>
                    <w:t>声源名称</w:t>
                  </w:r>
                </w:p>
              </w:tc>
              <w:tc>
                <w:tcPr>
                  <w:tcW w:w="1494" w:type="dxa"/>
                  <w:vMerge w:val="restart"/>
                  <w:vAlign w:val="center"/>
                </w:tcPr>
                <w:p w14:paraId="1B4DBE9B">
                  <w:pPr>
                    <w:snapToGrid w:val="0"/>
                    <w:jc w:val="center"/>
                    <w:rPr>
                      <w:color w:val="auto"/>
                      <w:szCs w:val="21"/>
                    </w:rPr>
                  </w:pPr>
                  <w:r>
                    <w:rPr>
                      <w:color w:val="auto"/>
                      <w:szCs w:val="21"/>
                    </w:rPr>
                    <w:t>型号</w:t>
                  </w:r>
                </w:p>
              </w:tc>
              <w:tc>
                <w:tcPr>
                  <w:tcW w:w="1081" w:type="dxa"/>
                  <w:vAlign w:val="center"/>
                </w:tcPr>
                <w:p w14:paraId="7F437490">
                  <w:pPr>
                    <w:snapToGrid w:val="0"/>
                    <w:jc w:val="center"/>
                    <w:rPr>
                      <w:color w:val="auto"/>
                      <w:szCs w:val="21"/>
                    </w:rPr>
                  </w:pPr>
                  <w:r>
                    <w:rPr>
                      <w:color w:val="auto"/>
                      <w:szCs w:val="21"/>
                    </w:rPr>
                    <w:t>声源源强</w:t>
                  </w:r>
                </w:p>
              </w:tc>
              <w:tc>
                <w:tcPr>
                  <w:tcW w:w="768" w:type="dxa"/>
                  <w:vMerge w:val="restart"/>
                  <w:vAlign w:val="center"/>
                </w:tcPr>
                <w:p w14:paraId="30787365">
                  <w:pPr>
                    <w:snapToGrid w:val="0"/>
                    <w:jc w:val="center"/>
                    <w:rPr>
                      <w:color w:val="auto"/>
                      <w:szCs w:val="21"/>
                    </w:rPr>
                  </w:pPr>
                  <w:r>
                    <w:rPr>
                      <w:color w:val="auto"/>
                      <w:szCs w:val="21"/>
                    </w:rPr>
                    <w:t>声源控制措施</w:t>
                  </w:r>
                </w:p>
              </w:tc>
              <w:tc>
                <w:tcPr>
                  <w:tcW w:w="1857" w:type="dxa"/>
                  <w:gridSpan w:val="3"/>
                  <w:vAlign w:val="center"/>
                </w:tcPr>
                <w:p w14:paraId="4D5E7D0C">
                  <w:pPr>
                    <w:snapToGrid w:val="0"/>
                    <w:jc w:val="center"/>
                    <w:rPr>
                      <w:b/>
                      <w:bCs/>
                      <w:color w:val="auto"/>
                      <w:szCs w:val="21"/>
                    </w:rPr>
                  </w:pPr>
                  <w:r>
                    <w:rPr>
                      <w:color w:val="auto"/>
                      <w:szCs w:val="21"/>
                    </w:rPr>
                    <w:t>空间相对位置</w:t>
                  </w:r>
                </w:p>
              </w:tc>
              <w:tc>
                <w:tcPr>
                  <w:tcW w:w="1171" w:type="dxa"/>
                  <w:vMerge w:val="restart"/>
                  <w:vAlign w:val="center"/>
                </w:tcPr>
                <w:p w14:paraId="0F6C8E5A">
                  <w:pPr>
                    <w:snapToGrid w:val="0"/>
                    <w:jc w:val="center"/>
                    <w:rPr>
                      <w:color w:val="auto"/>
                      <w:szCs w:val="21"/>
                    </w:rPr>
                  </w:pPr>
                  <w:r>
                    <w:rPr>
                      <w:color w:val="auto"/>
                      <w:szCs w:val="21"/>
                    </w:rPr>
                    <w:t>距室内边界距离（m）</w:t>
                  </w:r>
                </w:p>
              </w:tc>
              <w:tc>
                <w:tcPr>
                  <w:tcW w:w="782" w:type="dxa"/>
                  <w:vMerge w:val="restart"/>
                  <w:vAlign w:val="center"/>
                </w:tcPr>
                <w:p w14:paraId="0D1C1817">
                  <w:pPr>
                    <w:snapToGrid w:val="0"/>
                    <w:jc w:val="center"/>
                    <w:rPr>
                      <w:color w:val="auto"/>
                      <w:szCs w:val="21"/>
                    </w:rPr>
                  </w:pPr>
                  <w:r>
                    <w:rPr>
                      <w:color w:val="auto"/>
                      <w:szCs w:val="21"/>
                    </w:rPr>
                    <w:t>室内边界声级</w:t>
                  </w:r>
                </w:p>
              </w:tc>
              <w:tc>
                <w:tcPr>
                  <w:tcW w:w="741" w:type="dxa"/>
                  <w:vMerge w:val="restart"/>
                  <w:vAlign w:val="center"/>
                </w:tcPr>
                <w:p w14:paraId="39967EE3">
                  <w:pPr>
                    <w:snapToGrid w:val="0"/>
                    <w:jc w:val="center"/>
                    <w:rPr>
                      <w:color w:val="auto"/>
                      <w:szCs w:val="21"/>
                    </w:rPr>
                  </w:pPr>
                  <w:r>
                    <w:rPr>
                      <w:color w:val="auto"/>
                      <w:szCs w:val="21"/>
                    </w:rPr>
                    <w:t>运行时段（h）</w:t>
                  </w:r>
                </w:p>
              </w:tc>
              <w:tc>
                <w:tcPr>
                  <w:tcW w:w="893" w:type="dxa"/>
                  <w:vMerge w:val="restart"/>
                  <w:vAlign w:val="center"/>
                </w:tcPr>
                <w:p w14:paraId="60FB75DC">
                  <w:pPr>
                    <w:snapToGrid w:val="0"/>
                    <w:jc w:val="center"/>
                    <w:rPr>
                      <w:color w:val="auto"/>
                      <w:szCs w:val="21"/>
                    </w:rPr>
                  </w:pPr>
                  <w:r>
                    <w:rPr>
                      <w:color w:val="auto"/>
                      <w:szCs w:val="21"/>
                    </w:rPr>
                    <w:t>建筑物插入损失</w:t>
                  </w:r>
                </w:p>
              </w:tc>
              <w:tc>
                <w:tcPr>
                  <w:tcW w:w="1953" w:type="dxa"/>
                  <w:gridSpan w:val="2"/>
                  <w:vAlign w:val="center"/>
                </w:tcPr>
                <w:p w14:paraId="49DB1FC3">
                  <w:pPr>
                    <w:snapToGrid w:val="0"/>
                    <w:jc w:val="center"/>
                    <w:rPr>
                      <w:color w:val="auto"/>
                      <w:szCs w:val="21"/>
                    </w:rPr>
                  </w:pPr>
                  <w:r>
                    <w:rPr>
                      <w:color w:val="auto"/>
                      <w:szCs w:val="21"/>
                    </w:rPr>
                    <w:t>建筑物外距离</w:t>
                  </w:r>
                </w:p>
              </w:tc>
            </w:tr>
            <w:tr w14:paraId="3DB05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vMerge w:val="continue"/>
                  <w:vAlign w:val="center"/>
                </w:tcPr>
                <w:p w14:paraId="6E8FBFEF">
                  <w:pPr>
                    <w:snapToGrid w:val="0"/>
                    <w:jc w:val="center"/>
                    <w:rPr>
                      <w:b/>
                      <w:bCs/>
                      <w:color w:val="auto"/>
                      <w:szCs w:val="21"/>
                    </w:rPr>
                  </w:pPr>
                </w:p>
              </w:tc>
              <w:tc>
                <w:tcPr>
                  <w:tcW w:w="786" w:type="dxa"/>
                  <w:vMerge w:val="continue"/>
                  <w:vAlign w:val="center"/>
                </w:tcPr>
                <w:p w14:paraId="22750856">
                  <w:pPr>
                    <w:snapToGrid w:val="0"/>
                    <w:jc w:val="center"/>
                    <w:rPr>
                      <w:b/>
                      <w:bCs/>
                      <w:color w:val="auto"/>
                      <w:szCs w:val="21"/>
                    </w:rPr>
                  </w:pPr>
                </w:p>
              </w:tc>
              <w:tc>
                <w:tcPr>
                  <w:tcW w:w="1383" w:type="dxa"/>
                  <w:vMerge w:val="continue"/>
                  <w:vAlign w:val="center"/>
                </w:tcPr>
                <w:p w14:paraId="5CD64E9B">
                  <w:pPr>
                    <w:snapToGrid w:val="0"/>
                    <w:jc w:val="center"/>
                    <w:rPr>
                      <w:b/>
                      <w:bCs/>
                      <w:color w:val="auto"/>
                      <w:szCs w:val="21"/>
                    </w:rPr>
                  </w:pPr>
                </w:p>
              </w:tc>
              <w:tc>
                <w:tcPr>
                  <w:tcW w:w="1494" w:type="dxa"/>
                  <w:vMerge w:val="continue"/>
                  <w:vAlign w:val="center"/>
                </w:tcPr>
                <w:p w14:paraId="4EA5EBE5">
                  <w:pPr>
                    <w:snapToGrid w:val="0"/>
                    <w:jc w:val="center"/>
                    <w:rPr>
                      <w:b/>
                      <w:bCs/>
                      <w:color w:val="auto"/>
                      <w:szCs w:val="21"/>
                    </w:rPr>
                  </w:pPr>
                </w:p>
              </w:tc>
              <w:tc>
                <w:tcPr>
                  <w:tcW w:w="1081" w:type="dxa"/>
                  <w:vAlign w:val="center"/>
                </w:tcPr>
                <w:p w14:paraId="79D66993">
                  <w:pPr>
                    <w:snapToGrid w:val="0"/>
                    <w:jc w:val="center"/>
                    <w:rPr>
                      <w:b/>
                      <w:bCs/>
                      <w:color w:val="auto"/>
                      <w:szCs w:val="21"/>
                    </w:rPr>
                  </w:pPr>
                  <w:r>
                    <w:rPr>
                      <w:rFonts w:eastAsia="sans-serif"/>
                      <w:color w:val="auto"/>
                      <w:szCs w:val="21"/>
                    </w:rPr>
                    <w:t>声功率</w:t>
                  </w:r>
                  <w:r>
                    <w:rPr>
                      <w:color w:val="auto"/>
                      <w:szCs w:val="21"/>
                    </w:rPr>
                    <w:br w:type="textWrapping"/>
                  </w:r>
                  <w:r>
                    <w:rPr>
                      <w:rFonts w:eastAsia="sans-serif"/>
                      <w:color w:val="auto"/>
                      <w:szCs w:val="21"/>
                    </w:rPr>
                    <w:t>级/dB(A</w:t>
                  </w:r>
                  <w:r>
                    <w:rPr>
                      <w:color w:val="auto"/>
                      <w:szCs w:val="21"/>
                    </w:rPr>
                    <w:t>）</w:t>
                  </w:r>
                </w:p>
              </w:tc>
              <w:tc>
                <w:tcPr>
                  <w:tcW w:w="768" w:type="dxa"/>
                  <w:vMerge w:val="continue"/>
                  <w:vAlign w:val="center"/>
                </w:tcPr>
                <w:p w14:paraId="1A7FE505">
                  <w:pPr>
                    <w:snapToGrid w:val="0"/>
                    <w:jc w:val="center"/>
                    <w:rPr>
                      <w:b/>
                      <w:bCs/>
                      <w:color w:val="auto"/>
                      <w:szCs w:val="21"/>
                    </w:rPr>
                  </w:pPr>
                </w:p>
              </w:tc>
              <w:tc>
                <w:tcPr>
                  <w:tcW w:w="617" w:type="dxa"/>
                  <w:vAlign w:val="center"/>
                </w:tcPr>
                <w:p w14:paraId="7662F421">
                  <w:pPr>
                    <w:snapToGrid w:val="0"/>
                    <w:jc w:val="center"/>
                    <w:rPr>
                      <w:rFonts w:hint="eastAsia"/>
                      <w:b/>
                      <w:bCs/>
                      <w:color w:val="auto"/>
                      <w:szCs w:val="21"/>
                    </w:rPr>
                  </w:pPr>
                  <w:r>
                    <w:rPr>
                      <w:rFonts w:hint="eastAsia"/>
                      <w:color w:val="auto"/>
                      <w:sz w:val="22"/>
                      <w:szCs w:val="22"/>
                    </w:rPr>
                    <w:t>X</w:t>
                  </w:r>
                </w:p>
              </w:tc>
              <w:tc>
                <w:tcPr>
                  <w:tcW w:w="617" w:type="dxa"/>
                  <w:vAlign w:val="center"/>
                </w:tcPr>
                <w:p w14:paraId="7DDB347B">
                  <w:pPr>
                    <w:snapToGrid w:val="0"/>
                    <w:jc w:val="center"/>
                    <w:rPr>
                      <w:rFonts w:hint="eastAsia"/>
                      <w:b/>
                      <w:bCs/>
                      <w:color w:val="auto"/>
                      <w:szCs w:val="21"/>
                    </w:rPr>
                  </w:pPr>
                  <w:r>
                    <w:rPr>
                      <w:rFonts w:hint="eastAsia"/>
                      <w:color w:val="auto"/>
                      <w:sz w:val="22"/>
                      <w:szCs w:val="22"/>
                    </w:rPr>
                    <w:t>Y</w:t>
                  </w:r>
                </w:p>
              </w:tc>
              <w:tc>
                <w:tcPr>
                  <w:tcW w:w="623" w:type="dxa"/>
                  <w:vAlign w:val="center"/>
                </w:tcPr>
                <w:p w14:paraId="16E6B539">
                  <w:pPr>
                    <w:snapToGrid w:val="0"/>
                    <w:jc w:val="center"/>
                    <w:rPr>
                      <w:b/>
                      <w:bCs/>
                      <w:color w:val="auto"/>
                      <w:szCs w:val="21"/>
                    </w:rPr>
                  </w:pPr>
                  <w:r>
                    <w:rPr>
                      <w:color w:val="auto"/>
                      <w:szCs w:val="21"/>
                    </w:rPr>
                    <w:t>Z</w:t>
                  </w:r>
                </w:p>
              </w:tc>
              <w:tc>
                <w:tcPr>
                  <w:tcW w:w="1171" w:type="dxa"/>
                  <w:vMerge w:val="continue"/>
                  <w:vAlign w:val="center"/>
                </w:tcPr>
                <w:p w14:paraId="498FE82A">
                  <w:pPr>
                    <w:snapToGrid w:val="0"/>
                    <w:jc w:val="center"/>
                    <w:rPr>
                      <w:color w:val="auto"/>
                      <w:szCs w:val="21"/>
                    </w:rPr>
                  </w:pPr>
                </w:p>
              </w:tc>
              <w:tc>
                <w:tcPr>
                  <w:tcW w:w="782" w:type="dxa"/>
                  <w:vMerge w:val="continue"/>
                  <w:vAlign w:val="center"/>
                </w:tcPr>
                <w:p w14:paraId="49E2FE63">
                  <w:pPr>
                    <w:snapToGrid w:val="0"/>
                    <w:jc w:val="center"/>
                    <w:rPr>
                      <w:color w:val="auto"/>
                      <w:szCs w:val="21"/>
                    </w:rPr>
                  </w:pPr>
                </w:p>
              </w:tc>
              <w:tc>
                <w:tcPr>
                  <w:tcW w:w="741" w:type="dxa"/>
                  <w:vMerge w:val="continue"/>
                  <w:vAlign w:val="center"/>
                </w:tcPr>
                <w:p w14:paraId="7C3BD1DE">
                  <w:pPr>
                    <w:snapToGrid w:val="0"/>
                    <w:jc w:val="center"/>
                    <w:rPr>
                      <w:color w:val="auto"/>
                      <w:szCs w:val="21"/>
                    </w:rPr>
                  </w:pPr>
                </w:p>
              </w:tc>
              <w:tc>
                <w:tcPr>
                  <w:tcW w:w="893" w:type="dxa"/>
                  <w:vMerge w:val="continue"/>
                  <w:vAlign w:val="center"/>
                </w:tcPr>
                <w:p w14:paraId="460646D6">
                  <w:pPr>
                    <w:snapToGrid w:val="0"/>
                    <w:jc w:val="center"/>
                    <w:rPr>
                      <w:color w:val="auto"/>
                      <w:szCs w:val="21"/>
                    </w:rPr>
                  </w:pPr>
                </w:p>
              </w:tc>
              <w:tc>
                <w:tcPr>
                  <w:tcW w:w="693" w:type="dxa"/>
                  <w:vAlign w:val="center"/>
                </w:tcPr>
                <w:p w14:paraId="2BAC759A">
                  <w:pPr>
                    <w:snapToGrid w:val="0"/>
                    <w:jc w:val="center"/>
                    <w:rPr>
                      <w:color w:val="auto"/>
                      <w:szCs w:val="21"/>
                    </w:rPr>
                  </w:pPr>
                  <w:r>
                    <w:rPr>
                      <w:color w:val="auto"/>
                      <w:szCs w:val="21"/>
                    </w:rPr>
                    <w:t>声压级</w:t>
                  </w:r>
                </w:p>
              </w:tc>
              <w:tc>
                <w:tcPr>
                  <w:tcW w:w="1260" w:type="dxa"/>
                  <w:vAlign w:val="center"/>
                </w:tcPr>
                <w:p w14:paraId="4A501678">
                  <w:pPr>
                    <w:snapToGrid w:val="0"/>
                    <w:jc w:val="center"/>
                    <w:rPr>
                      <w:color w:val="auto"/>
                      <w:szCs w:val="21"/>
                    </w:rPr>
                  </w:pPr>
                  <w:r>
                    <w:rPr>
                      <w:color w:val="auto"/>
                      <w:szCs w:val="21"/>
                    </w:rPr>
                    <w:t>建筑物</w:t>
                  </w:r>
                </w:p>
                <w:p w14:paraId="1A96EAF5">
                  <w:pPr>
                    <w:snapToGrid w:val="0"/>
                    <w:jc w:val="center"/>
                    <w:rPr>
                      <w:color w:val="auto"/>
                      <w:szCs w:val="21"/>
                    </w:rPr>
                  </w:pPr>
                  <w:r>
                    <w:rPr>
                      <w:color w:val="auto"/>
                      <w:szCs w:val="21"/>
                    </w:rPr>
                    <w:t>外距离（m）</w:t>
                  </w:r>
                </w:p>
              </w:tc>
            </w:tr>
            <w:tr w14:paraId="3D733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vMerge w:val="restart"/>
                  <w:vAlign w:val="center"/>
                </w:tcPr>
                <w:p w14:paraId="58A655DA">
                  <w:pPr>
                    <w:widowControl/>
                    <w:jc w:val="center"/>
                    <w:textAlignment w:val="center"/>
                    <w:rPr>
                      <w:color w:val="auto"/>
                      <w:szCs w:val="21"/>
                    </w:rPr>
                  </w:pPr>
                  <w:r>
                    <w:rPr>
                      <w:color w:val="auto"/>
                      <w:kern w:val="0"/>
                      <w:szCs w:val="21"/>
                      <w:lang w:bidi="ar"/>
                    </w:rPr>
                    <w:t>1</w:t>
                  </w:r>
                </w:p>
              </w:tc>
              <w:tc>
                <w:tcPr>
                  <w:tcW w:w="786" w:type="dxa"/>
                  <w:vMerge w:val="restart"/>
                  <w:vAlign w:val="center"/>
                </w:tcPr>
                <w:p w14:paraId="099A185D">
                  <w:pPr>
                    <w:snapToGrid w:val="0"/>
                    <w:jc w:val="center"/>
                    <w:rPr>
                      <w:b/>
                      <w:bCs/>
                      <w:color w:val="auto"/>
                      <w:szCs w:val="21"/>
                    </w:rPr>
                  </w:pPr>
                  <w:r>
                    <w:rPr>
                      <w:rFonts w:hint="eastAsia"/>
                      <w:color w:val="auto"/>
                      <w:szCs w:val="21"/>
                    </w:rPr>
                    <w:t>一</w:t>
                  </w:r>
                  <w:r>
                    <w:rPr>
                      <w:color w:val="auto"/>
                      <w:szCs w:val="21"/>
                    </w:rPr>
                    <w:t>车间</w:t>
                  </w:r>
                </w:p>
              </w:tc>
              <w:tc>
                <w:tcPr>
                  <w:tcW w:w="1383" w:type="dxa"/>
                  <w:vMerge w:val="restart"/>
                  <w:vAlign w:val="center"/>
                </w:tcPr>
                <w:p w14:paraId="20A22DA9">
                  <w:pPr>
                    <w:autoSpaceDE w:val="0"/>
                    <w:autoSpaceDN w:val="0"/>
                    <w:adjustRightInd w:val="0"/>
                    <w:snapToGrid w:val="0"/>
                    <w:jc w:val="center"/>
                    <w:rPr>
                      <w:color w:val="auto"/>
                      <w:kern w:val="0"/>
                      <w:szCs w:val="21"/>
                    </w:rPr>
                  </w:pPr>
                  <w:r>
                    <w:rPr>
                      <w:rFonts w:hint="eastAsia"/>
                      <w:color w:val="auto"/>
                      <w:szCs w:val="21"/>
                    </w:rPr>
                    <w:t>精密推台锯</w:t>
                  </w:r>
                </w:p>
              </w:tc>
              <w:tc>
                <w:tcPr>
                  <w:tcW w:w="1494" w:type="dxa"/>
                  <w:vMerge w:val="restart"/>
                  <w:vAlign w:val="center"/>
                </w:tcPr>
                <w:p w14:paraId="369F0CDF">
                  <w:pPr>
                    <w:autoSpaceDE w:val="0"/>
                    <w:autoSpaceDN w:val="0"/>
                    <w:adjustRightInd w:val="0"/>
                    <w:snapToGrid w:val="0"/>
                    <w:jc w:val="center"/>
                    <w:rPr>
                      <w:b/>
                      <w:bCs/>
                      <w:color w:val="auto"/>
                      <w:szCs w:val="21"/>
                    </w:rPr>
                  </w:pPr>
                  <w:r>
                    <w:rPr>
                      <w:rFonts w:hint="eastAsia"/>
                      <w:color w:val="auto"/>
                      <w:szCs w:val="21"/>
                    </w:rPr>
                    <w:t>MJQ6130B</w:t>
                  </w:r>
                </w:p>
              </w:tc>
              <w:tc>
                <w:tcPr>
                  <w:tcW w:w="1081" w:type="dxa"/>
                  <w:vMerge w:val="restart"/>
                  <w:vAlign w:val="center"/>
                </w:tcPr>
                <w:p w14:paraId="6816F83C">
                  <w:pPr>
                    <w:widowControl/>
                    <w:jc w:val="center"/>
                    <w:textAlignment w:val="center"/>
                    <w:rPr>
                      <w:b/>
                      <w:bCs/>
                      <w:color w:val="auto"/>
                      <w:szCs w:val="21"/>
                    </w:rPr>
                  </w:pPr>
                  <w:r>
                    <w:rPr>
                      <w:color w:val="auto"/>
                      <w:kern w:val="0"/>
                      <w:szCs w:val="21"/>
                      <w:lang w:bidi="ar"/>
                    </w:rPr>
                    <w:t>8</w:t>
                  </w:r>
                  <w:r>
                    <w:rPr>
                      <w:rFonts w:hint="eastAsia"/>
                      <w:color w:val="auto"/>
                      <w:kern w:val="0"/>
                      <w:szCs w:val="21"/>
                      <w:lang w:bidi="ar"/>
                    </w:rPr>
                    <w:t>0</w:t>
                  </w:r>
                </w:p>
              </w:tc>
              <w:tc>
                <w:tcPr>
                  <w:tcW w:w="768" w:type="dxa"/>
                  <w:vMerge w:val="restart"/>
                  <w:vAlign w:val="center"/>
                </w:tcPr>
                <w:p w14:paraId="3E335C01">
                  <w:pPr>
                    <w:snapToGrid w:val="0"/>
                    <w:jc w:val="center"/>
                    <w:rPr>
                      <w:b/>
                      <w:bCs/>
                      <w:color w:val="auto"/>
                      <w:szCs w:val="21"/>
                    </w:rPr>
                  </w:pPr>
                  <w:r>
                    <w:rPr>
                      <w:color w:val="auto"/>
                      <w:kern w:val="0"/>
                      <w:szCs w:val="21"/>
                    </w:rPr>
                    <w:t>基础减振、厂房隔声、距离衰减</w:t>
                  </w:r>
                </w:p>
              </w:tc>
              <w:tc>
                <w:tcPr>
                  <w:tcW w:w="617" w:type="dxa"/>
                  <w:vMerge w:val="restart"/>
                  <w:vAlign w:val="center"/>
                </w:tcPr>
                <w:p w14:paraId="0685817C">
                  <w:pPr>
                    <w:widowControl/>
                    <w:jc w:val="center"/>
                    <w:textAlignment w:val="center"/>
                    <w:rPr>
                      <w:color w:val="auto"/>
                      <w:szCs w:val="21"/>
                    </w:rPr>
                  </w:pPr>
                  <w:r>
                    <w:rPr>
                      <w:color w:val="auto"/>
                      <w:kern w:val="0"/>
                      <w:szCs w:val="21"/>
                      <w:lang w:bidi="ar"/>
                    </w:rPr>
                    <w:t>-3</w:t>
                  </w:r>
                </w:p>
              </w:tc>
              <w:tc>
                <w:tcPr>
                  <w:tcW w:w="617" w:type="dxa"/>
                  <w:vMerge w:val="restart"/>
                  <w:vAlign w:val="center"/>
                </w:tcPr>
                <w:p w14:paraId="447A32F3">
                  <w:pPr>
                    <w:widowControl/>
                    <w:jc w:val="center"/>
                    <w:textAlignment w:val="center"/>
                    <w:rPr>
                      <w:color w:val="auto"/>
                      <w:szCs w:val="21"/>
                    </w:rPr>
                  </w:pPr>
                  <w:r>
                    <w:rPr>
                      <w:color w:val="auto"/>
                      <w:kern w:val="0"/>
                      <w:szCs w:val="21"/>
                      <w:lang w:bidi="ar"/>
                    </w:rPr>
                    <w:t>-88</w:t>
                  </w:r>
                </w:p>
              </w:tc>
              <w:tc>
                <w:tcPr>
                  <w:tcW w:w="623" w:type="dxa"/>
                  <w:vMerge w:val="restart"/>
                  <w:vAlign w:val="center"/>
                </w:tcPr>
                <w:p w14:paraId="4CCAB8DF">
                  <w:pPr>
                    <w:widowControl/>
                    <w:jc w:val="center"/>
                    <w:textAlignment w:val="center"/>
                    <w:rPr>
                      <w:color w:val="auto"/>
                      <w:szCs w:val="21"/>
                    </w:rPr>
                  </w:pPr>
                  <w:r>
                    <w:rPr>
                      <w:color w:val="auto"/>
                      <w:kern w:val="0"/>
                      <w:szCs w:val="21"/>
                      <w:lang w:bidi="ar"/>
                    </w:rPr>
                    <w:t>1.2</w:t>
                  </w:r>
                </w:p>
              </w:tc>
              <w:tc>
                <w:tcPr>
                  <w:tcW w:w="1171" w:type="dxa"/>
                  <w:vAlign w:val="center"/>
                </w:tcPr>
                <w:p w14:paraId="2D15D2C4">
                  <w:pPr>
                    <w:snapToGrid w:val="0"/>
                    <w:jc w:val="center"/>
                    <w:rPr>
                      <w:color w:val="auto"/>
                      <w:szCs w:val="21"/>
                    </w:rPr>
                  </w:pPr>
                  <w:r>
                    <w:rPr>
                      <w:rFonts w:hint="eastAsia"/>
                      <w:color w:val="auto"/>
                    </w:rPr>
                    <w:t>北40</w:t>
                  </w:r>
                </w:p>
              </w:tc>
              <w:tc>
                <w:tcPr>
                  <w:tcW w:w="782" w:type="dxa"/>
                  <w:vAlign w:val="center"/>
                </w:tcPr>
                <w:p w14:paraId="7E6AA7B7">
                  <w:pPr>
                    <w:widowControl/>
                    <w:jc w:val="center"/>
                    <w:textAlignment w:val="center"/>
                    <w:rPr>
                      <w:color w:val="auto"/>
                      <w:szCs w:val="21"/>
                    </w:rPr>
                  </w:pPr>
                  <w:r>
                    <w:rPr>
                      <w:color w:val="auto"/>
                      <w:kern w:val="0"/>
                      <w:szCs w:val="21"/>
                      <w:lang w:bidi="ar"/>
                    </w:rPr>
                    <w:t>48.0</w:t>
                  </w:r>
                </w:p>
              </w:tc>
              <w:tc>
                <w:tcPr>
                  <w:tcW w:w="741" w:type="dxa"/>
                  <w:vMerge w:val="restart"/>
                  <w:vAlign w:val="center"/>
                </w:tcPr>
                <w:p w14:paraId="289DE1CE">
                  <w:pPr>
                    <w:snapToGrid w:val="0"/>
                    <w:jc w:val="center"/>
                    <w:rPr>
                      <w:color w:val="auto"/>
                      <w:szCs w:val="21"/>
                    </w:rPr>
                  </w:pPr>
                  <w:r>
                    <w:rPr>
                      <w:color w:val="auto"/>
                      <w:szCs w:val="21"/>
                    </w:rPr>
                    <w:t>2400</w:t>
                  </w:r>
                </w:p>
              </w:tc>
              <w:tc>
                <w:tcPr>
                  <w:tcW w:w="893" w:type="dxa"/>
                  <w:vMerge w:val="restart"/>
                  <w:vAlign w:val="center"/>
                </w:tcPr>
                <w:p w14:paraId="01AD125A">
                  <w:pPr>
                    <w:snapToGrid w:val="0"/>
                    <w:jc w:val="center"/>
                    <w:rPr>
                      <w:color w:val="auto"/>
                      <w:szCs w:val="21"/>
                    </w:rPr>
                  </w:pPr>
                  <w:r>
                    <w:rPr>
                      <w:color w:val="auto"/>
                      <w:szCs w:val="21"/>
                    </w:rPr>
                    <w:t>20</w:t>
                  </w:r>
                </w:p>
              </w:tc>
              <w:tc>
                <w:tcPr>
                  <w:tcW w:w="693" w:type="dxa"/>
                  <w:vAlign w:val="center"/>
                </w:tcPr>
                <w:p w14:paraId="71C48777">
                  <w:pPr>
                    <w:widowControl/>
                    <w:jc w:val="center"/>
                    <w:textAlignment w:val="center"/>
                    <w:rPr>
                      <w:color w:val="auto"/>
                      <w:szCs w:val="21"/>
                    </w:rPr>
                  </w:pPr>
                  <w:r>
                    <w:rPr>
                      <w:color w:val="auto"/>
                      <w:kern w:val="0"/>
                      <w:szCs w:val="21"/>
                      <w:lang w:bidi="ar"/>
                    </w:rPr>
                    <w:t>28.0</w:t>
                  </w:r>
                </w:p>
              </w:tc>
              <w:tc>
                <w:tcPr>
                  <w:tcW w:w="1260" w:type="dxa"/>
                  <w:vMerge w:val="restart"/>
                  <w:vAlign w:val="center"/>
                </w:tcPr>
                <w:p w14:paraId="7B70FBC6">
                  <w:pPr>
                    <w:snapToGrid w:val="0"/>
                    <w:jc w:val="center"/>
                    <w:rPr>
                      <w:color w:val="auto"/>
                      <w:szCs w:val="21"/>
                    </w:rPr>
                  </w:pPr>
                  <w:r>
                    <w:rPr>
                      <w:color w:val="auto"/>
                      <w:szCs w:val="21"/>
                    </w:rPr>
                    <w:t>1</w:t>
                  </w:r>
                </w:p>
              </w:tc>
            </w:tr>
            <w:tr w14:paraId="29A03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4" w:type="dxa"/>
                  <w:vMerge w:val="continue"/>
                  <w:vAlign w:val="center"/>
                </w:tcPr>
                <w:p w14:paraId="06997405">
                  <w:pPr>
                    <w:snapToGrid w:val="0"/>
                    <w:jc w:val="center"/>
                    <w:rPr>
                      <w:color w:val="auto"/>
                      <w:szCs w:val="21"/>
                    </w:rPr>
                  </w:pPr>
                </w:p>
              </w:tc>
              <w:tc>
                <w:tcPr>
                  <w:tcW w:w="786" w:type="dxa"/>
                  <w:vMerge w:val="continue"/>
                  <w:vAlign w:val="center"/>
                </w:tcPr>
                <w:p w14:paraId="25CE5961">
                  <w:pPr>
                    <w:snapToGrid w:val="0"/>
                    <w:jc w:val="center"/>
                    <w:rPr>
                      <w:color w:val="auto"/>
                      <w:szCs w:val="21"/>
                    </w:rPr>
                  </w:pPr>
                </w:p>
              </w:tc>
              <w:tc>
                <w:tcPr>
                  <w:tcW w:w="1383" w:type="dxa"/>
                  <w:vMerge w:val="continue"/>
                  <w:vAlign w:val="center"/>
                </w:tcPr>
                <w:p w14:paraId="0D637A63">
                  <w:pPr>
                    <w:adjustRightInd w:val="0"/>
                    <w:snapToGrid w:val="0"/>
                    <w:jc w:val="center"/>
                    <w:rPr>
                      <w:color w:val="auto"/>
                      <w:kern w:val="0"/>
                      <w:szCs w:val="21"/>
                    </w:rPr>
                  </w:pPr>
                </w:p>
              </w:tc>
              <w:tc>
                <w:tcPr>
                  <w:tcW w:w="1494" w:type="dxa"/>
                  <w:vMerge w:val="continue"/>
                  <w:vAlign w:val="center"/>
                </w:tcPr>
                <w:p w14:paraId="51BAC4D1">
                  <w:pPr>
                    <w:snapToGrid w:val="0"/>
                    <w:jc w:val="center"/>
                    <w:rPr>
                      <w:b/>
                      <w:bCs/>
                      <w:color w:val="auto"/>
                      <w:szCs w:val="21"/>
                    </w:rPr>
                  </w:pPr>
                </w:p>
              </w:tc>
              <w:tc>
                <w:tcPr>
                  <w:tcW w:w="1081" w:type="dxa"/>
                  <w:vMerge w:val="continue"/>
                  <w:vAlign w:val="center"/>
                </w:tcPr>
                <w:p w14:paraId="33E292BC">
                  <w:pPr>
                    <w:adjustRightInd w:val="0"/>
                    <w:snapToGrid w:val="0"/>
                    <w:jc w:val="center"/>
                    <w:rPr>
                      <w:bCs/>
                      <w:color w:val="auto"/>
                      <w:kern w:val="0"/>
                      <w:szCs w:val="21"/>
                    </w:rPr>
                  </w:pPr>
                </w:p>
              </w:tc>
              <w:tc>
                <w:tcPr>
                  <w:tcW w:w="768" w:type="dxa"/>
                  <w:vMerge w:val="continue"/>
                  <w:vAlign w:val="center"/>
                </w:tcPr>
                <w:p w14:paraId="706FDF19">
                  <w:pPr>
                    <w:snapToGrid w:val="0"/>
                    <w:jc w:val="center"/>
                    <w:rPr>
                      <w:color w:val="auto"/>
                      <w:kern w:val="0"/>
                      <w:szCs w:val="21"/>
                    </w:rPr>
                  </w:pPr>
                </w:p>
              </w:tc>
              <w:tc>
                <w:tcPr>
                  <w:tcW w:w="617" w:type="dxa"/>
                  <w:vMerge w:val="continue"/>
                  <w:vAlign w:val="center"/>
                </w:tcPr>
                <w:p w14:paraId="5F54B941">
                  <w:pPr>
                    <w:snapToGrid w:val="0"/>
                    <w:jc w:val="center"/>
                    <w:rPr>
                      <w:color w:val="auto"/>
                      <w:szCs w:val="21"/>
                    </w:rPr>
                  </w:pPr>
                </w:p>
              </w:tc>
              <w:tc>
                <w:tcPr>
                  <w:tcW w:w="617" w:type="dxa"/>
                  <w:vMerge w:val="continue"/>
                  <w:vAlign w:val="center"/>
                </w:tcPr>
                <w:p w14:paraId="66CC19C6">
                  <w:pPr>
                    <w:snapToGrid w:val="0"/>
                    <w:jc w:val="center"/>
                    <w:rPr>
                      <w:color w:val="auto"/>
                      <w:szCs w:val="21"/>
                    </w:rPr>
                  </w:pPr>
                </w:p>
              </w:tc>
              <w:tc>
                <w:tcPr>
                  <w:tcW w:w="623" w:type="dxa"/>
                  <w:vMerge w:val="continue"/>
                  <w:vAlign w:val="center"/>
                </w:tcPr>
                <w:p w14:paraId="54C7E8C6">
                  <w:pPr>
                    <w:snapToGrid w:val="0"/>
                    <w:jc w:val="center"/>
                    <w:rPr>
                      <w:color w:val="auto"/>
                      <w:szCs w:val="21"/>
                    </w:rPr>
                  </w:pPr>
                </w:p>
              </w:tc>
              <w:tc>
                <w:tcPr>
                  <w:tcW w:w="1171" w:type="dxa"/>
                  <w:vAlign w:val="center"/>
                </w:tcPr>
                <w:p w14:paraId="7C0276C0">
                  <w:pPr>
                    <w:snapToGrid w:val="0"/>
                    <w:jc w:val="center"/>
                    <w:rPr>
                      <w:color w:val="auto"/>
                    </w:rPr>
                  </w:pPr>
                  <w:r>
                    <w:rPr>
                      <w:rFonts w:hint="eastAsia"/>
                      <w:color w:val="auto"/>
                    </w:rPr>
                    <w:t>南60</w:t>
                  </w:r>
                </w:p>
              </w:tc>
              <w:tc>
                <w:tcPr>
                  <w:tcW w:w="782" w:type="dxa"/>
                  <w:vAlign w:val="center"/>
                </w:tcPr>
                <w:p w14:paraId="0A7F166F">
                  <w:pPr>
                    <w:widowControl/>
                    <w:jc w:val="center"/>
                    <w:textAlignment w:val="center"/>
                    <w:rPr>
                      <w:color w:val="auto"/>
                      <w:szCs w:val="21"/>
                    </w:rPr>
                  </w:pPr>
                  <w:r>
                    <w:rPr>
                      <w:color w:val="auto"/>
                      <w:kern w:val="0"/>
                      <w:szCs w:val="21"/>
                      <w:lang w:bidi="ar"/>
                    </w:rPr>
                    <w:t>44.4</w:t>
                  </w:r>
                </w:p>
              </w:tc>
              <w:tc>
                <w:tcPr>
                  <w:tcW w:w="741" w:type="dxa"/>
                  <w:vMerge w:val="continue"/>
                  <w:vAlign w:val="center"/>
                </w:tcPr>
                <w:p w14:paraId="5C75CDCF">
                  <w:pPr>
                    <w:snapToGrid w:val="0"/>
                    <w:jc w:val="center"/>
                    <w:rPr>
                      <w:color w:val="auto"/>
                      <w:szCs w:val="21"/>
                    </w:rPr>
                  </w:pPr>
                </w:p>
              </w:tc>
              <w:tc>
                <w:tcPr>
                  <w:tcW w:w="893" w:type="dxa"/>
                  <w:vMerge w:val="continue"/>
                  <w:vAlign w:val="center"/>
                </w:tcPr>
                <w:p w14:paraId="53C1CD7A">
                  <w:pPr>
                    <w:snapToGrid w:val="0"/>
                    <w:jc w:val="center"/>
                    <w:rPr>
                      <w:color w:val="auto"/>
                      <w:szCs w:val="21"/>
                    </w:rPr>
                  </w:pPr>
                </w:p>
              </w:tc>
              <w:tc>
                <w:tcPr>
                  <w:tcW w:w="693" w:type="dxa"/>
                  <w:vAlign w:val="center"/>
                </w:tcPr>
                <w:p w14:paraId="0785CD5E">
                  <w:pPr>
                    <w:widowControl/>
                    <w:jc w:val="center"/>
                    <w:textAlignment w:val="center"/>
                    <w:rPr>
                      <w:color w:val="auto"/>
                      <w:szCs w:val="21"/>
                    </w:rPr>
                  </w:pPr>
                  <w:r>
                    <w:rPr>
                      <w:color w:val="auto"/>
                      <w:kern w:val="0"/>
                      <w:szCs w:val="21"/>
                      <w:lang w:bidi="ar"/>
                    </w:rPr>
                    <w:t>24.4</w:t>
                  </w:r>
                </w:p>
              </w:tc>
              <w:tc>
                <w:tcPr>
                  <w:tcW w:w="1260" w:type="dxa"/>
                  <w:vMerge w:val="continue"/>
                  <w:vAlign w:val="center"/>
                </w:tcPr>
                <w:p w14:paraId="1E6183E7">
                  <w:pPr>
                    <w:snapToGrid w:val="0"/>
                    <w:jc w:val="center"/>
                    <w:rPr>
                      <w:color w:val="auto"/>
                      <w:szCs w:val="21"/>
                    </w:rPr>
                  </w:pPr>
                </w:p>
              </w:tc>
            </w:tr>
            <w:tr w14:paraId="73D80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vMerge w:val="continue"/>
                  <w:vAlign w:val="center"/>
                </w:tcPr>
                <w:p w14:paraId="472FEDCA">
                  <w:pPr>
                    <w:snapToGrid w:val="0"/>
                    <w:jc w:val="center"/>
                    <w:rPr>
                      <w:color w:val="auto"/>
                      <w:szCs w:val="21"/>
                    </w:rPr>
                  </w:pPr>
                </w:p>
              </w:tc>
              <w:tc>
                <w:tcPr>
                  <w:tcW w:w="786" w:type="dxa"/>
                  <w:vMerge w:val="continue"/>
                  <w:vAlign w:val="center"/>
                </w:tcPr>
                <w:p w14:paraId="4DAB6980">
                  <w:pPr>
                    <w:snapToGrid w:val="0"/>
                    <w:jc w:val="center"/>
                    <w:rPr>
                      <w:color w:val="auto"/>
                      <w:szCs w:val="21"/>
                    </w:rPr>
                  </w:pPr>
                </w:p>
              </w:tc>
              <w:tc>
                <w:tcPr>
                  <w:tcW w:w="1383" w:type="dxa"/>
                  <w:vMerge w:val="continue"/>
                  <w:vAlign w:val="center"/>
                </w:tcPr>
                <w:p w14:paraId="6DC560DC">
                  <w:pPr>
                    <w:adjustRightInd w:val="0"/>
                    <w:snapToGrid w:val="0"/>
                    <w:jc w:val="center"/>
                    <w:rPr>
                      <w:color w:val="auto"/>
                      <w:kern w:val="0"/>
                      <w:szCs w:val="21"/>
                    </w:rPr>
                  </w:pPr>
                </w:p>
              </w:tc>
              <w:tc>
                <w:tcPr>
                  <w:tcW w:w="1494" w:type="dxa"/>
                  <w:vMerge w:val="continue"/>
                  <w:vAlign w:val="center"/>
                </w:tcPr>
                <w:p w14:paraId="1734EEAE">
                  <w:pPr>
                    <w:snapToGrid w:val="0"/>
                    <w:jc w:val="center"/>
                    <w:rPr>
                      <w:b/>
                      <w:bCs/>
                      <w:color w:val="auto"/>
                      <w:szCs w:val="21"/>
                    </w:rPr>
                  </w:pPr>
                </w:p>
              </w:tc>
              <w:tc>
                <w:tcPr>
                  <w:tcW w:w="1081" w:type="dxa"/>
                  <w:vMerge w:val="continue"/>
                  <w:vAlign w:val="center"/>
                </w:tcPr>
                <w:p w14:paraId="68919C8E">
                  <w:pPr>
                    <w:adjustRightInd w:val="0"/>
                    <w:snapToGrid w:val="0"/>
                    <w:jc w:val="center"/>
                    <w:rPr>
                      <w:bCs/>
                      <w:color w:val="auto"/>
                      <w:kern w:val="0"/>
                      <w:szCs w:val="21"/>
                    </w:rPr>
                  </w:pPr>
                </w:p>
              </w:tc>
              <w:tc>
                <w:tcPr>
                  <w:tcW w:w="768" w:type="dxa"/>
                  <w:vMerge w:val="continue"/>
                  <w:vAlign w:val="center"/>
                </w:tcPr>
                <w:p w14:paraId="160380C1">
                  <w:pPr>
                    <w:snapToGrid w:val="0"/>
                    <w:jc w:val="center"/>
                    <w:rPr>
                      <w:color w:val="auto"/>
                      <w:kern w:val="0"/>
                      <w:szCs w:val="21"/>
                    </w:rPr>
                  </w:pPr>
                </w:p>
              </w:tc>
              <w:tc>
                <w:tcPr>
                  <w:tcW w:w="617" w:type="dxa"/>
                  <w:vMerge w:val="continue"/>
                  <w:vAlign w:val="center"/>
                </w:tcPr>
                <w:p w14:paraId="2D6EBCF9">
                  <w:pPr>
                    <w:snapToGrid w:val="0"/>
                    <w:jc w:val="center"/>
                    <w:rPr>
                      <w:color w:val="auto"/>
                      <w:szCs w:val="21"/>
                    </w:rPr>
                  </w:pPr>
                </w:p>
              </w:tc>
              <w:tc>
                <w:tcPr>
                  <w:tcW w:w="617" w:type="dxa"/>
                  <w:vMerge w:val="continue"/>
                  <w:vAlign w:val="center"/>
                </w:tcPr>
                <w:p w14:paraId="2503649E">
                  <w:pPr>
                    <w:snapToGrid w:val="0"/>
                    <w:jc w:val="center"/>
                    <w:rPr>
                      <w:color w:val="auto"/>
                      <w:szCs w:val="21"/>
                    </w:rPr>
                  </w:pPr>
                </w:p>
              </w:tc>
              <w:tc>
                <w:tcPr>
                  <w:tcW w:w="623" w:type="dxa"/>
                  <w:vMerge w:val="continue"/>
                  <w:vAlign w:val="center"/>
                </w:tcPr>
                <w:p w14:paraId="6FFB6420">
                  <w:pPr>
                    <w:snapToGrid w:val="0"/>
                    <w:jc w:val="center"/>
                    <w:rPr>
                      <w:color w:val="auto"/>
                      <w:szCs w:val="21"/>
                    </w:rPr>
                  </w:pPr>
                </w:p>
              </w:tc>
              <w:tc>
                <w:tcPr>
                  <w:tcW w:w="1171" w:type="dxa"/>
                  <w:vAlign w:val="center"/>
                </w:tcPr>
                <w:p w14:paraId="30B595A0">
                  <w:pPr>
                    <w:snapToGrid w:val="0"/>
                    <w:jc w:val="center"/>
                    <w:rPr>
                      <w:color w:val="auto"/>
                    </w:rPr>
                  </w:pPr>
                  <w:r>
                    <w:rPr>
                      <w:rFonts w:hint="eastAsia"/>
                      <w:color w:val="auto"/>
                    </w:rPr>
                    <w:t>东14</w:t>
                  </w:r>
                </w:p>
              </w:tc>
              <w:tc>
                <w:tcPr>
                  <w:tcW w:w="782" w:type="dxa"/>
                  <w:vAlign w:val="center"/>
                </w:tcPr>
                <w:p w14:paraId="6F44E410">
                  <w:pPr>
                    <w:widowControl/>
                    <w:jc w:val="center"/>
                    <w:textAlignment w:val="center"/>
                    <w:rPr>
                      <w:color w:val="auto"/>
                      <w:szCs w:val="21"/>
                    </w:rPr>
                  </w:pPr>
                  <w:r>
                    <w:rPr>
                      <w:color w:val="auto"/>
                      <w:kern w:val="0"/>
                      <w:szCs w:val="21"/>
                      <w:lang w:bidi="ar"/>
                    </w:rPr>
                    <w:t>57.1</w:t>
                  </w:r>
                </w:p>
              </w:tc>
              <w:tc>
                <w:tcPr>
                  <w:tcW w:w="741" w:type="dxa"/>
                  <w:vMerge w:val="continue"/>
                  <w:vAlign w:val="center"/>
                </w:tcPr>
                <w:p w14:paraId="20F55A74">
                  <w:pPr>
                    <w:snapToGrid w:val="0"/>
                    <w:jc w:val="center"/>
                    <w:rPr>
                      <w:color w:val="auto"/>
                      <w:szCs w:val="21"/>
                    </w:rPr>
                  </w:pPr>
                </w:p>
              </w:tc>
              <w:tc>
                <w:tcPr>
                  <w:tcW w:w="893" w:type="dxa"/>
                  <w:vMerge w:val="continue"/>
                  <w:vAlign w:val="center"/>
                </w:tcPr>
                <w:p w14:paraId="6583A980">
                  <w:pPr>
                    <w:snapToGrid w:val="0"/>
                    <w:jc w:val="center"/>
                    <w:rPr>
                      <w:color w:val="auto"/>
                      <w:szCs w:val="21"/>
                    </w:rPr>
                  </w:pPr>
                </w:p>
              </w:tc>
              <w:tc>
                <w:tcPr>
                  <w:tcW w:w="693" w:type="dxa"/>
                  <w:vAlign w:val="center"/>
                </w:tcPr>
                <w:p w14:paraId="60F67CE4">
                  <w:pPr>
                    <w:widowControl/>
                    <w:jc w:val="center"/>
                    <w:textAlignment w:val="center"/>
                    <w:rPr>
                      <w:color w:val="auto"/>
                      <w:szCs w:val="21"/>
                    </w:rPr>
                  </w:pPr>
                  <w:r>
                    <w:rPr>
                      <w:color w:val="auto"/>
                      <w:kern w:val="0"/>
                      <w:szCs w:val="21"/>
                      <w:lang w:bidi="ar"/>
                    </w:rPr>
                    <w:t>37.1</w:t>
                  </w:r>
                </w:p>
              </w:tc>
              <w:tc>
                <w:tcPr>
                  <w:tcW w:w="1260" w:type="dxa"/>
                  <w:vMerge w:val="continue"/>
                  <w:vAlign w:val="center"/>
                </w:tcPr>
                <w:p w14:paraId="621CCA27">
                  <w:pPr>
                    <w:snapToGrid w:val="0"/>
                    <w:jc w:val="center"/>
                    <w:rPr>
                      <w:color w:val="auto"/>
                      <w:szCs w:val="21"/>
                    </w:rPr>
                  </w:pPr>
                </w:p>
              </w:tc>
            </w:tr>
            <w:tr w14:paraId="34F86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vMerge w:val="continue"/>
                  <w:vAlign w:val="center"/>
                </w:tcPr>
                <w:p w14:paraId="2FDEC85B">
                  <w:pPr>
                    <w:snapToGrid w:val="0"/>
                    <w:jc w:val="center"/>
                    <w:rPr>
                      <w:color w:val="auto"/>
                      <w:szCs w:val="21"/>
                    </w:rPr>
                  </w:pPr>
                </w:p>
              </w:tc>
              <w:tc>
                <w:tcPr>
                  <w:tcW w:w="786" w:type="dxa"/>
                  <w:vMerge w:val="continue"/>
                  <w:vAlign w:val="center"/>
                </w:tcPr>
                <w:p w14:paraId="22D39AD1">
                  <w:pPr>
                    <w:snapToGrid w:val="0"/>
                    <w:jc w:val="center"/>
                    <w:rPr>
                      <w:color w:val="auto"/>
                      <w:szCs w:val="21"/>
                    </w:rPr>
                  </w:pPr>
                </w:p>
              </w:tc>
              <w:tc>
                <w:tcPr>
                  <w:tcW w:w="1383" w:type="dxa"/>
                  <w:vMerge w:val="continue"/>
                  <w:vAlign w:val="center"/>
                </w:tcPr>
                <w:p w14:paraId="4783641B">
                  <w:pPr>
                    <w:adjustRightInd w:val="0"/>
                    <w:snapToGrid w:val="0"/>
                    <w:jc w:val="center"/>
                    <w:rPr>
                      <w:color w:val="auto"/>
                      <w:kern w:val="0"/>
                      <w:szCs w:val="21"/>
                    </w:rPr>
                  </w:pPr>
                </w:p>
              </w:tc>
              <w:tc>
                <w:tcPr>
                  <w:tcW w:w="1494" w:type="dxa"/>
                  <w:vMerge w:val="continue"/>
                  <w:vAlign w:val="center"/>
                </w:tcPr>
                <w:p w14:paraId="32496470">
                  <w:pPr>
                    <w:snapToGrid w:val="0"/>
                    <w:jc w:val="center"/>
                    <w:rPr>
                      <w:b/>
                      <w:bCs/>
                      <w:color w:val="auto"/>
                      <w:szCs w:val="21"/>
                    </w:rPr>
                  </w:pPr>
                </w:p>
              </w:tc>
              <w:tc>
                <w:tcPr>
                  <w:tcW w:w="1081" w:type="dxa"/>
                  <w:vMerge w:val="continue"/>
                  <w:vAlign w:val="center"/>
                </w:tcPr>
                <w:p w14:paraId="47E8E6C5">
                  <w:pPr>
                    <w:adjustRightInd w:val="0"/>
                    <w:snapToGrid w:val="0"/>
                    <w:jc w:val="center"/>
                    <w:rPr>
                      <w:bCs/>
                      <w:color w:val="auto"/>
                      <w:kern w:val="0"/>
                      <w:szCs w:val="21"/>
                    </w:rPr>
                  </w:pPr>
                </w:p>
              </w:tc>
              <w:tc>
                <w:tcPr>
                  <w:tcW w:w="768" w:type="dxa"/>
                  <w:vMerge w:val="continue"/>
                  <w:vAlign w:val="center"/>
                </w:tcPr>
                <w:p w14:paraId="24F52C53">
                  <w:pPr>
                    <w:snapToGrid w:val="0"/>
                    <w:jc w:val="center"/>
                    <w:rPr>
                      <w:color w:val="auto"/>
                      <w:kern w:val="0"/>
                      <w:szCs w:val="21"/>
                    </w:rPr>
                  </w:pPr>
                </w:p>
              </w:tc>
              <w:tc>
                <w:tcPr>
                  <w:tcW w:w="617" w:type="dxa"/>
                  <w:vMerge w:val="continue"/>
                  <w:vAlign w:val="center"/>
                </w:tcPr>
                <w:p w14:paraId="7466DB2F">
                  <w:pPr>
                    <w:snapToGrid w:val="0"/>
                    <w:jc w:val="center"/>
                    <w:rPr>
                      <w:color w:val="auto"/>
                      <w:szCs w:val="21"/>
                    </w:rPr>
                  </w:pPr>
                </w:p>
              </w:tc>
              <w:tc>
                <w:tcPr>
                  <w:tcW w:w="617" w:type="dxa"/>
                  <w:vMerge w:val="continue"/>
                  <w:vAlign w:val="center"/>
                </w:tcPr>
                <w:p w14:paraId="72BDD37D">
                  <w:pPr>
                    <w:snapToGrid w:val="0"/>
                    <w:jc w:val="center"/>
                    <w:rPr>
                      <w:color w:val="auto"/>
                      <w:szCs w:val="21"/>
                    </w:rPr>
                  </w:pPr>
                </w:p>
              </w:tc>
              <w:tc>
                <w:tcPr>
                  <w:tcW w:w="623" w:type="dxa"/>
                  <w:vMerge w:val="continue"/>
                  <w:vAlign w:val="center"/>
                </w:tcPr>
                <w:p w14:paraId="0CC124E7">
                  <w:pPr>
                    <w:snapToGrid w:val="0"/>
                    <w:jc w:val="center"/>
                    <w:rPr>
                      <w:color w:val="auto"/>
                      <w:szCs w:val="21"/>
                    </w:rPr>
                  </w:pPr>
                </w:p>
              </w:tc>
              <w:tc>
                <w:tcPr>
                  <w:tcW w:w="1171" w:type="dxa"/>
                  <w:vAlign w:val="center"/>
                </w:tcPr>
                <w:p w14:paraId="75CE36A8">
                  <w:pPr>
                    <w:snapToGrid w:val="0"/>
                    <w:jc w:val="center"/>
                    <w:rPr>
                      <w:color w:val="auto"/>
                    </w:rPr>
                  </w:pPr>
                  <w:r>
                    <w:rPr>
                      <w:rFonts w:hint="eastAsia"/>
                      <w:color w:val="auto"/>
                    </w:rPr>
                    <w:t>西46</w:t>
                  </w:r>
                </w:p>
              </w:tc>
              <w:tc>
                <w:tcPr>
                  <w:tcW w:w="782" w:type="dxa"/>
                  <w:vAlign w:val="center"/>
                </w:tcPr>
                <w:p w14:paraId="0CCFC31E">
                  <w:pPr>
                    <w:widowControl/>
                    <w:jc w:val="center"/>
                    <w:textAlignment w:val="center"/>
                    <w:rPr>
                      <w:color w:val="auto"/>
                      <w:szCs w:val="21"/>
                    </w:rPr>
                  </w:pPr>
                  <w:r>
                    <w:rPr>
                      <w:color w:val="auto"/>
                      <w:kern w:val="0"/>
                      <w:szCs w:val="21"/>
                      <w:lang w:bidi="ar"/>
                    </w:rPr>
                    <w:t>46.7</w:t>
                  </w:r>
                </w:p>
              </w:tc>
              <w:tc>
                <w:tcPr>
                  <w:tcW w:w="741" w:type="dxa"/>
                  <w:vMerge w:val="continue"/>
                  <w:vAlign w:val="center"/>
                </w:tcPr>
                <w:p w14:paraId="3D9ACDB9">
                  <w:pPr>
                    <w:snapToGrid w:val="0"/>
                    <w:jc w:val="center"/>
                    <w:rPr>
                      <w:color w:val="auto"/>
                      <w:szCs w:val="21"/>
                    </w:rPr>
                  </w:pPr>
                </w:p>
              </w:tc>
              <w:tc>
                <w:tcPr>
                  <w:tcW w:w="893" w:type="dxa"/>
                  <w:vMerge w:val="continue"/>
                  <w:vAlign w:val="center"/>
                </w:tcPr>
                <w:p w14:paraId="6CB0083A">
                  <w:pPr>
                    <w:snapToGrid w:val="0"/>
                    <w:jc w:val="center"/>
                    <w:rPr>
                      <w:color w:val="auto"/>
                      <w:szCs w:val="21"/>
                    </w:rPr>
                  </w:pPr>
                </w:p>
              </w:tc>
              <w:tc>
                <w:tcPr>
                  <w:tcW w:w="693" w:type="dxa"/>
                  <w:vAlign w:val="center"/>
                </w:tcPr>
                <w:p w14:paraId="02ED6768">
                  <w:pPr>
                    <w:widowControl/>
                    <w:jc w:val="center"/>
                    <w:textAlignment w:val="center"/>
                    <w:rPr>
                      <w:color w:val="auto"/>
                      <w:szCs w:val="21"/>
                    </w:rPr>
                  </w:pPr>
                  <w:r>
                    <w:rPr>
                      <w:color w:val="auto"/>
                      <w:kern w:val="0"/>
                      <w:szCs w:val="21"/>
                      <w:lang w:bidi="ar"/>
                    </w:rPr>
                    <w:t>26.7</w:t>
                  </w:r>
                </w:p>
              </w:tc>
              <w:tc>
                <w:tcPr>
                  <w:tcW w:w="1260" w:type="dxa"/>
                  <w:vMerge w:val="continue"/>
                  <w:vAlign w:val="center"/>
                </w:tcPr>
                <w:p w14:paraId="7F8CB808">
                  <w:pPr>
                    <w:snapToGrid w:val="0"/>
                    <w:jc w:val="center"/>
                    <w:rPr>
                      <w:color w:val="auto"/>
                      <w:szCs w:val="21"/>
                    </w:rPr>
                  </w:pPr>
                </w:p>
              </w:tc>
            </w:tr>
            <w:tr w14:paraId="4A56E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vMerge w:val="restart"/>
                  <w:vAlign w:val="center"/>
                </w:tcPr>
                <w:p w14:paraId="3E332FED">
                  <w:pPr>
                    <w:widowControl/>
                    <w:jc w:val="center"/>
                    <w:textAlignment w:val="center"/>
                    <w:rPr>
                      <w:color w:val="auto"/>
                      <w:szCs w:val="21"/>
                    </w:rPr>
                  </w:pPr>
                  <w:r>
                    <w:rPr>
                      <w:color w:val="auto"/>
                      <w:kern w:val="0"/>
                      <w:szCs w:val="21"/>
                      <w:lang w:bidi="ar"/>
                    </w:rPr>
                    <w:t>2</w:t>
                  </w:r>
                </w:p>
              </w:tc>
              <w:tc>
                <w:tcPr>
                  <w:tcW w:w="786" w:type="dxa"/>
                  <w:vMerge w:val="continue"/>
                  <w:vAlign w:val="center"/>
                </w:tcPr>
                <w:p w14:paraId="38C3B020">
                  <w:pPr>
                    <w:snapToGrid w:val="0"/>
                    <w:jc w:val="center"/>
                    <w:rPr>
                      <w:color w:val="auto"/>
                      <w:szCs w:val="21"/>
                    </w:rPr>
                  </w:pPr>
                </w:p>
              </w:tc>
              <w:tc>
                <w:tcPr>
                  <w:tcW w:w="1383" w:type="dxa"/>
                  <w:vMerge w:val="restart"/>
                  <w:vAlign w:val="center"/>
                </w:tcPr>
                <w:p w14:paraId="1C72B79D">
                  <w:pPr>
                    <w:autoSpaceDE w:val="0"/>
                    <w:autoSpaceDN w:val="0"/>
                    <w:adjustRightInd w:val="0"/>
                    <w:snapToGrid w:val="0"/>
                    <w:jc w:val="center"/>
                    <w:rPr>
                      <w:color w:val="auto"/>
                      <w:kern w:val="0"/>
                      <w:szCs w:val="21"/>
                    </w:rPr>
                  </w:pPr>
                  <w:r>
                    <w:rPr>
                      <w:rFonts w:hint="eastAsia"/>
                      <w:color w:val="auto"/>
                      <w:szCs w:val="21"/>
                    </w:rPr>
                    <w:t>刨砂机</w:t>
                  </w:r>
                </w:p>
              </w:tc>
              <w:tc>
                <w:tcPr>
                  <w:tcW w:w="1494" w:type="dxa"/>
                  <w:vMerge w:val="restart"/>
                  <w:vAlign w:val="center"/>
                </w:tcPr>
                <w:p w14:paraId="4A0CEC73">
                  <w:pPr>
                    <w:autoSpaceDE w:val="0"/>
                    <w:autoSpaceDN w:val="0"/>
                    <w:adjustRightInd w:val="0"/>
                    <w:snapToGrid w:val="0"/>
                    <w:jc w:val="center"/>
                    <w:rPr>
                      <w:b/>
                      <w:bCs/>
                      <w:color w:val="auto"/>
                      <w:szCs w:val="21"/>
                    </w:rPr>
                  </w:pPr>
                  <w:r>
                    <w:rPr>
                      <w:rFonts w:hint="eastAsia"/>
                      <w:color w:val="auto"/>
                      <w:szCs w:val="21"/>
                    </w:rPr>
                    <w:t>630</w:t>
                  </w:r>
                </w:p>
              </w:tc>
              <w:tc>
                <w:tcPr>
                  <w:tcW w:w="1081" w:type="dxa"/>
                  <w:vMerge w:val="restart"/>
                  <w:vAlign w:val="center"/>
                </w:tcPr>
                <w:p w14:paraId="4656C399">
                  <w:pPr>
                    <w:widowControl/>
                    <w:jc w:val="center"/>
                    <w:textAlignment w:val="center"/>
                    <w:rPr>
                      <w:bCs/>
                      <w:color w:val="auto"/>
                      <w:kern w:val="0"/>
                      <w:szCs w:val="21"/>
                    </w:rPr>
                  </w:pPr>
                  <w:r>
                    <w:rPr>
                      <w:color w:val="auto"/>
                      <w:kern w:val="0"/>
                      <w:szCs w:val="21"/>
                      <w:lang w:bidi="ar"/>
                    </w:rPr>
                    <w:t>80</w:t>
                  </w:r>
                </w:p>
              </w:tc>
              <w:tc>
                <w:tcPr>
                  <w:tcW w:w="768" w:type="dxa"/>
                  <w:vMerge w:val="continue"/>
                  <w:vAlign w:val="center"/>
                </w:tcPr>
                <w:p w14:paraId="0A44259A">
                  <w:pPr>
                    <w:snapToGrid w:val="0"/>
                    <w:jc w:val="center"/>
                    <w:rPr>
                      <w:color w:val="auto"/>
                      <w:kern w:val="0"/>
                      <w:szCs w:val="21"/>
                    </w:rPr>
                  </w:pPr>
                </w:p>
              </w:tc>
              <w:tc>
                <w:tcPr>
                  <w:tcW w:w="617" w:type="dxa"/>
                  <w:vMerge w:val="restart"/>
                  <w:vAlign w:val="center"/>
                </w:tcPr>
                <w:p w14:paraId="736A03E1">
                  <w:pPr>
                    <w:widowControl/>
                    <w:jc w:val="center"/>
                    <w:textAlignment w:val="center"/>
                    <w:rPr>
                      <w:color w:val="auto"/>
                      <w:szCs w:val="21"/>
                    </w:rPr>
                  </w:pPr>
                  <w:r>
                    <w:rPr>
                      <w:color w:val="auto"/>
                      <w:kern w:val="0"/>
                      <w:szCs w:val="21"/>
                      <w:lang w:bidi="ar"/>
                    </w:rPr>
                    <w:t>-33</w:t>
                  </w:r>
                </w:p>
              </w:tc>
              <w:tc>
                <w:tcPr>
                  <w:tcW w:w="617" w:type="dxa"/>
                  <w:vMerge w:val="restart"/>
                  <w:vAlign w:val="center"/>
                </w:tcPr>
                <w:p w14:paraId="514B1ABD">
                  <w:pPr>
                    <w:widowControl/>
                    <w:jc w:val="center"/>
                    <w:textAlignment w:val="center"/>
                    <w:rPr>
                      <w:color w:val="auto"/>
                      <w:szCs w:val="21"/>
                    </w:rPr>
                  </w:pPr>
                  <w:r>
                    <w:rPr>
                      <w:color w:val="auto"/>
                      <w:kern w:val="0"/>
                      <w:szCs w:val="21"/>
                      <w:lang w:bidi="ar"/>
                    </w:rPr>
                    <w:t>-80</w:t>
                  </w:r>
                </w:p>
              </w:tc>
              <w:tc>
                <w:tcPr>
                  <w:tcW w:w="623" w:type="dxa"/>
                  <w:vMerge w:val="restart"/>
                  <w:vAlign w:val="center"/>
                </w:tcPr>
                <w:p w14:paraId="7EEFE789">
                  <w:pPr>
                    <w:widowControl/>
                    <w:jc w:val="center"/>
                    <w:textAlignment w:val="center"/>
                    <w:rPr>
                      <w:color w:val="auto"/>
                      <w:szCs w:val="21"/>
                    </w:rPr>
                  </w:pPr>
                  <w:r>
                    <w:rPr>
                      <w:color w:val="auto"/>
                      <w:kern w:val="0"/>
                      <w:szCs w:val="21"/>
                      <w:lang w:bidi="ar"/>
                    </w:rPr>
                    <w:t>1.2</w:t>
                  </w:r>
                </w:p>
              </w:tc>
              <w:tc>
                <w:tcPr>
                  <w:tcW w:w="1171" w:type="dxa"/>
                  <w:vAlign w:val="center"/>
                </w:tcPr>
                <w:p w14:paraId="592BAEE8">
                  <w:pPr>
                    <w:snapToGrid w:val="0"/>
                    <w:jc w:val="center"/>
                    <w:rPr>
                      <w:color w:val="auto"/>
                    </w:rPr>
                  </w:pPr>
                  <w:r>
                    <w:rPr>
                      <w:rFonts w:hint="eastAsia"/>
                      <w:color w:val="auto"/>
                    </w:rPr>
                    <w:t>北86</w:t>
                  </w:r>
                </w:p>
              </w:tc>
              <w:tc>
                <w:tcPr>
                  <w:tcW w:w="782" w:type="dxa"/>
                  <w:vAlign w:val="center"/>
                </w:tcPr>
                <w:p w14:paraId="4EAC5D97">
                  <w:pPr>
                    <w:widowControl/>
                    <w:jc w:val="center"/>
                    <w:textAlignment w:val="center"/>
                    <w:rPr>
                      <w:color w:val="auto"/>
                      <w:szCs w:val="21"/>
                    </w:rPr>
                  </w:pPr>
                  <w:r>
                    <w:rPr>
                      <w:color w:val="auto"/>
                      <w:kern w:val="0"/>
                      <w:szCs w:val="21"/>
                      <w:lang w:bidi="ar"/>
                    </w:rPr>
                    <w:t>41.3</w:t>
                  </w:r>
                </w:p>
              </w:tc>
              <w:tc>
                <w:tcPr>
                  <w:tcW w:w="741" w:type="dxa"/>
                  <w:vMerge w:val="continue"/>
                  <w:vAlign w:val="center"/>
                </w:tcPr>
                <w:p w14:paraId="09330873">
                  <w:pPr>
                    <w:snapToGrid w:val="0"/>
                    <w:jc w:val="center"/>
                    <w:rPr>
                      <w:color w:val="auto"/>
                      <w:szCs w:val="21"/>
                    </w:rPr>
                  </w:pPr>
                </w:p>
              </w:tc>
              <w:tc>
                <w:tcPr>
                  <w:tcW w:w="893" w:type="dxa"/>
                  <w:vMerge w:val="continue"/>
                  <w:vAlign w:val="center"/>
                </w:tcPr>
                <w:p w14:paraId="7310C77B">
                  <w:pPr>
                    <w:snapToGrid w:val="0"/>
                    <w:jc w:val="center"/>
                    <w:rPr>
                      <w:color w:val="auto"/>
                      <w:szCs w:val="21"/>
                    </w:rPr>
                  </w:pPr>
                </w:p>
              </w:tc>
              <w:tc>
                <w:tcPr>
                  <w:tcW w:w="693" w:type="dxa"/>
                  <w:vAlign w:val="center"/>
                </w:tcPr>
                <w:p w14:paraId="2E04CCD1">
                  <w:pPr>
                    <w:widowControl/>
                    <w:jc w:val="center"/>
                    <w:textAlignment w:val="center"/>
                    <w:rPr>
                      <w:color w:val="auto"/>
                      <w:szCs w:val="21"/>
                    </w:rPr>
                  </w:pPr>
                  <w:r>
                    <w:rPr>
                      <w:color w:val="auto"/>
                      <w:kern w:val="0"/>
                      <w:szCs w:val="21"/>
                      <w:lang w:bidi="ar"/>
                    </w:rPr>
                    <w:t>21.3</w:t>
                  </w:r>
                </w:p>
              </w:tc>
              <w:tc>
                <w:tcPr>
                  <w:tcW w:w="1260" w:type="dxa"/>
                  <w:vMerge w:val="restart"/>
                  <w:vAlign w:val="center"/>
                </w:tcPr>
                <w:p w14:paraId="7F7B82F1">
                  <w:pPr>
                    <w:snapToGrid w:val="0"/>
                    <w:jc w:val="center"/>
                    <w:rPr>
                      <w:color w:val="auto"/>
                      <w:szCs w:val="21"/>
                    </w:rPr>
                  </w:pPr>
                  <w:r>
                    <w:rPr>
                      <w:rFonts w:hint="eastAsia"/>
                      <w:color w:val="auto"/>
                      <w:szCs w:val="21"/>
                    </w:rPr>
                    <w:t>1</w:t>
                  </w:r>
                </w:p>
              </w:tc>
            </w:tr>
            <w:tr w14:paraId="48662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vMerge w:val="continue"/>
                  <w:vAlign w:val="center"/>
                </w:tcPr>
                <w:p w14:paraId="19E5C256">
                  <w:pPr>
                    <w:snapToGrid w:val="0"/>
                    <w:jc w:val="center"/>
                    <w:rPr>
                      <w:color w:val="auto"/>
                      <w:szCs w:val="21"/>
                    </w:rPr>
                  </w:pPr>
                </w:p>
              </w:tc>
              <w:tc>
                <w:tcPr>
                  <w:tcW w:w="786" w:type="dxa"/>
                  <w:vMerge w:val="continue"/>
                  <w:vAlign w:val="center"/>
                </w:tcPr>
                <w:p w14:paraId="778E9321">
                  <w:pPr>
                    <w:snapToGrid w:val="0"/>
                    <w:jc w:val="center"/>
                    <w:rPr>
                      <w:color w:val="auto"/>
                      <w:szCs w:val="21"/>
                    </w:rPr>
                  </w:pPr>
                </w:p>
              </w:tc>
              <w:tc>
                <w:tcPr>
                  <w:tcW w:w="1383" w:type="dxa"/>
                  <w:vMerge w:val="continue"/>
                  <w:vAlign w:val="center"/>
                </w:tcPr>
                <w:p w14:paraId="52B3F8AD">
                  <w:pPr>
                    <w:adjustRightInd w:val="0"/>
                    <w:snapToGrid w:val="0"/>
                    <w:jc w:val="center"/>
                    <w:rPr>
                      <w:color w:val="auto"/>
                      <w:kern w:val="0"/>
                      <w:szCs w:val="21"/>
                    </w:rPr>
                  </w:pPr>
                </w:p>
              </w:tc>
              <w:tc>
                <w:tcPr>
                  <w:tcW w:w="1494" w:type="dxa"/>
                  <w:vMerge w:val="continue"/>
                  <w:vAlign w:val="center"/>
                </w:tcPr>
                <w:p w14:paraId="355B7C12">
                  <w:pPr>
                    <w:snapToGrid w:val="0"/>
                    <w:jc w:val="center"/>
                    <w:rPr>
                      <w:b/>
                      <w:bCs/>
                      <w:color w:val="auto"/>
                      <w:szCs w:val="21"/>
                    </w:rPr>
                  </w:pPr>
                </w:p>
              </w:tc>
              <w:tc>
                <w:tcPr>
                  <w:tcW w:w="1081" w:type="dxa"/>
                  <w:vMerge w:val="continue"/>
                  <w:vAlign w:val="center"/>
                </w:tcPr>
                <w:p w14:paraId="045BA8D1">
                  <w:pPr>
                    <w:adjustRightInd w:val="0"/>
                    <w:snapToGrid w:val="0"/>
                    <w:jc w:val="center"/>
                    <w:rPr>
                      <w:bCs/>
                      <w:color w:val="auto"/>
                      <w:kern w:val="0"/>
                      <w:szCs w:val="21"/>
                    </w:rPr>
                  </w:pPr>
                </w:p>
              </w:tc>
              <w:tc>
                <w:tcPr>
                  <w:tcW w:w="768" w:type="dxa"/>
                  <w:vMerge w:val="continue"/>
                  <w:vAlign w:val="center"/>
                </w:tcPr>
                <w:p w14:paraId="45508582">
                  <w:pPr>
                    <w:snapToGrid w:val="0"/>
                    <w:jc w:val="center"/>
                    <w:rPr>
                      <w:color w:val="auto"/>
                      <w:kern w:val="0"/>
                      <w:szCs w:val="21"/>
                    </w:rPr>
                  </w:pPr>
                </w:p>
              </w:tc>
              <w:tc>
                <w:tcPr>
                  <w:tcW w:w="617" w:type="dxa"/>
                  <w:vMerge w:val="continue"/>
                  <w:vAlign w:val="center"/>
                </w:tcPr>
                <w:p w14:paraId="26B9567D">
                  <w:pPr>
                    <w:snapToGrid w:val="0"/>
                    <w:jc w:val="center"/>
                    <w:rPr>
                      <w:color w:val="auto"/>
                      <w:szCs w:val="21"/>
                    </w:rPr>
                  </w:pPr>
                </w:p>
              </w:tc>
              <w:tc>
                <w:tcPr>
                  <w:tcW w:w="617" w:type="dxa"/>
                  <w:vMerge w:val="continue"/>
                  <w:vAlign w:val="center"/>
                </w:tcPr>
                <w:p w14:paraId="5C9AD8E9">
                  <w:pPr>
                    <w:snapToGrid w:val="0"/>
                    <w:jc w:val="center"/>
                    <w:rPr>
                      <w:color w:val="auto"/>
                      <w:szCs w:val="21"/>
                    </w:rPr>
                  </w:pPr>
                </w:p>
              </w:tc>
              <w:tc>
                <w:tcPr>
                  <w:tcW w:w="623" w:type="dxa"/>
                  <w:vMerge w:val="continue"/>
                  <w:vAlign w:val="center"/>
                </w:tcPr>
                <w:p w14:paraId="4B4D0298">
                  <w:pPr>
                    <w:snapToGrid w:val="0"/>
                    <w:jc w:val="center"/>
                    <w:rPr>
                      <w:color w:val="auto"/>
                      <w:szCs w:val="21"/>
                    </w:rPr>
                  </w:pPr>
                </w:p>
              </w:tc>
              <w:tc>
                <w:tcPr>
                  <w:tcW w:w="1171" w:type="dxa"/>
                  <w:vAlign w:val="center"/>
                </w:tcPr>
                <w:p w14:paraId="50A68331">
                  <w:pPr>
                    <w:snapToGrid w:val="0"/>
                    <w:jc w:val="center"/>
                    <w:rPr>
                      <w:color w:val="auto"/>
                    </w:rPr>
                  </w:pPr>
                  <w:r>
                    <w:rPr>
                      <w:rFonts w:hint="eastAsia"/>
                      <w:color w:val="auto"/>
                    </w:rPr>
                    <w:t>南14</w:t>
                  </w:r>
                </w:p>
              </w:tc>
              <w:tc>
                <w:tcPr>
                  <w:tcW w:w="782" w:type="dxa"/>
                  <w:vAlign w:val="center"/>
                </w:tcPr>
                <w:p w14:paraId="3523ADA5">
                  <w:pPr>
                    <w:widowControl/>
                    <w:jc w:val="center"/>
                    <w:textAlignment w:val="center"/>
                    <w:rPr>
                      <w:color w:val="auto"/>
                      <w:szCs w:val="21"/>
                    </w:rPr>
                  </w:pPr>
                  <w:r>
                    <w:rPr>
                      <w:color w:val="auto"/>
                      <w:kern w:val="0"/>
                      <w:szCs w:val="21"/>
                      <w:lang w:bidi="ar"/>
                    </w:rPr>
                    <w:t>57.1</w:t>
                  </w:r>
                </w:p>
              </w:tc>
              <w:tc>
                <w:tcPr>
                  <w:tcW w:w="741" w:type="dxa"/>
                  <w:vMerge w:val="continue"/>
                  <w:vAlign w:val="center"/>
                </w:tcPr>
                <w:p w14:paraId="6FD2F7EE">
                  <w:pPr>
                    <w:snapToGrid w:val="0"/>
                    <w:jc w:val="center"/>
                    <w:rPr>
                      <w:color w:val="auto"/>
                      <w:szCs w:val="21"/>
                    </w:rPr>
                  </w:pPr>
                </w:p>
              </w:tc>
              <w:tc>
                <w:tcPr>
                  <w:tcW w:w="893" w:type="dxa"/>
                  <w:vMerge w:val="continue"/>
                  <w:vAlign w:val="center"/>
                </w:tcPr>
                <w:p w14:paraId="3ED95537">
                  <w:pPr>
                    <w:snapToGrid w:val="0"/>
                    <w:jc w:val="center"/>
                    <w:rPr>
                      <w:color w:val="auto"/>
                      <w:szCs w:val="21"/>
                    </w:rPr>
                  </w:pPr>
                </w:p>
              </w:tc>
              <w:tc>
                <w:tcPr>
                  <w:tcW w:w="693" w:type="dxa"/>
                  <w:vAlign w:val="center"/>
                </w:tcPr>
                <w:p w14:paraId="1D494AC7">
                  <w:pPr>
                    <w:widowControl/>
                    <w:jc w:val="center"/>
                    <w:textAlignment w:val="center"/>
                    <w:rPr>
                      <w:color w:val="auto"/>
                      <w:szCs w:val="21"/>
                    </w:rPr>
                  </w:pPr>
                  <w:r>
                    <w:rPr>
                      <w:color w:val="auto"/>
                      <w:kern w:val="0"/>
                      <w:szCs w:val="21"/>
                      <w:lang w:bidi="ar"/>
                    </w:rPr>
                    <w:t>37.1</w:t>
                  </w:r>
                </w:p>
              </w:tc>
              <w:tc>
                <w:tcPr>
                  <w:tcW w:w="1260" w:type="dxa"/>
                  <w:vMerge w:val="continue"/>
                  <w:vAlign w:val="center"/>
                </w:tcPr>
                <w:p w14:paraId="73E64055">
                  <w:pPr>
                    <w:snapToGrid w:val="0"/>
                    <w:jc w:val="center"/>
                    <w:rPr>
                      <w:color w:val="auto"/>
                      <w:szCs w:val="21"/>
                    </w:rPr>
                  </w:pPr>
                </w:p>
              </w:tc>
            </w:tr>
            <w:tr w14:paraId="08F24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vMerge w:val="continue"/>
                  <w:vAlign w:val="center"/>
                </w:tcPr>
                <w:p w14:paraId="6CA81DB0">
                  <w:pPr>
                    <w:snapToGrid w:val="0"/>
                    <w:jc w:val="center"/>
                    <w:rPr>
                      <w:color w:val="auto"/>
                      <w:szCs w:val="21"/>
                    </w:rPr>
                  </w:pPr>
                </w:p>
              </w:tc>
              <w:tc>
                <w:tcPr>
                  <w:tcW w:w="786" w:type="dxa"/>
                  <w:vMerge w:val="continue"/>
                  <w:vAlign w:val="center"/>
                </w:tcPr>
                <w:p w14:paraId="5DA64D43">
                  <w:pPr>
                    <w:snapToGrid w:val="0"/>
                    <w:jc w:val="center"/>
                    <w:rPr>
                      <w:color w:val="auto"/>
                      <w:szCs w:val="21"/>
                    </w:rPr>
                  </w:pPr>
                </w:p>
              </w:tc>
              <w:tc>
                <w:tcPr>
                  <w:tcW w:w="1383" w:type="dxa"/>
                  <w:vMerge w:val="continue"/>
                  <w:vAlign w:val="center"/>
                </w:tcPr>
                <w:p w14:paraId="6930E0A1">
                  <w:pPr>
                    <w:adjustRightInd w:val="0"/>
                    <w:snapToGrid w:val="0"/>
                    <w:jc w:val="center"/>
                    <w:rPr>
                      <w:color w:val="auto"/>
                      <w:kern w:val="0"/>
                      <w:szCs w:val="21"/>
                    </w:rPr>
                  </w:pPr>
                </w:p>
              </w:tc>
              <w:tc>
                <w:tcPr>
                  <w:tcW w:w="1494" w:type="dxa"/>
                  <w:vMerge w:val="continue"/>
                  <w:vAlign w:val="center"/>
                </w:tcPr>
                <w:p w14:paraId="5E8AFB17">
                  <w:pPr>
                    <w:snapToGrid w:val="0"/>
                    <w:jc w:val="center"/>
                    <w:rPr>
                      <w:b/>
                      <w:bCs/>
                      <w:color w:val="auto"/>
                      <w:szCs w:val="21"/>
                    </w:rPr>
                  </w:pPr>
                </w:p>
              </w:tc>
              <w:tc>
                <w:tcPr>
                  <w:tcW w:w="1081" w:type="dxa"/>
                  <w:vMerge w:val="continue"/>
                  <w:vAlign w:val="center"/>
                </w:tcPr>
                <w:p w14:paraId="0E28BE52">
                  <w:pPr>
                    <w:adjustRightInd w:val="0"/>
                    <w:snapToGrid w:val="0"/>
                    <w:jc w:val="center"/>
                    <w:rPr>
                      <w:bCs/>
                      <w:color w:val="auto"/>
                      <w:kern w:val="0"/>
                      <w:szCs w:val="21"/>
                    </w:rPr>
                  </w:pPr>
                </w:p>
              </w:tc>
              <w:tc>
                <w:tcPr>
                  <w:tcW w:w="768" w:type="dxa"/>
                  <w:vMerge w:val="continue"/>
                  <w:vAlign w:val="center"/>
                </w:tcPr>
                <w:p w14:paraId="0A33A9B9">
                  <w:pPr>
                    <w:snapToGrid w:val="0"/>
                    <w:jc w:val="center"/>
                    <w:rPr>
                      <w:color w:val="auto"/>
                      <w:kern w:val="0"/>
                      <w:szCs w:val="21"/>
                    </w:rPr>
                  </w:pPr>
                </w:p>
              </w:tc>
              <w:tc>
                <w:tcPr>
                  <w:tcW w:w="617" w:type="dxa"/>
                  <w:vMerge w:val="continue"/>
                  <w:vAlign w:val="center"/>
                </w:tcPr>
                <w:p w14:paraId="40CE8F3A">
                  <w:pPr>
                    <w:snapToGrid w:val="0"/>
                    <w:jc w:val="center"/>
                    <w:rPr>
                      <w:color w:val="auto"/>
                      <w:szCs w:val="21"/>
                    </w:rPr>
                  </w:pPr>
                </w:p>
              </w:tc>
              <w:tc>
                <w:tcPr>
                  <w:tcW w:w="617" w:type="dxa"/>
                  <w:vMerge w:val="continue"/>
                  <w:vAlign w:val="center"/>
                </w:tcPr>
                <w:p w14:paraId="68F5F774">
                  <w:pPr>
                    <w:snapToGrid w:val="0"/>
                    <w:jc w:val="center"/>
                    <w:rPr>
                      <w:color w:val="auto"/>
                      <w:szCs w:val="21"/>
                    </w:rPr>
                  </w:pPr>
                </w:p>
              </w:tc>
              <w:tc>
                <w:tcPr>
                  <w:tcW w:w="623" w:type="dxa"/>
                  <w:vMerge w:val="continue"/>
                  <w:vAlign w:val="center"/>
                </w:tcPr>
                <w:p w14:paraId="15B047B4">
                  <w:pPr>
                    <w:snapToGrid w:val="0"/>
                    <w:jc w:val="center"/>
                    <w:rPr>
                      <w:color w:val="auto"/>
                      <w:szCs w:val="21"/>
                    </w:rPr>
                  </w:pPr>
                </w:p>
              </w:tc>
              <w:tc>
                <w:tcPr>
                  <w:tcW w:w="1171" w:type="dxa"/>
                  <w:vAlign w:val="center"/>
                </w:tcPr>
                <w:p w14:paraId="2431B78F">
                  <w:pPr>
                    <w:snapToGrid w:val="0"/>
                    <w:jc w:val="center"/>
                    <w:rPr>
                      <w:color w:val="auto"/>
                    </w:rPr>
                  </w:pPr>
                  <w:r>
                    <w:rPr>
                      <w:rFonts w:hint="eastAsia"/>
                      <w:color w:val="auto"/>
                    </w:rPr>
                    <w:t>东50</w:t>
                  </w:r>
                </w:p>
              </w:tc>
              <w:tc>
                <w:tcPr>
                  <w:tcW w:w="782" w:type="dxa"/>
                  <w:vAlign w:val="center"/>
                </w:tcPr>
                <w:p w14:paraId="5F766D8C">
                  <w:pPr>
                    <w:widowControl/>
                    <w:jc w:val="center"/>
                    <w:textAlignment w:val="center"/>
                    <w:rPr>
                      <w:color w:val="auto"/>
                      <w:szCs w:val="21"/>
                    </w:rPr>
                  </w:pPr>
                  <w:r>
                    <w:rPr>
                      <w:color w:val="auto"/>
                      <w:kern w:val="0"/>
                      <w:szCs w:val="21"/>
                      <w:lang w:bidi="ar"/>
                    </w:rPr>
                    <w:t>46.0</w:t>
                  </w:r>
                </w:p>
              </w:tc>
              <w:tc>
                <w:tcPr>
                  <w:tcW w:w="741" w:type="dxa"/>
                  <w:vMerge w:val="continue"/>
                  <w:vAlign w:val="center"/>
                </w:tcPr>
                <w:p w14:paraId="7D671C2F">
                  <w:pPr>
                    <w:snapToGrid w:val="0"/>
                    <w:jc w:val="center"/>
                    <w:rPr>
                      <w:color w:val="auto"/>
                      <w:szCs w:val="21"/>
                    </w:rPr>
                  </w:pPr>
                </w:p>
              </w:tc>
              <w:tc>
                <w:tcPr>
                  <w:tcW w:w="893" w:type="dxa"/>
                  <w:vMerge w:val="continue"/>
                  <w:vAlign w:val="center"/>
                </w:tcPr>
                <w:p w14:paraId="1CB3B673">
                  <w:pPr>
                    <w:snapToGrid w:val="0"/>
                    <w:jc w:val="center"/>
                    <w:rPr>
                      <w:color w:val="auto"/>
                      <w:szCs w:val="21"/>
                    </w:rPr>
                  </w:pPr>
                </w:p>
              </w:tc>
              <w:tc>
                <w:tcPr>
                  <w:tcW w:w="693" w:type="dxa"/>
                  <w:vAlign w:val="center"/>
                </w:tcPr>
                <w:p w14:paraId="782DACC9">
                  <w:pPr>
                    <w:widowControl/>
                    <w:jc w:val="center"/>
                    <w:textAlignment w:val="center"/>
                    <w:rPr>
                      <w:color w:val="auto"/>
                      <w:szCs w:val="21"/>
                    </w:rPr>
                  </w:pPr>
                  <w:r>
                    <w:rPr>
                      <w:color w:val="auto"/>
                      <w:kern w:val="0"/>
                      <w:szCs w:val="21"/>
                      <w:lang w:bidi="ar"/>
                    </w:rPr>
                    <w:t>26.0</w:t>
                  </w:r>
                </w:p>
              </w:tc>
              <w:tc>
                <w:tcPr>
                  <w:tcW w:w="1260" w:type="dxa"/>
                  <w:vMerge w:val="continue"/>
                  <w:vAlign w:val="center"/>
                </w:tcPr>
                <w:p w14:paraId="317BCD0B">
                  <w:pPr>
                    <w:snapToGrid w:val="0"/>
                    <w:jc w:val="center"/>
                    <w:rPr>
                      <w:color w:val="auto"/>
                      <w:szCs w:val="21"/>
                    </w:rPr>
                  </w:pPr>
                </w:p>
              </w:tc>
            </w:tr>
            <w:tr w14:paraId="2159E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vMerge w:val="continue"/>
                  <w:vAlign w:val="center"/>
                </w:tcPr>
                <w:p w14:paraId="6057C531">
                  <w:pPr>
                    <w:snapToGrid w:val="0"/>
                    <w:jc w:val="center"/>
                    <w:rPr>
                      <w:color w:val="auto"/>
                      <w:szCs w:val="21"/>
                    </w:rPr>
                  </w:pPr>
                </w:p>
              </w:tc>
              <w:tc>
                <w:tcPr>
                  <w:tcW w:w="786" w:type="dxa"/>
                  <w:vMerge w:val="continue"/>
                  <w:vAlign w:val="center"/>
                </w:tcPr>
                <w:p w14:paraId="0CE5959B">
                  <w:pPr>
                    <w:snapToGrid w:val="0"/>
                    <w:jc w:val="center"/>
                    <w:rPr>
                      <w:color w:val="auto"/>
                      <w:szCs w:val="21"/>
                    </w:rPr>
                  </w:pPr>
                </w:p>
              </w:tc>
              <w:tc>
                <w:tcPr>
                  <w:tcW w:w="1383" w:type="dxa"/>
                  <w:vMerge w:val="continue"/>
                  <w:vAlign w:val="center"/>
                </w:tcPr>
                <w:p w14:paraId="379A418D">
                  <w:pPr>
                    <w:adjustRightInd w:val="0"/>
                    <w:snapToGrid w:val="0"/>
                    <w:jc w:val="center"/>
                    <w:rPr>
                      <w:color w:val="auto"/>
                      <w:kern w:val="0"/>
                      <w:szCs w:val="21"/>
                    </w:rPr>
                  </w:pPr>
                </w:p>
              </w:tc>
              <w:tc>
                <w:tcPr>
                  <w:tcW w:w="1494" w:type="dxa"/>
                  <w:vMerge w:val="continue"/>
                  <w:vAlign w:val="center"/>
                </w:tcPr>
                <w:p w14:paraId="5501641F">
                  <w:pPr>
                    <w:snapToGrid w:val="0"/>
                    <w:jc w:val="center"/>
                    <w:rPr>
                      <w:b/>
                      <w:bCs/>
                      <w:color w:val="auto"/>
                      <w:szCs w:val="21"/>
                    </w:rPr>
                  </w:pPr>
                </w:p>
              </w:tc>
              <w:tc>
                <w:tcPr>
                  <w:tcW w:w="1081" w:type="dxa"/>
                  <w:vMerge w:val="continue"/>
                  <w:vAlign w:val="center"/>
                </w:tcPr>
                <w:p w14:paraId="2C7763CA">
                  <w:pPr>
                    <w:adjustRightInd w:val="0"/>
                    <w:snapToGrid w:val="0"/>
                    <w:jc w:val="center"/>
                    <w:rPr>
                      <w:bCs/>
                      <w:color w:val="auto"/>
                      <w:kern w:val="0"/>
                      <w:szCs w:val="21"/>
                    </w:rPr>
                  </w:pPr>
                </w:p>
              </w:tc>
              <w:tc>
                <w:tcPr>
                  <w:tcW w:w="768" w:type="dxa"/>
                  <w:vMerge w:val="continue"/>
                  <w:vAlign w:val="center"/>
                </w:tcPr>
                <w:p w14:paraId="41CD3F22">
                  <w:pPr>
                    <w:snapToGrid w:val="0"/>
                    <w:jc w:val="center"/>
                    <w:rPr>
                      <w:color w:val="auto"/>
                      <w:kern w:val="0"/>
                      <w:szCs w:val="21"/>
                    </w:rPr>
                  </w:pPr>
                </w:p>
              </w:tc>
              <w:tc>
                <w:tcPr>
                  <w:tcW w:w="617" w:type="dxa"/>
                  <w:vMerge w:val="continue"/>
                  <w:vAlign w:val="center"/>
                </w:tcPr>
                <w:p w14:paraId="5F44674F">
                  <w:pPr>
                    <w:snapToGrid w:val="0"/>
                    <w:jc w:val="center"/>
                    <w:rPr>
                      <w:color w:val="auto"/>
                      <w:szCs w:val="21"/>
                    </w:rPr>
                  </w:pPr>
                </w:p>
              </w:tc>
              <w:tc>
                <w:tcPr>
                  <w:tcW w:w="617" w:type="dxa"/>
                  <w:vMerge w:val="continue"/>
                  <w:vAlign w:val="center"/>
                </w:tcPr>
                <w:p w14:paraId="2AB6F01A">
                  <w:pPr>
                    <w:snapToGrid w:val="0"/>
                    <w:jc w:val="center"/>
                    <w:rPr>
                      <w:color w:val="auto"/>
                      <w:szCs w:val="21"/>
                    </w:rPr>
                  </w:pPr>
                </w:p>
              </w:tc>
              <w:tc>
                <w:tcPr>
                  <w:tcW w:w="623" w:type="dxa"/>
                  <w:vMerge w:val="continue"/>
                  <w:vAlign w:val="center"/>
                </w:tcPr>
                <w:p w14:paraId="6B20B999">
                  <w:pPr>
                    <w:snapToGrid w:val="0"/>
                    <w:jc w:val="center"/>
                    <w:rPr>
                      <w:color w:val="auto"/>
                      <w:szCs w:val="21"/>
                    </w:rPr>
                  </w:pPr>
                </w:p>
              </w:tc>
              <w:tc>
                <w:tcPr>
                  <w:tcW w:w="1171" w:type="dxa"/>
                  <w:vAlign w:val="center"/>
                </w:tcPr>
                <w:p w14:paraId="3F58DDF1">
                  <w:pPr>
                    <w:snapToGrid w:val="0"/>
                    <w:jc w:val="center"/>
                    <w:rPr>
                      <w:color w:val="auto"/>
                    </w:rPr>
                  </w:pPr>
                  <w:r>
                    <w:rPr>
                      <w:rFonts w:hint="eastAsia"/>
                      <w:color w:val="auto"/>
                    </w:rPr>
                    <w:t>西10</w:t>
                  </w:r>
                </w:p>
              </w:tc>
              <w:tc>
                <w:tcPr>
                  <w:tcW w:w="782" w:type="dxa"/>
                  <w:vAlign w:val="center"/>
                </w:tcPr>
                <w:p w14:paraId="11AA0420">
                  <w:pPr>
                    <w:widowControl/>
                    <w:jc w:val="center"/>
                    <w:textAlignment w:val="center"/>
                    <w:rPr>
                      <w:color w:val="auto"/>
                      <w:szCs w:val="21"/>
                    </w:rPr>
                  </w:pPr>
                  <w:r>
                    <w:rPr>
                      <w:color w:val="auto"/>
                      <w:kern w:val="0"/>
                      <w:szCs w:val="21"/>
                      <w:lang w:bidi="ar"/>
                    </w:rPr>
                    <w:t>60.0</w:t>
                  </w:r>
                </w:p>
              </w:tc>
              <w:tc>
                <w:tcPr>
                  <w:tcW w:w="741" w:type="dxa"/>
                  <w:vMerge w:val="continue"/>
                  <w:vAlign w:val="center"/>
                </w:tcPr>
                <w:p w14:paraId="274CB6F8">
                  <w:pPr>
                    <w:snapToGrid w:val="0"/>
                    <w:jc w:val="center"/>
                    <w:rPr>
                      <w:color w:val="auto"/>
                      <w:szCs w:val="21"/>
                    </w:rPr>
                  </w:pPr>
                </w:p>
              </w:tc>
              <w:tc>
                <w:tcPr>
                  <w:tcW w:w="893" w:type="dxa"/>
                  <w:vMerge w:val="continue"/>
                  <w:vAlign w:val="center"/>
                </w:tcPr>
                <w:p w14:paraId="63B1B94D">
                  <w:pPr>
                    <w:snapToGrid w:val="0"/>
                    <w:jc w:val="center"/>
                    <w:rPr>
                      <w:color w:val="auto"/>
                      <w:szCs w:val="21"/>
                    </w:rPr>
                  </w:pPr>
                </w:p>
              </w:tc>
              <w:tc>
                <w:tcPr>
                  <w:tcW w:w="693" w:type="dxa"/>
                  <w:vAlign w:val="center"/>
                </w:tcPr>
                <w:p w14:paraId="7CF7620F">
                  <w:pPr>
                    <w:widowControl/>
                    <w:jc w:val="center"/>
                    <w:textAlignment w:val="center"/>
                    <w:rPr>
                      <w:color w:val="auto"/>
                      <w:szCs w:val="21"/>
                    </w:rPr>
                  </w:pPr>
                  <w:r>
                    <w:rPr>
                      <w:color w:val="auto"/>
                      <w:kern w:val="0"/>
                      <w:szCs w:val="21"/>
                      <w:lang w:bidi="ar"/>
                    </w:rPr>
                    <w:t>40.0</w:t>
                  </w:r>
                </w:p>
              </w:tc>
              <w:tc>
                <w:tcPr>
                  <w:tcW w:w="1260" w:type="dxa"/>
                  <w:vMerge w:val="continue"/>
                  <w:vAlign w:val="center"/>
                </w:tcPr>
                <w:p w14:paraId="376A2090">
                  <w:pPr>
                    <w:snapToGrid w:val="0"/>
                    <w:jc w:val="center"/>
                    <w:rPr>
                      <w:color w:val="auto"/>
                      <w:szCs w:val="21"/>
                    </w:rPr>
                  </w:pPr>
                </w:p>
              </w:tc>
            </w:tr>
            <w:tr w14:paraId="69A5B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vMerge w:val="restart"/>
                  <w:vAlign w:val="center"/>
                </w:tcPr>
                <w:p w14:paraId="53BB5727">
                  <w:pPr>
                    <w:widowControl/>
                    <w:jc w:val="center"/>
                    <w:textAlignment w:val="center"/>
                    <w:rPr>
                      <w:color w:val="auto"/>
                      <w:szCs w:val="21"/>
                    </w:rPr>
                  </w:pPr>
                  <w:r>
                    <w:rPr>
                      <w:color w:val="auto"/>
                      <w:kern w:val="0"/>
                      <w:szCs w:val="21"/>
                      <w:lang w:bidi="ar"/>
                    </w:rPr>
                    <w:t>3</w:t>
                  </w:r>
                </w:p>
              </w:tc>
              <w:tc>
                <w:tcPr>
                  <w:tcW w:w="786" w:type="dxa"/>
                  <w:vMerge w:val="continue"/>
                  <w:vAlign w:val="center"/>
                </w:tcPr>
                <w:p w14:paraId="6E98C03A">
                  <w:pPr>
                    <w:snapToGrid w:val="0"/>
                    <w:jc w:val="center"/>
                    <w:rPr>
                      <w:color w:val="auto"/>
                      <w:szCs w:val="21"/>
                    </w:rPr>
                  </w:pPr>
                </w:p>
              </w:tc>
              <w:tc>
                <w:tcPr>
                  <w:tcW w:w="1383" w:type="dxa"/>
                  <w:vMerge w:val="restart"/>
                  <w:vAlign w:val="center"/>
                </w:tcPr>
                <w:p w14:paraId="787303DF">
                  <w:pPr>
                    <w:autoSpaceDE w:val="0"/>
                    <w:autoSpaceDN w:val="0"/>
                    <w:adjustRightInd w:val="0"/>
                    <w:snapToGrid w:val="0"/>
                    <w:jc w:val="center"/>
                    <w:rPr>
                      <w:color w:val="auto"/>
                      <w:kern w:val="0"/>
                      <w:szCs w:val="21"/>
                    </w:rPr>
                  </w:pPr>
                  <w:r>
                    <w:rPr>
                      <w:rFonts w:hint="eastAsia"/>
                      <w:color w:val="auto"/>
                      <w:szCs w:val="21"/>
                    </w:rPr>
                    <w:t>宽带砂光机</w:t>
                  </w:r>
                </w:p>
              </w:tc>
              <w:tc>
                <w:tcPr>
                  <w:tcW w:w="1494" w:type="dxa"/>
                  <w:vMerge w:val="restart"/>
                  <w:vAlign w:val="center"/>
                </w:tcPr>
                <w:p w14:paraId="4B8F4DAC">
                  <w:pPr>
                    <w:autoSpaceDE w:val="0"/>
                    <w:autoSpaceDN w:val="0"/>
                    <w:adjustRightInd w:val="0"/>
                    <w:snapToGrid w:val="0"/>
                    <w:jc w:val="center"/>
                    <w:rPr>
                      <w:b/>
                      <w:bCs/>
                      <w:color w:val="auto"/>
                      <w:szCs w:val="21"/>
                    </w:rPr>
                  </w:pPr>
                  <w:r>
                    <w:rPr>
                      <w:rFonts w:hint="eastAsia"/>
                      <w:color w:val="auto"/>
                      <w:szCs w:val="21"/>
                    </w:rPr>
                    <w:t>MSGSRU630</w:t>
                  </w:r>
                </w:p>
              </w:tc>
              <w:tc>
                <w:tcPr>
                  <w:tcW w:w="1081" w:type="dxa"/>
                  <w:vMerge w:val="restart"/>
                  <w:vAlign w:val="center"/>
                </w:tcPr>
                <w:p w14:paraId="592914A8">
                  <w:pPr>
                    <w:widowControl/>
                    <w:jc w:val="center"/>
                    <w:textAlignment w:val="center"/>
                    <w:rPr>
                      <w:bCs/>
                      <w:color w:val="auto"/>
                      <w:kern w:val="0"/>
                      <w:szCs w:val="21"/>
                    </w:rPr>
                  </w:pPr>
                  <w:r>
                    <w:rPr>
                      <w:rFonts w:hint="eastAsia"/>
                      <w:color w:val="auto"/>
                      <w:kern w:val="0"/>
                      <w:szCs w:val="21"/>
                      <w:lang w:bidi="ar"/>
                    </w:rPr>
                    <w:t>80</w:t>
                  </w:r>
                </w:p>
              </w:tc>
              <w:tc>
                <w:tcPr>
                  <w:tcW w:w="768" w:type="dxa"/>
                  <w:vMerge w:val="continue"/>
                  <w:vAlign w:val="center"/>
                </w:tcPr>
                <w:p w14:paraId="35A53122">
                  <w:pPr>
                    <w:snapToGrid w:val="0"/>
                    <w:jc w:val="center"/>
                    <w:rPr>
                      <w:color w:val="auto"/>
                      <w:kern w:val="0"/>
                      <w:szCs w:val="21"/>
                    </w:rPr>
                  </w:pPr>
                </w:p>
              </w:tc>
              <w:tc>
                <w:tcPr>
                  <w:tcW w:w="617" w:type="dxa"/>
                  <w:vMerge w:val="restart"/>
                  <w:vAlign w:val="center"/>
                </w:tcPr>
                <w:p w14:paraId="7BDADE97">
                  <w:pPr>
                    <w:widowControl/>
                    <w:jc w:val="center"/>
                    <w:textAlignment w:val="center"/>
                    <w:rPr>
                      <w:color w:val="auto"/>
                      <w:szCs w:val="21"/>
                    </w:rPr>
                  </w:pPr>
                  <w:r>
                    <w:rPr>
                      <w:color w:val="auto"/>
                      <w:kern w:val="0"/>
                      <w:szCs w:val="21"/>
                      <w:lang w:bidi="ar"/>
                    </w:rPr>
                    <w:t>-31</w:t>
                  </w:r>
                </w:p>
              </w:tc>
              <w:tc>
                <w:tcPr>
                  <w:tcW w:w="617" w:type="dxa"/>
                  <w:vMerge w:val="restart"/>
                  <w:vAlign w:val="center"/>
                </w:tcPr>
                <w:p w14:paraId="47B01BF6">
                  <w:pPr>
                    <w:widowControl/>
                    <w:jc w:val="center"/>
                    <w:textAlignment w:val="center"/>
                    <w:rPr>
                      <w:color w:val="auto"/>
                      <w:szCs w:val="21"/>
                    </w:rPr>
                  </w:pPr>
                  <w:r>
                    <w:rPr>
                      <w:color w:val="auto"/>
                      <w:kern w:val="0"/>
                      <w:szCs w:val="21"/>
                      <w:lang w:bidi="ar"/>
                    </w:rPr>
                    <w:t>-75</w:t>
                  </w:r>
                </w:p>
              </w:tc>
              <w:tc>
                <w:tcPr>
                  <w:tcW w:w="623" w:type="dxa"/>
                  <w:vMerge w:val="restart"/>
                  <w:vAlign w:val="center"/>
                </w:tcPr>
                <w:p w14:paraId="145FAD7A">
                  <w:pPr>
                    <w:widowControl/>
                    <w:jc w:val="center"/>
                    <w:textAlignment w:val="center"/>
                    <w:rPr>
                      <w:color w:val="auto"/>
                      <w:szCs w:val="21"/>
                    </w:rPr>
                  </w:pPr>
                  <w:r>
                    <w:rPr>
                      <w:color w:val="auto"/>
                      <w:kern w:val="0"/>
                      <w:szCs w:val="21"/>
                      <w:lang w:bidi="ar"/>
                    </w:rPr>
                    <w:t>1.2</w:t>
                  </w:r>
                </w:p>
              </w:tc>
              <w:tc>
                <w:tcPr>
                  <w:tcW w:w="1171" w:type="dxa"/>
                  <w:vAlign w:val="center"/>
                </w:tcPr>
                <w:p w14:paraId="0C527A43">
                  <w:pPr>
                    <w:snapToGrid w:val="0"/>
                    <w:jc w:val="center"/>
                    <w:rPr>
                      <w:color w:val="auto"/>
                    </w:rPr>
                  </w:pPr>
                  <w:r>
                    <w:rPr>
                      <w:rFonts w:hint="eastAsia"/>
                      <w:color w:val="auto"/>
                    </w:rPr>
                    <w:t>北82</w:t>
                  </w:r>
                </w:p>
              </w:tc>
              <w:tc>
                <w:tcPr>
                  <w:tcW w:w="782" w:type="dxa"/>
                  <w:vAlign w:val="center"/>
                </w:tcPr>
                <w:p w14:paraId="1D83D800">
                  <w:pPr>
                    <w:widowControl/>
                    <w:jc w:val="center"/>
                    <w:textAlignment w:val="center"/>
                    <w:rPr>
                      <w:color w:val="auto"/>
                      <w:szCs w:val="21"/>
                    </w:rPr>
                  </w:pPr>
                  <w:r>
                    <w:rPr>
                      <w:color w:val="auto"/>
                      <w:kern w:val="0"/>
                      <w:szCs w:val="21"/>
                      <w:lang w:bidi="ar"/>
                    </w:rPr>
                    <w:t>41.7</w:t>
                  </w:r>
                </w:p>
              </w:tc>
              <w:tc>
                <w:tcPr>
                  <w:tcW w:w="741" w:type="dxa"/>
                  <w:vMerge w:val="continue"/>
                  <w:vAlign w:val="center"/>
                </w:tcPr>
                <w:p w14:paraId="60DA6BAE">
                  <w:pPr>
                    <w:snapToGrid w:val="0"/>
                    <w:jc w:val="center"/>
                    <w:rPr>
                      <w:color w:val="auto"/>
                      <w:szCs w:val="21"/>
                    </w:rPr>
                  </w:pPr>
                </w:p>
              </w:tc>
              <w:tc>
                <w:tcPr>
                  <w:tcW w:w="893" w:type="dxa"/>
                  <w:vMerge w:val="continue"/>
                  <w:vAlign w:val="center"/>
                </w:tcPr>
                <w:p w14:paraId="0164ED8B">
                  <w:pPr>
                    <w:snapToGrid w:val="0"/>
                    <w:jc w:val="center"/>
                    <w:rPr>
                      <w:color w:val="auto"/>
                      <w:szCs w:val="21"/>
                    </w:rPr>
                  </w:pPr>
                </w:p>
              </w:tc>
              <w:tc>
                <w:tcPr>
                  <w:tcW w:w="693" w:type="dxa"/>
                  <w:vAlign w:val="center"/>
                </w:tcPr>
                <w:p w14:paraId="6E400469">
                  <w:pPr>
                    <w:widowControl/>
                    <w:jc w:val="center"/>
                    <w:textAlignment w:val="center"/>
                    <w:rPr>
                      <w:color w:val="auto"/>
                      <w:szCs w:val="21"/>
                    </w:rPr>
                  </w:pPr>
                  <w:r>
                    <w:rPr>
                      <w:color w:val="auto"/>
                      <w:kern w:val="0"/>
                      <w:szCs w:val="21"/>
                      <w:lang w:bidi="ar"/>
                    </w:rPr>
                    <w:t>21.7</w:t>
                  </w:r>
                </w:p>
              </w:tc>
              <w:tc>
                <w:tcPr>
                  <w:tcW w:w="1260" w:type="dxa"/>
                  <w:vMerge w:val="restart"/>
                  <w:vAlign w:val="center"/>
                </w:tcPr>
                <w:p w14:paraId="7001543E">
                  <w:pPr>
                    <w:snapToGrid w:val="0"/>
                    <w:jc w:val="center"/>
                    <w:rPr>
                      <w:color w:val="auto"/>
                      <w:szCs w:val="21"/>
                    </w:rPr>
                  </w:pPr>
                  <w:r>
                    <w:rPr>
                      <w:rFonts w:hint="eastAsia"/>
                      <w:color w:val="auto"/>
                      <w:szCs w:val="21"/>
                    </w:rPr>
                    <w:t>1</w:t>
                  </w:r>
                </w:p>
              </w:tc>
            </w:tr>
            <w:tr w14:paraId="35D8F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vMerge w:val="continue"/>
                  <w:vAlign w:val="center"/>
                </w:tcPr>
                <w:p w14:paraId="74FC6278">
                  <w:pPr>
                    <w:snapToGrid w:val="0"/>
                    <w:jc w:val="center"/>
                    <w:rPr>
                      <w:color w:val="auto"/>
                      <w:szCs w:val="21"/>
                    </w:rPr>
                  </w:pPr>
                </w:p>
              </w:tc>
              <w:tc>
                <w:tcPr>
                  <w:tcW w:w="786" w:type="dxa"/>
                  <w:vMerge w:val="continue"/>
                  <w:vAlign w:val="center"/>
                </w:tcPr>
                <w:p w14:paraId="1E12F4D1">
                  <w:pPr>
                    <w:snapToGrid w:val="0"/>
                    <w:jc w:val="center"/>
                    <w:rPr>
                      <w:color w:val="auto"/>
                      <w:szCs w:val="21"/>
                    </w:rPr>
                  </w:pPr>
                </w:p>
              </w:tc>
              <w:tc>
                <w:tcPr>
                  <w:tcW w:w="1383" w:type="dxa"/>
                  <w:vMerge w:val="continue"/>
                  <w:vAlign w:val="center"/>
                </w:tcPr>
                <w:p w14:paraId="2D1514D4">
                  <w:pPr>
                    <w:adjustRightInd w:val="0"/>
                    <w:snapToGrid w:val="0"/>
                    <w:jc w:val="center"/>
                    <w:rPr>
                      <w:color w:val="auto"/>
                      <w:kern w:val="0"/>
                      <w:szCs w:val="21"/>
                    </w:rPr>
                  </w:pPr>
                </w:p>
              </w:tc>
              <w:tc>
                <w:tcPr>
                  <w:tcW w:w="1494" w:type="dxa"/>
                  <w:vMerge w:val="continue"/>
                  <w:vAlign w:val="center"/>
                </w:tcPr>
                <w:p w14:paraId="25A72579">
                  <w:pPr>
                    <w:snapToGrid w:val="0"/>
                    <w:jc w:val="center"/>
                    <w:rPr>
                      <w:b/>
                      <w:bCs/>
                      <w:color w:val="auto"/>
                      <w:szCs w:val="21"/>
                    </w:rPr>
                  </w:pPr>
                </w:p>
              </w:tc>
              <w:tc>
                <w:tcPr>
                  <w:tcW w:w="1081" w:type="dxa"/>
                  <w:vMerge w:val="continue"/>
                  <w:vAlign w:val="center"/>
                </w:tcPr>
                <w:p w14:paraId="262FF85E">
                  <w:pPr>
                    <w:adjustRightInd w:val="0"/>
                    <w:snapToGrid w:val="0"/>
                    <w:jc w:val="center"/>
                    <w:rPr>
                      <w:bCs/>
                      <w:color w:val="auto"/>
                      <w:kern w:val="0"/>
                      <w:szCs w:val="21"/>
                    </w:rPr>
                  </w:pPr>
                </w:p>
              </w:tc>
              <w:tc>
                <w:tcPr>
                  <w:tcW w:w="768" w:type="dxa"/>
                  <w:vMerge w:val="continue"/>
                  <w:vAlign w:val="center"/>
                </w:tcPr>
                <w:p w14:paraId="2F02A56F">
                  <w:pPr>
                    <w:snapToGrid w:val="0"/>
                    <w:jc w:val="center"/>
                    <w:rPr>
                      <w:color w:val="auto"/>
                      <w:kern w:val="0"/>
                      <w:szCs w:val="21"/>
                    </w:rPr>
                  </w:pPr>
                </w:p>
              </w:tc>
              <w:tc>
                <w:tcPr>
                  <w:tcW w:w="617" w:type="dxa"/>
                  <w:vMerge w:val="continue"/>
                  <w:vAlign w:val="center"/>
                </w:tcPr>
                <w:p w14:paraId="08C9D114">
                  <w:pPr>
                    <w:snapToGrid w:val="0"/>
                    <w:jc w:val="center"/>
                    <w:rPr>
                      <w:color w:val="auto"/>
                      <w:szCs w:val="21"/>
                    </w:rPr>
                  </w:pPr>
                </w:p>
              </w:tc>
              <w:tc>
                <w:tcPr>
                  <w:tcW w:w="617" w:type="dxa"/>
                  <w:vMerge w:val="continue"/>
                  <w:vAlign w:val="center"/>
                </w:tcPr>
                <w:p w14:paraId="78086106">
                  <w:pPr>
                    <w:snapToGrid w:val="0"/>
                    <w:jc w:val="center"/>
                    <w:rPr>
                      <w:color w:val="auto"/>
                      <w:szCs w:val="21"/>
                    </w:rPr>
                  </w:pPr>
                </w:p>
              </w:tc>
              <w:tc>
                <w:tcPr>
                  <w:tcW w:w="623" w:type="dxa"/>
                  <w:vMerge w:val="continue"/>
                  <w:vAlign w:val="center"/>
                </w:tcPr>
                <w:p w14:paraId="637C110D">
                  <w:pPr>
                    <w:snapToGrid w:val="0"/>
                    <w:jc w:val="center"/>
                    <w:rPr>
                      <w:color w:val="auto"/>
                      <w:szCs w:val="21"/>
                    </w:rPr>
                  </w:pPr>
                </w:p>
              </w:tc>
              <w:tc>
                <w:tcPr>
                  <w:tcW w:w="1171" w:type="dxa"/>
                  <w:vAlign w:val="center"/>
                </w:tcPr>
                <w:p w14:paraId="11E22FEB">
                  <w:pPr>
                    <w:snapToGrid w:val="0"/>
                    <w:jc w:val="center"/>
                    <w:rPr>
                      <w:color w:val="auto"/>
                    </w:rPr>
                  </w:pPr>
                  <w:r>
                    <w:rPr>
                      <w:rFonts w:hint="eastAsia"/>
                      <w:color w:val="auto"/>
                    </w:rPr>
                    <w:t>南18</w:t>
                  </w:r>
                </w:p>
              </w:tc>
              <w:tc>
                <w:tcPr>
                  <w:tcW w:w="782" w:type="dxa"/>
                  <w:vAlign w:val="center"/>
                </w:tcPr>
                <w:p w14:paraId="3556666C">
                  <w:pPr>
                    <w:widowControl/>
                    <w:jc w:val="center"/>
                    <w:textAlignment w:val="center"/>
                    <w:rPr>
                      <w:color w:val="auto"/>
                      <w:szCs w:val="21"/>
                    </w:rPr>
                  </w:pPr>
                  <w:r>
                    <w:rPr>
                      <w:color w:val="auto"/>
                      <w:kern w:val="0"/>
                      <w:szCs w:val="21"/>
                      <w:lang w:bidi="ar"/>
                    </w:rPr>
                    <w:t>54.9</w:t>
                  </w:r>
                </w:p>
              </w:tc>
              <w:tc>
                <w:tcPr>
                  <w:tcW w:w="741" w:type="dxa"/>
                  <w:vMerge w:val="continue"/>
                  <w:vAlign w:val="center"/>
                </w:tcPr>
                <w:p w14:paraId="00198661">
                  <w:pPr>
                    <w:snapToGrid w:val="0"/>
                    <w:jc w:val="center"/>
                    <w:rPr>
                      <w:color w:val="auto"/>
                      <w:szCs w:val="21"/>
                    </w:rPr>
                  </w:pPr>
                </w:p>
              </w:tc>
              <w:tc>
                <w:tcPr>
                  <w:tcW w:w="893" w:type="dxa"/>
                  <w:vMerge w:val="continue"/>
                  <w:vAlign w:val="center"/>
                </w:tcPr>
                <w:p w14:paraId="467096A2">
                  <w:pPr>
                    <w:snapToGrid w:val="0"/>
                    <w:jc w:val="center"/>
                    <w:rPr>
                      <w:color w:val="auto"/>
                      <w:szCs w:val="21"/>
                    </w:rPr>
                  </w:pPr>
                </w:p>
              </w:tc>
              <w:tc>
                <w:tcPr>
                  <w:tcW w:w="693" w:type="dxa"/>
                  <w:vAlign w:val="center"/>
                </w:tcPr>
                <w:p w14:paraId="4C7C74E4">
                  <w:pPr>
                    <w:widowControl/>
                    <w:jc w:val="center"/>
                    <w:textAlignment w:val="center"/>
                    <w:rPr>
                      <w:color w:val="auto"/>
                      <w:szCs w:val="21"/>
                    </w:rPr>
                  </w:pPr>
                  <w:r>
                    <w:rPr>
                      <w:color w:val="auto"/>
                      <w:kern w:val="0"/>
                      <w:szCs w:val="21"/>
                      <w:lang w:bidi="ar"/>
                    </w:rPr>
                    <w:t>34.9</w:t>
                  </w:r>
                </w:p>
              </w:tc>
              <w:tc>
                <w:tcPr>
                  <w:tcW w:w="1260" w:type="dxa"/>
                  <w:vMerge w:val="continue"/>
                  <w:vAlign w:val="center"/>
                </w:tcPr>
                <w:p w14:paraId="228D9591">
                  <w:pPr>
                    <w:snapToGrid w:val="0"/>
                    <w:jc w:val="center"/>
                    <w:rPr>
                      <w:color w:val="auto"/>
                      <w:szCs w:val="21"/>
                    </w:rPr>
                  </w:pPr>
                </w:p>
              </w:tc>
            </w:tr>
            <w:tr w14:paraId="497DA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vMerge w:val="continue"/>
                  <w:vAlign w:val="center"/>
                </w:tcPr>
                <w:p w14:paraId="74F8BE04">
                  <w:pPr>
                    <w:snapToGrid w:val="0"/>
                    <w:jc w:val="center"/>
                    <w:rPr>
                      <w:color w:val="auto"/>
                      <w:szCs w:val="21"/>
                    </w:rPr>
                  </w:pPr>
                </w:p>
              </w:tc>
              <w:tc>
                <w:tcPr>
                  <w:tcW w:w="786" w:type="dxa"/>
                  <w:vMerge w:val="continue"/>
                  <w:vAlign w:val="center"/>
                </w:tcPr>
                <w:p w14:paraId="3391E381">
                  <w:pPr>
                    <w:snapToGrid w:val="0"/>
                    <w:jc w:val="center"/>
                    <w:rPr>
                      <w:color w:val="auto"/>
                      <w:szCs w:val="21"/>
                    </w:rPr>
                  </w:pPr>
                </w:p>
              </w:tc>
              <w:tc>
                <w:tcPr>
                  <w:tcW w:w="1383" w:type="dxa"/>
                  <w:vMerge w:val="continue"/>
                  <w:vAlign w:val="center"/>
                </w:tcPr>
                <w:p w14:paraId="25F87E3B">
                  <w:pPr>
                    <w:adjustRightInd w:val="0"/>
                    <w:snapToGrid w:val="0"/>
                    <w:jc w:val="center"/>
                    <w:rPr>
                      <w:color w:val="auto"/>
                      <w:kern w:val="0"/>
                      <w:szCs w:val="21"/>
                    </w:rPr>
                  </w:pPr>
                </w:p>
              </w:tc>
              <w:tc>
                <w:tcPr>
                  <w:tcW w:w="1494" w:type="dxa"/>
                  <w:vMerge w:val="continue"/>
                  <w:vAlign w:val="center"/>
                </w:tcPr>
                <w:p w14:paraId="146308FC">
                  <w:pPr>
                    <w:snapToGrid w:val="0"/>
                    <w:jc w:val="center"/>
                    <w:rPr>
                      <w:b/>
                      <w:bCs/>
                      <w:color w:val="auto"/>
                      <w:szCs w:val="21"/>
                    </w:rPr>
                  </w:pPr>
                </w:p>
              </w:tc>
              <w:tc>
                <w:tcPr>
                  <w:tcW w:w="1081" w:type="dxa"/>
                  <w:vMerge w:val="continue"/>
                  <w:vAlign w:val="center"/>
                </w:tcPr>
                <w:p w14:paraId="151235D5">
                  <w:pPr>
                    <w:adjustRightInd w:val="0"/>
                    <w:snapToGrid w:val="0"/>
                    <w:jc w:val="center"/>
                    <w:rPr>
                      <w:bCs/>
                      <w:color w:val="auto"/>
                      <w:kern w:val="0"/>
                      <w:szCs w:val="21"/>
                    </w:rPr>
                  </w:pPr>
                </w:p>
              </w:tc>
              <w:tc>
                <w:tcPr>
                  <w:tcW w:w="768" w:type="dxa"/>
                  <w:vMerge w:val="continue"/>
                  <w:vAlign w:val="center"/>
                </w:tcPr>
                <w:p w14:paraId="345637EB">
                  <w:pPr>
                    <w:snapToGrid w:val="0"/>
                    <w:jc w:val="center"/>
                    <w:rPr>
                      <w:color w:val="auto"/>
                      <w:kern w:val="0"/>
                      <w:szCs w:val="21"/>
                    </w:rPr>
                  </w:pPr>
                </w:p>
              </w:tc>
              <w:tc>
                <w:tcPr>
                  <w:tcW w:w="617" w:type="dxa"/>
                  <w:vMerge w:val="continue"/>
                  <w:vAlign w:val="center"/>
                </w:tcPr>
                <w:p w14:paraId="35B457EE">
                  <w:pPr>
                    <w:snapToGrid w:val="0"/>
                    <w:jc w:val="center"/>
                    <w:rPr>
                      <w:color w:val="auto"/>
                      <w:szCs w:val="21"/>
                    </w:rPr>
                  </w:pPr>
                </w:p>
              </w:tc>
              <w:tc>
                <w:tcPr>
                  <w:tcW w:w="617" w:type="dxa"/>
                  <w:vMerge w:val="continue"/>
                  <w:vAlign w:val="center"/>
                </w:tcPr>
                <w:p w14:paraId="58813081">
                  <w:pPr>
                    <w:snapToGrid w:val="0"/>
                    <w:jc w:val="center"/>
                    <w:rPr>
                      <w:color w:val="auto"/>
                      <w:szCs w:val="21"/>
                    </w:rPr>
                  </w:pPr>
                </w:p>
              </w:tc>
              <w:tc>
                <w:tcPr>
                  <w:tcW w:w="623" w:type="dxa"/>
                  <w:vMerge w:val="continue"/>
                  <w:vAlign w:val="center"/>
                </w:tcPr>
                <w:p w14:paraId="7760173B">
                  <w:pPr>
                    <w:snapToGrid w:val="0"/>
                    <w:jc w:val="center"/>
                    <w:rPr>
                      <w:color w:val="auto"/>
                      <w:szCs w:val="21"/>
                    </w:rPr>
                  </w:pPr>
                </w:p>
              </w:tc>
              <w:tc>
                <w:tcPr>
                  <w:tcW w:w="1171" w:type="dxa"/>
                  <w:vAlign w:val="center"/>
                </w:tcPr>
                <w:p w14:paraId="30D10EE2">
                  <w:pPr>
                    <w:snapToGrid w:val="0"/>
                    <w:jc w:val="center"/>
                    <w:rPr>
                      <w:color w:val="auto"/>
                    </w:rPr>
                  </w:pPr>
                  <w:r>
                    <w:rPr>
                      <w:rFonts w:hint="eastAsia"/>
                      <w:color w:val="auto"/>
                    </w:rPr>
                    <w:t>东50</w:t>
                  </w:r>
                </w:p>
              </w:tc>
              <w:tc>
                <w:tcPr>
                  <w:tcW w:w="782" w:type="dxa"/>
                  <w:vAlign w:val="center"/>
                </w:tcPr>
                <w:p w14:paraId="14BE9313">
                  <w:pPr>
                    <w:widowControl/>
                    <w:jc w:val="center"/>
                    <w:textAlignment w:val="center"/>
                    <w:rPr>
                      <w:color w:val="auto"/>
                      <w:szCs w:val="21"/>
                    </w:rPr>
                  </w:pPr>
                  <w:r>
                    <w:rPr>
                      <w:color w:val="auto"/>
                      <w:kern w:val="0"/>
                      <w:szCs w:val="21"/>
                      <w:lang w:bidi="ar"/>
                    </w:rPr>
                    <w:t>46.0</w:t>
                  </w:r>
                </w:p>
              </w:tc>
              <w:tc>
                <w:tcPr>
                  <w:tcW w:w="741" w:type="dxa"/>
                  <w:vMerge w:val="continue"/>
                  <w:vAlign w:val="center"/>
                </w:tcPr>
                <w:p w14:paraId="134798D4">
                  <w:pPr>
                    <w:snapToGrid w:val="0"/>
                    <w:jc w:val="center"/>
                    <w:rPr>
                      <w:color w:val="auto"/>
                      <w:szCs w:val="21"/>
                    </w:rPr>
                  </w:pPr>
                </w:p>
              </w:tc>
              <w:tc>
                <w:tcPr>
                  <w:tcW w:w="893" w:type="dxa"/>
                  <w:vMerge w:val="continue"/>
                  <w:vAlign w:val="center"/>
                </w:tcPr>
                <w:p w14:paraId="7C92DC32">
                  <w:pPr>
                    <w:snapToGrid w:val="0"/>
                    <w:jc w:val="center"/>
                    <w:rPr>
                      <w:color w:val="auto"/>
                      <w:szCs w:val="21"/>
                    </w:rPr>
                  </w:pPr>
                </w:p>
              </w:tc>
              <w:tc>
                <w:tcPr>
                  <w:tcW w:w="693" w:type="dxa"/>
                  <w:vAlign w:val="center"/>
                </w:tcPr>
                <w:p w14:paraId="59831C51">
                  <w:pPr>
                    <w:widowControl/>
                    <w:jc w:val="center"/>
                    <w:textAlignment w:val="center"/>
                    <w:rPr>
                      <w:color w:val="auto"/>
                      <w:szCs w:val="21"/>
                    </w:rPr>
                  </w:pPr>
                  <w:r>
                    <w:rPr>
                      <w:color w:val="auto"/>
                      <w:kern w:val="0"/>
                      <w:szCs w:val="21"/>
                      <w:lang w:bidi="ar"/>
                    </w:rPr>
                    <w:t>26.0</w:t>
                  </w:r>
                </w:p>
              </w:tc>
              <w:tc>
                <w:tcPr>
                  <w:tcW w:w="1260" w:type="dxa"/>
                  <w:vMerge w:val="continue"/>
                  <w:vAlign w:val="center"/>
                </w:tcPr>
                <w:p w14:paraId="71B9594D">
                  <w:pPr>
                    <w:snapToGrid w:val="0"/>
                    <w:jc w:val="center"/>
                    <w:rPr>
                      <w:color w:val="auto"/>
                      <w:szCs w:val="21"/>
                    </w:rPr>
                  </w:pPr>
                </w:p>
              </w:tc>
            </w:tr>
            <w:tr w14:paraId="527EE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vMerge w:val="continue"/>
                  <w:vAlign w:val="center"/>
                </w:tcPr>
                <w:p w14:paraId="0EB0E97A">
                  <w:pPr>
                    <w:snapToGrid w:val="0"/>
                    <w:jc w:val="center"/>
                    <w:rPr>
                      <w:color w:val="auto"/>
                      <w:szCs w:val="21"/>
                    </w:rPr>
                  </w:pPr>
                </w:p>
              </w:tc>
              <w:tc>
                <w:tcPr>
                  <w:tcW w:w="786" w:type="dxa"/>
                  <w:vMerge w:val="continue"/>
                  <w:vAlign w:val="center"/>
                </w:tcPr>
                <w:p w14:paraId="15D44DC1">
                  <w:pPr>
                    <w:snapToGrid w:val="0"/>
                    <w:jc w:val="center"/>
                    <w:rPr>
                      <w:color w:val="auto"/>
                      <w:szCs w:val="21"/>
                    </w:rPr>
                  </w:pPr>
                </w:p>
              </w:tc>
              <w:tc>
                <w:tcPr>
                  <w:tcW w:w="1383" w:type="dxa"/>
                  <w:vMerge w:val="continue"/>
                  <w:vAlign w:val="center"/>
                </w:tcPr>
                <w:p w14:paraId="12DAA076">
                  <w:pPr>
                    <w:adjustRightInd w:val="0"/>
                    <w:snapToGrid w:val="0"/>
                    <w:jc w:val="center"/>
                    <w:rPr>
                      <w:color w:val="auto"/>
                      <w:kern w:val="0"/>
                      <w:szCs w:val="21"/>
                    </w:rPr>
                  </w:pPr>
                </w:p>
              </w:tc>
              <w:tc>
                <w:tcPr>
                  <w:tcW w:w="1494" w:type="dxa"/>
                  <w:vMerge w:val="continue"/>
                  <w:vAlign w:val="center"/>
                </w:tcPr>
                <w:p w14:paraId="670772BE">
                  <w:pPr>
                    <w:snapToGrid w:val="0"/>
                    <w:jc w:val="center"/>
                    <w:rPr>
                      <w:b/>
                      <w:bCs/>
                      <w:color w:val="auto"/>
                      <w:szCs w:val="21"/>
                    </w:rPr>
                  </w:pPr>
                </w:p>
              </w:tc>
              <w:tc>
                <w:tcPr>
                  <w:tcW w:w="1081" w:type="dxa"/>
                  <w:vMerge w:val="continue"/>
                  <w:vAlign w:val="center"/>
                </w:tcPr>
                <w:p w14:paraId="45577360">
                  <w:pPr>
                    <w:adjustRightInd w:val="0"/>
                    <w:snapToGrid w:val="0"/>
                    <w:jc w:val="center"/>
                    <w:rPr>
                      <w:bCs/>
                      <w:color w:val="auto"/>
                      <w:kern w:val="0"/>
                      <w:szCs w:val="21"/>
                    </w:rPr>
                  </w:pPr>
                </w:p>
              </w:tc>
              <w:tc>
                <w:tcPr>
                  <w:tcW w:w="768" w:type="dxa"/>
                  <w:vMerge w:val="continue"/>
                  <w:vAlign w:val="center"/>
                </w:tcPr>
                <w:p w14:paraId="69938A53">
                  <w:pPr>
                    <w:snapToGrid w:val="0"/>
                    <w:jc w:val="center"/>
                    <w:rPr>
                      <w:color w:val="auto"/>
                      <w:kern w:val="0"/>
                      <w:szCs w:val="21"/>
                    </w:rPr>
                  </w:pPr>
                </w:p>
              </w:tc>
              <w:tc>
                <w:tcPr>
                  <w:tcW w:w="617" w:type="dxa"/>
                  <w:vMerge w:val="continue"/>
                  <w:vAlign w:val="center"/>
                </w:tcPr>
                <w:p w14:paraId="175C74DC">
                  <w:pPr>
                    <w:snapToGrid w:val="0"/>
                    <w:jc w:val="center"/>
                    <w:rPr>
                      <w:color w:val="auto"/>
                      <w:szCs w:val="21"/>
                    </w:rPr>
                  </w:pPr>
                </w:p>
              </w:tc>
              <w:tc>
                <w:tcPr>
                  <w:tcW w:w="617" w:type="dxa"/>
                  <w:vMerge w:val="continue"/>
                  <w:vAlign w:val="center"/>
                </w:tcPr>
                <w:p w14:paraId="4D7234E0">
                  <w:pPr>
                    <w:snapToGrid w:val="0"/>
                    <w:jc w:val="center"/>
                    <w:rPr>
                      <w:color w:val="auto"/>
                      <w:szCs w:val="21"/>
                    </w:rPr>
                  </w:pPr>
                </w:p>
              </w:tc>
              <w:tc>
                <w:tcPr>
                  <w:tcW w:w="623" w:type="dxa"/>
                  <w:vMerge w:val="continue"/>
                  <w:vAlign w:val="center"/>
                </w:tcPr>
                <w:p w14:paraId="44DF4D0A">
                  <w:pPr>
                    <w:snapToGrid w:val="0"/>
                    <w:jc w:val="center"/>
                    <w:rPr>
                      <w:color w:val="auto"/>
                      <w:szCs w:val="21"/>
                    </w:rPr>
                  </w:pPr>
                </w:p>
              </w:tc>
              <w:tc>
                <w:tcPr>
                  <w:tcW w:w="1171" w:type="dxa"/>
                  <w:vAlign w:val="center"/>
                </w:tcPr>
                <w:p w14:paraId="65828B6C">
                  <w:pPr>
                    <w:snapToGrid w:val="0"/>
                    <w:jc w:val="center"/>
                    <w:rPr>
                      <w:color w:val="auto"/>
                    </w:rPr>
                  </w:pPr>
                  <w:r>
                    <w:rPr>
                      <w:rFonts w:hint="eastAsia"/>
                      <w:color w:val="auto"/>
                    </w:rPr>
                    <w:t>西10</w:t>
                  </w:r>
                </w:p>
              </w:tc>
              <w:tc>
                <w:tcPr>
                  <w:tcW w:w="782" w:type="dxa"/>
                  <w:vAlign w:val="center"/>
                </w:tcPr>
                <w:p w14:paraId="5D07BBF5">
                  <w:pPr>
                    <w:widowControl/>
                    <w:jc w:val="center"/>
                    <w:textAlignment w:val="center"/>
                    <w:rPr>
                      <w:color w:val="auto"/>
                      <w:szCs w:val="21"/>
                    </w:rPr>
                  </w:pPr>
                  <w:r>
                    <w:rPr>
                      <w:color w:val="auto"/>
                      <w:kern w:val="0"/>
                      <w:szCs w:val="21"/>
                      <w:lang w:bidi="ar"/>
                    </w:rPr>
                    <w:t>60.0</w:t>
                  </w:r>
                </w:p>
              </w:tc>
              <w:tc>
                <w:tcPr>
                  <w:tcW w:w="741" w:type="dxa"/>
                  <w:vMerge w:val="continue"/>
                  <w:vAlign w:val="center"/>
                </w:tcPr>
                <w:p w14:paraId="074A0699">
                  <w:pPr>
                    <w:snapToGrid w:val="0"/>
                    <w:jc w:val="center"/>
                    <w:rPr>
                      <w:color w:val="auto"/>
                      <w:szCs w:val="21"/>
                    </w:rPr>
                  </w:pPr>
                </w:p>
              </w:tc>
              <w:tc>
                <w:tcPr>
                  <w:tcW w:w="893" w:type="dxa"/>
                  <w:vMerge w:val="continue"/>
                  <w:vAlign w:val="center"/>
                </w:tcPr>
                <w:p w14:paraId="39E77B62">
                  <w:pPr>
                    <w:snapToGrid w:val="0"/>
                    <w:jc w:val="center"/>
                    <w:rPr>
                      <w:color w:val="auto"/>
                      <w:szCs w:val="21"/>
                    </w:rPr>
                  </w:pPr>
                </w:p>
              </w:tc>
              <w:tc>
                <w:tcPr>
                  <w:tcW w:w="693" w:type="dxa"/>
                  <w:vAlign w:val="center"/>
                </w:tcPr>
                <w:p w14:paraId="6BCC95AA">
                  <w:pPr>
                    <w:widowControl/>
                    <w:jc w:val="center"/>
                    <w:textAlignment w:val="center"/>
                    <w:rPr>
                      <w:color w:val="auto"/>
                      <w:szCs w:val="21"/>
                    </w:rPr>
                  </w:pPr>
                  <w:r>
                    <w:rPr>
                      <w:color w:val="auto"/>
                      <w:kern w:val="0"/>
                      <w:szCs w:val="21"/>
                      <w:lang w:bidi="ar"/>
                    </w:rPr>
                    <w:t>40.0</w:t>
                  </w:r>
                </w:p>
              </w:tc>
              <w:tc>
                <w:tcPr>
                  <w:tcW w:w="1260" w:type="dxa"/>
                  <w:vMerge w:val="continue"/>
                  <w:vAlign w:val="center"/>
                </w:tcPr>
                <w:p w14:paraId="2A26E51D">
                  <w:pPr>
                    <w:snapToGrid w:val="0"/>
                    <w:jc w:val="center"/>
                    <w:rPr>
                      <w:color w:val="auto"/>
                      <w:szCs w:val="21"/>
                    </w:rPr>
                  </w:pPr>
                </w:p>
              </w:tc>
            </w:tr>
            <w:tr w14:paraId="3B276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vMerge w:val="restart"/>
                  <w:vAlign w:val="center"/>
                </w:tcPr>
                <w:p w14:paraId="3C465CD9">
                  <w:pPr>
                    <w:widowControl/>
                    <w:jc w:val="center"/>
                    <w:textAlignment w:val="center"/>
                    <w:rPr>
                      <w:color w:val="auto"/>
                      <w:szCs w:val="21"/>
                    </w:rPr>
                  </w:pPr>
                  <w:r>
                    <w:rPr>
                      <w:color w:val="auto"/>
                      <w:kern w:val="0"/>
                      <w:szCs w:val="21"/>
                      <w:lang w:bidi="ar"/>
                    </w:rPr>
                    <w:t>4</w:t>
                  </w:r>
                </w:p>
              </w:tc>
              <w:tc>
                <w:tcPr>
                  <w:tcW w:w="786" w:type="dxa"/>
                  <w:vMerge w:val="continue"/>
                  <w:vAlign w:val="center"/>
                </w:tcPr>
                <w:p w14:paraId="063293DD">
                  <w:pPr>
                    <w:snapToGrid w:val="0"/>
                    <w:jc w:val="center"/>
                    <w:rPr>
                      <w:color w:val="auto"/>
                      <w:szCs w:val="21"/>
                    </w:rPr>
                  </w:pPr>
                </w:p>
              </w:tc>
              <w:tc>
                <w:tcPr>
                  <w:tcW w:w="1383" w:type="dxa"/>
                  <w:vMerge w:val="restart"/>
                  <w:vAlign w:val="center"/>
                </w:tcPr>
                <w:p w14:paraId="3BB7AD2D">
                  <w:pPr>
                    <w:widowControl/>
                    <w:jc w:val="center"/>
                    <w:rPr>
                      <w:rFonts w:hint="eastAsia"/>
                      <w:color w:val="auto"/>
                      <w:kern w:val="0"/>
                      <w:szCs w:val="21"/>
                    </w:rPr>
                  </w:pPr>
                  <w:r>
                    <w:rPr>
                      <w:rFonts w:hint="eastAsia"/>
                      <w:color w:val="auto"/>
                      <w:kern w:val="0"/>
                      <w:szCs w:val="21"/>
                    </w:rPr>
                    <w:t>立式单轴</w:t>
                  </w:r>
                </w:p>
                <w:p w14:paraId="2FD345E3">
                  <w:pPr>
                    <w:widowControl/>
                    <w:jc w:val="center"/>
                    <w:rPr>
                      <w:color w:val="auto"/>
                      <w:kern w:val="0"/>
                      <w:szCs w:val="21"/>
                    </w:rPr>
                  </w:pPr>
                  <w:r>
                    <w:rPr>
                      <w:rFonts w:hint="eastAsia"/>
                      <w:color w:val="auto"/>
                      <w:kern w:val="0"/>
                      <w:szCs w:val="21"/>
                    </w:rPr>
                    <w:t>木工铣床</w:t>
                  </w:r>
                </w:p>
              </w:tc>
              <w:tc>
                <w:tcPr>
                  <w:tcW w:w="1494" w:type="dxa"/>
                  <w:vMerge w:val="restart"/>
                  <w:vAlign w:val="center"/>
                </w:tcPr>
                <w:p w14:paraId="049A1D7E">
                  <w:pPr>
                    <w:autoSpaceDE w:val="0"/>
                    <w:autoSpaceDN w:val="0"/>
                    <w:adjustRightInd w:val="0"/>
                    <w:snapToGrid w:val="0"/>
                    <w:jc w:val="center"/>
                    <w:rPr>
                      <w:b/>
                      <w:bCs/>
                      <w:color w:val="auto"/>
                      <w:szCs w:val="21"/>
                    </w:rPr>
                  </w:pPr>
                  <w:r>
                    <w:rPr>
                      <w:rFonts w:hint="eastAsia"/>
                      <w:color w:val="auto"/>
                      <w:szCs w:val="21"/>
                    </w:rPr>
                    <w:t>MX5117B</w:t>
                  </w:r>
                </w:p>
              </w:tc>
              <w:tc>
                <w:tcPr>
                  <w:tcW w:w="1081" w:type="dxa"/>
                  <w:vMerge w:val="restart"/>
                  <w:vAlign w:val="center"/>
                </w:tcPr>
                <w:p w14:paraId="0B0862D1">
                  <w:pPr>
                    <w:widowControl/>
                    <w:jc w:val="center"/>
                    <w:textAlignment w:val="center"/>
                    <w:rPr>
                      <w:bCs/>
                      <w:color w:val="auto"/>
                      <w:kern w:val="0"/>
                      <w:szCs w:val="21"/>
                    </w:rPr>
                  </w:pPr>
                  <w:r>
                    <w:rPr>
                      <w:rFonts w:hint="eastAsia"/>
                      <w:color w:val="auto"/>
                      <w:kern w:val="0"/>
                      <w:szCs w:val="21"/>
                      <w:lang w:bidi="ar"/>
                    </w:rPr>
                    <w:t>75</w:t>
                  </w:r>
                </w:p>
              </w:tc>
              <w:tc>
                <w:tcPr>
                  <w:tcW w:w="768" w:type="dxa"/>
                  <w:vMerge w:val="continue"/>
                  <w:vAlign w:val="center"/>
                </w:tcPr>
                <w:p w14:paraId="485D399E">
                  <w:pPr>
                    <w:snapToGrid w:val="0"/>
                    <w:jc w:val="center"/>
                    <w:rPr>
                      <w:color w:val="auto"/>
                      <w:kern w:val="0"/>
                      <w:szCs w:val="21"/>
                    </w:rPr>
                  </w:pPr>
                </w:p>
              </w:tc>
              <w:tc>
                <w:tcPr>
                  <w:tcW w:w="617" w:type="dxa"/>
                  <w:vMerge w:val="restart"/>
                  <w:vAlign w:val="center"/>
                </w:tcPr>
                <w:p w14:paraId="79D4F29B">
                  <w:pPr>
                    <w:widowControl/>
                    <w:jc w:val="center"/>
                    <w:textAlignment w:val="center"/>
                    <w:rPr>
                      <w:color w:val="auto"/>
                      <w:szCs w:val="21"/>
                    </w:rPr>
                  </w:pPr>
                  <w:r>
                    <w:rPr>
                      <w:color w:val="auto"/>
                      <w:kern w:val="0"/>
                      <w:szCs w:val="21"/>
                      <w:lang w:bidi="ar"/>
                    </w:rPr>
                    <w:t>0</w:t>
                  </w:r>
                </w:p>
              </w:tc>
              <w:tc>
                <w:tcPr>
                  <w:tcW w:w="617" w:type="dxa"/>
                  <w:vMerge w:val="restart"/>
                  <w:vAlign w:val="center"/>
                </w:tcPr>
                <w:p w14:paraId="36B19DEC">
                  <w:pPr>
                    <w:widowControl/>
                    <w:jc w:val="center"/>
                    <w:textAlignment w:val="center"/>
                    <w:rPr>
                      <w:color w:val="auto"/>
                      <w:szCs w:val="21"/>
                    </w:rPr>
                  </w:pPr>
                  <w:r>
                    <w:rPr>
                      <w:color w:val="auto"/>
                      <w:kern w:val="0"/>
                      <w:szCs w:val="21"/>
                      <w:lang w:bidi="ar"/>
                    </w:rPr>
                    <w:t>-78</w:t>
                  </w:r>
                </w:p>
              </w:tc>
              <w:tc>
                <w:tcPr>
                  <w:tcW w:w="623" w:type="dxa"/>
                  <w:vMerge w:val="restart"/>
                  <w:vAlign w:val="center"/>
                </w:tcPr>
                <w:p w14:paraId="2361CD8F">
                  <w:pPr>
                    <w:widowControl/>
                    <w:jc w:val="center"/>
                    <w:textAlignment w:val="center"/>
                    <w:rPr>
                      <w:color w:val="auto"/>
                      <w:szCs w:val="21"/>
                    </w:rPr>
                  </w:pPr>
                  <w:r>
                    <w:rPr>
                      <w:color w:val="auto"/>
                      <w:kern w:val="0"/>
                      <w:szCs w:val="21"/>
                      <w:lang w:bidi="ar"/>
                    </w:rPr>
                    <w:t>1.2</w:t>
                  </w:r>
                </w:p>
              </w:tc>
              <w:tc>
                <w:tcPr>
                  <w:tcW w:w="1171" w:type="dxa"/>
                  <w:vAlign w:val="center"/>
                </w:tcPr>
                <w:p w14:paraId="43B715BC">
                  <w:pPr>
                    <w:snapToGrid w:val="0"/>
                    <w:jc w:val="center"/>
                    <w:rPr>
                      <w:color w:val="auto"/>
                    </w:rPr>
                  </w:pPr>
                  <w:r>
                    <w:rPr>
                      <w:rFonts w:hint="eastAsia"/>
                      <w:color w:val="auto"/>
                    </w:rPr>
                    <w:t>北</w:t>
                  </w:r>
                  <w:r>
                    <w:rPr>
                      <w:color w:val="auto"/>
                    </w:rPr>
                    <w:t>3</w:t>
                  </w:r>
                  <w:r>
                    <w:rPr>
                      <w:rFonts w:hint="eastAsia"/>
                      <w:color w:val="auto"/>
                    </w:rPr>
                    <w:t>6</w:t>
                  </w:r>
                </w:p>
              </w:tc>
              <w:tc>
                <w:tcPr>
                  <w:tcW w:w="782" w:type="dxa"/>
                  <w:vAlign w:val="center"/>
                </w:tcPr>
                <w:p w14:paraId="18FB5CCE">
                  <w:pPr>
                    <w:widowControl/>
                    <w:jc w:val="center"/>
                    <w:textAlignment w:val="center"/>
                    <w:rPr>
                      <w:color w:val="auto"/>
                      <w:szCs w:val="21"/>
                    </w:rPr>
                  </w:pPr>
                  <w:r>
                    <w:rPr>
                      <w:color w:val="auto"/>
                      <w:kern w:val="0"/>
                      <w:szCs w:val="21"/>
                      <w:lang w:bidi="ar"/>
                    </w:rPr>
                    <w:t>43.9</w:t>
                  </w:r>
                </w:p>
              </w:tc>
              <w:tc>
                <w:tcPr>
                  <w:tcW w:w="741" w:type="dxa"/>
                  <w:vMerge w:val="continue"/>
                  <w:vAlign w:val="center"/>
                </w:tcPr>
                <w:p w14:paraId="7521F3CE">
                  <w:pPr>
                    <w:snapToGrid w:val="0"/>
                    <w:jc w:val="center"/>
                    <w:rPr>
                      <w:color w:val="auto"/>
                      <w:szCs w:val="21"/>
                    </w:rPr>
                  </w:pPr>
                </w:p>
              </w:tc>
              <w:tc>
                <w:tcPr>
                  <w:tcW w:w="893" w:type="dxa"/>
                  <w:vMerge w:val="continue"/>
                  <w:vAlign w:val="center"/>
                </w:tcPr>
                <w:p w14:paraId="71F43259">
                  <w:pPr>
                    <w:snapToGrid w:val="0"/>
                    <w:jc w:val="center"/>
                    <w:rPr>
                      <w:color w:val="auto"/>
                      <w:szCs w:val="21"/>
                    </w:rPr>
                  </w:pPr>
                </w:p>
              </w:tc>
              <w:tc>
                <w:tcPr>
                  <w:tcW w:w="693" w:type="dxa"/>
                  <w:vAlign w:val="center"/>
                </w:tcPr>
                <w:p w14:paraId="71017A8C">
                  <w:pPr>
                    <w:widowControl/>
                    <w:jc w:val="center"/>
                    <w:textAlignment w:val="center"/>
                    <w:rPr>
                      <w:color w:val="auto"/>
                      <w:szCs w:val="21"/>
                    </w:rPr>
                  </w:pPr>
                  <w:r>
                    <w:rPr>
                      <w:color w:val="auto"/>
                      <w:kern w:val="0"/>
                      <w:szCs w:val="21"/>
                      <w:lang w:bidi="ar"/>
                    </w:rPr>
                    <w:t>23.9</w:t>
                  </w:r>
                </w:p>
              </w:tc>
              <w:tc>
                <w:tcPr>
                  <w:tcW w:w="1260" w:type="dxa"/>
                  <w:vMerge w:val="restart"/>
                  <w:vAlign w:val="center"/>
                </w:tcPr>
                <w:p w14:paraId="19329882">
                  <w:pPr>
                    <w:snapToGrid w:val="0"/>
                    <w:jc w:val="center"/>
                    <w:rPr>
                      <w:color w:val="auto"/>
                      <w:szCs w:val="21"/>
                    </w:rPr>
                  </w:pPr>
                  <w:r>
                    <w:rPr>
                      <w:rFonts w:hint="eastAsia"/>
                      <w:color w:val="auto"/>
                      <w:szCs w:val="21"/>
                    </w:rPr>
                    <w:t>1</w:t>
                  </w:r>
                </w:p>
              </w:tc>
            </w:tr>
            <w:tr w14:paraId="69315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4" w:type="dxa"/>
                  <w:vMerge w:val="continue"/>
                  <w:vAlign w:val="center"/>
                </w:tcPr>
                <w:p w14:paraId="7FC66FB8">
                  <w:pPr>
                    <w:snapToGrid w:val="0"/>
                    <w:jc w:val="center"/>
                    <w:rPr>
                      <w:color w:val="auto"/>
                      <w:szCs w:val="21"/>
                    </w:rPr>
                  </w:pPr>
                </w:p>
              </w:tc>
              <w:tc>
                <w:tcPr>
                  <w:tcW w:w="786" w:type="dxa"/>
                  <w:vMerge w:val="continue"/>
                  <w:vAlign w:val="center"/>
                </w:tcPr>
                <w:p w14:paraId="237A2B48">
                  <w:pPr>
                    <w:snapToGrid w:val="0"/>
                    <w:jc w:val="center"/>
                    <w:rPr>
                      <w:color w:val="auto"/>
                      <w:szCs w:val="21"/>
                    </w:rPr>
                  </w:pPr>
                </w:p>
              </w:tc>
              <w:tc>
                <w:tcPr>
                  <w:tcW w:w="1383" w:type="dxa"/>
                  <w:vMerge w:val="continue"/>
                  <w:vAlign w:val="center"/>
                </w:tcPr>
                <w:p w14:paraId="63C03D1E">
                  <w:pPr>
                    <w:adjustRightInd w:val="0"/>
                    <w:snapToGrid w:val="0"/>
                    <w:jc w:val="center"/>
                    <w:rPr>
                      <w:color w:val="auto"/>
                      <w:kern w:val="0"/>
                      <w:szCs w:val="21"/>
                    </w:rPr>
                  </w:pPr>
                </w:p>
              </w:tc>
              <w:tc>
                <w:tcPr>
                  <w:tcW w:w="1494" w:type="dxa"/>
                  <w:vMerge w:val="continue"/>
                  <w:vAlign w:val="center"/>
                </w:tcPr>
                <w:p w14:paraId="5B760F23">
                  <w:pPr>
                    <w:snapToGrid w:val="0"/>
                    <w:jc w:val="center"/>
                    <w:rPr>
                      <w:b/>
                      <w:bCs/>
                      <w:color w:val="auto"/>
                      <w:szCs w:val="21"/>
                    </w:rPr>
                  </w:pPr>
                </w:p>
              </w:tc>
              <w:tc>
                <w:tcPr>
                  <w:tcW w:w="1081" w:type="dxa"/>
                  <w:vMerge w:val="continue"/>
                  <w:vAlign w:val="center"/>
                </w:tcPr>
                <w:p w14:paraId="7E7C878F">
                  <w:pPr>
                    <w:adjustRightInd w:val="0"/>
                    <w:snapToGrid w:val="0"/>
                    <w:jc w:val="center"/>
                    <w:rPr>
                      <w:bCs/>
                      <w:color w:val="auto"/>
                      <w:kern w:val="0"/>
                      <w:szCs w:val="21"/>
                    </w:rPr>
                  </w:pPr>
                </w:p>
              </w:tc>
              <w:tc>
                <w:tcPr>
                  <w:tcW w:w="768" w:type="dxa"/>
                  <w:vMerge w:val="continue"/>
                  <w:vAlign w:val="center"/>
                </w:tcPr>
                <w:p w14:paraId="5CDEF177">
                  <w:pPr>
                    <w:snapToGrid w:val="0"/>
                    <w:jc w:val="center"/>
                    <w:rPr>
                      <w:color w:val="auto"/>
                      <w:kern w:val="0"/>
                      <w:szCs w:val="21"/>
                    </w:rPr>
                  </w:pPr>
                </w:p>
              </w:tc>
              <w:tc>
                <w:tcPr>
                  <w:tcW w:w="617" w:type="dxa"/>
                  <w:vMerge w:val="continue"/>
                  <w:vAlign w:val="center"/>
                </w:tcPr>
                <w:p w14:paraId="1A9F04DD">
                  <w:pPr>
                    <w:snapToGrid w:val="0"/>
                    <w:jc w:val="center"/>
                    <w:rPr>
                      <w:color w:val="auto"/>
                      <w:szCs w:val="21"/>
                    </w:rPr>
                  </w:pPr>
                </w:p>
              </w:tc>
              <w:tc>
                <w:tcPr>
                  <w:tcW w:w="617" w:type="dxa"/>
                  <w:vMerge w:val="continue"/>
                  <w:vAlign w:val="center"/>
                </w:tcPr>
                <w:p w14:paraId="5290ADDB">
                  <w:pPr>
                    <w:snapToGrid w:val="0"/>
                    <w:jc w:val="center"/>
                    <w:rPr>
                      <w:color w:val="auto"/>
                      <w:szCs w:val="21"/>
                    </w:rPr>
                  </w:pPr>
                </w:p>
              </w:tc>
              <w:tc>
                <w:tcPr>
                  <w:tcW w:w="623" w:type="dxa"/>
                  <w:vMerge w:val="continue"/>
                  <w:vAlign w:val="center"/>
                </w:tcPr>
                <w:p w14:paraId="1BFF7F44">
                  <w:pPr>
                    <w:snapToGrid w:val="0"/>
                    <w:jc w:val="center"/>
                    <w:rPr>
                      <w:color w:val="auto"/>
                      <w:szCs w:val="21"/>
                    </w:rPr>
                  </w:pPr>
                </w:p>
              </w:tc>
              <w:tc>
                <w:tcPr>
                  <w:tcW w:w="1171" w:type="dxa"/>
                  <w:vAlign w:val="center"/>
                </w:tcPr>
                <w:p w14:paraId="64E1C2FB">
                  <w:pPr>
                    <w:snapToGrid w:val="0"/>
                    <w:jc w:val="center"/>
                    <w:rPr>
                      <w:color w:val="auto"/>
                    </w:rPr>
                  </w:pPr>
                  <w:r>
                    <w:rPr>
                      <w:rFonts w:hint="eastAsia"/>
                      <w:color w:val="auto"/>
                    </w:rPr>
                    <w:t>南64</w:t>
                  </w:r>
                </w:p>
              </w:tc>
              <w:tc>
                <w:tcPr>
                  <w:tcW w:w="782" w:type="dxa"/>
                  <w:vAlign w:val="center"/>
                </w:tcPr>
                <w:p w14:paraId="33FE79D6">
                  <w:pPr>
                    <w:widowControl/>
                    <w:jc w:val="center"/>
                    <w:textAlignment w:val="center"/>
                    <w:rPr>
                      <w:color w:val="auto"/>
                      <w:szCs w:val="21"/>
                    </w:rPr>
                  </w:pPr>
                  <w:r>
                    <w:rPr>
                      <w:color w:val="auto"/>
                      <w:kern w:val="0"/>
                      <w:szCs w:val="21"/>
                      <w:lang w:bidi="ar"/>
                    </w:rPr>
                    <w:t>38.9</w:t>
                  </w:r>
                </w:p>
              </w:tc>
              <w:tc>
                <w:tcPr>
                  <w:tcW w:w="741" w:type="dxa"/>
                  <w:vMerge w:val="continue"/>
                  <w:vAlign w:val="center"/>
                </w:tcPr>
                <w:p w14:paraId="78D8A9C0">
                  <w:pPr>
                    <w:snapToGrid w:val="0"/>
                    <w:jc w:val="center"/>
                    <w:rPr>
                      <w:color w:val="auto"/>
                      <w:szCs w:val="21"/>
                    </w:rPr>
                  </w:pPr>
                </w:p>
              </w:tc>
              <w:tc>
                <w:tcPr>
                  <w:tcW w:w="893" w:type="dxa"/>
                  <w:vMerge w:val="continue"/>
                  <w:vAlign w:val="center"/>
                </w:tcPr>
                <w:p w14:paraId="7830230D">
                  <w:pPr>
                    <w:snapToGrid w:val="0"/>
                    <w:jc w:val="center"/>
                    <w:rPr>
                      <w:color w:val="auto"/>
                      <w:szCs w:val="21"/>
                    </w:rPr>
                  </w:pPr>
                </w:p>
              </w:tc>
              <w:tc>
                <w:tcPr>
                  <w:tcW w:w="693" w:type="dxa"/>
                  <w:vAlign w:val="center"/>
                </w:tcPr>
                <w:p w14:paraId="2E5A8E63">
                  <w:pPr>
                    <w:widowControl/>
                    <w:jc w:val="center"/>
                    <w:textAlignment w:val="center"/>
                    <w:rPr>
                      <w:color w:val="auto"/>
                      <w:szCs w:val="21"/>
                    </w:rPr>
                  </w:pPr>
                  <w:r>
                    <w:rPr>
                      <w:color w:val="auto"/>
                      <w:kern w:val="0"/>
                      <w:szCs w:val="21"/>
                      <w:lang w:bidi="ar"/>
                    </w:rPr>
                    <w:t>18.9</w:t>
                  </w:r>
                </w:p>
              </w:tc>
              <w:tc>
                <w:tcPr>
                  <w:tcW w:w="1260" w:type="dxa"/>
                  <w:vMerge w:val="continue"/>
                  <w:vAlign w:val="center"/>
                </w:tcPr>
                <w:p w14:paraId="4AC5BA22">
                  <w:pPr>
                    <w:snapToGrid w:val="0"/>
                    <w:jc w:val="center"/>
                    <w:rPr>
                      <w:color w:val="auto"/>
                      <w:szCs w:val="21"/>
                    </w:rPr>
                  </w:pPr>
                </w:p>
              </w:tc>
            </w:tr>
            <w:tr w14:paraId="46523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vMerge w:val="continue"/>
                  <w:vAlign w:val="center"/>
                </w:tcPr>
                <w:p w14:paraId="1F00722B">
                  <w:pPr>
                    <w:snapToGrid w:val="0"/>
                    <w:jc w:val="center"/>
                    <w:rPr>
                      <w:color w:val="auto"/>
                      <w:szCs w:val="21"/>
                    </w:rPr>
                  </w:pPr>
                </w:p>
              </w:tc>
              <w:tc>
                <w:tcPr>
                  <w:tcW w:w="786" w:type="dxa"/>
                  <w:vMerge w:val="continue"/>
                  <w:vAlign w:val="center"/>
                </w:tcPr>
                <w:p w14:paraId="72A8BC2C">
                  <w:pPr>
                    <w:snapToGrid w:val="0"/>
                    <w:jc w:val="center"/>
                    <w:rPr>
                      <w:color w:val="auto"/>
                      <w:szCs w:val="21"/>
                    </w:rPr>
                  </w:pPr>
                </w:p>
              </w:tc>
              <w:tc>
                <w:tcPr>
                  <w:tcW w:w="1383" w:type="dxa"/>
                  <w:vMerge w:val="continue"/>
                  <w:vAlign w:val="center"/>
                </w:tcPr>
                <w:p w14:paraId="54ADFC52">
                  <w:pPr>
                    <w:adjustRightInd w:val="0"/>
                    <w:snapToGrid w:val="0"/>
                    <w:jc w:val="center"/>
                    <w:rPr>
                      <w:color w:val="auto"/>
                      <w:kern w:val="0"/>
                      <w:szCs w:val="21"/>
                    </w:rPr>
                  </w:pPr>
                </w:p>
              </w:tc>
              <w:tc>
                <w:tcPr>
                  <w:tcW w:w="1494" w:type="dxa"/>
                  <w:vMerge w:val="continue"/>
                  <w:vAlign w:val="center"/>
                </w:tcPr>
                <w:p w14:paraId="21CD54C2">
                  <w:pPr>
                    <w:snapToGrid w:val="0"/>
                    <w:jc w:val="center"/>
                    <w:rPr>
                      <w:b/>
                      <w:bCs/>
                      <w:color w:val="auto"/>
                      <w:szCs w:val="21"/>
                    </w:rPr>
                  </w:pPr>
                </w:p>
              </w:tc>
              <w:tc>
                <w:tcPr>
                  <w:tcW w:w="1081" w:type="dxa"/>
                  <w:vMerge w:val="continue"/>
                  <w:vAlign w:val="center"/>
                </w:tcPr>
                <w:p w14:paraId="333F7A9E">
                  <w:pPr>
                    <w:adjustRightInd w:val="0"/>
                    <w:snapToGrid w:val="0"/>
                    <w:jc w:val="center"/>
                    <w:rPr>
                      <w:bCs/>
                      <w:color w:val="auto"/>
                      <w:kern w:val="0"/>
                      <w:szCs w:val="21"/>
                    </w:rPr>
                  </w:pPr>
                </w:p>
              </w:tc>
              <w:tc>
                <w:tcPr>
                  <w:tcW w:w="768" w:type="dxa"/>
                  <w:vMerge w:val="continue"/>
                  <w:vAlign w:val="center"/>
                </w:tcPr>
                <w:p w14:paraId="22FCCEE7">
                  <w:pPr>
                    <w:snapToGrid w:val="0"/>
                    <w:jc w:val="center"/>
                    <w:rPr>
                      <w:color w:val="auto"/>
                      <w:kern w:val="0"/>
                      <w:szCs w:val="21"/>
                    </w:rPr>
                  </w:pPr>
                </w:p>
              </w:tc>
              <w:tc>
                <w:tcPr>
                  <w:tcW w:w="617" w:type="dxa"/>
                  <w:vMerge w:val="continue"/>
                  <w:vAlign w:val="center"/>
                </w:tcPr>
                <w:p w14:paraId="187BD741">
                  <w:pPr>
                    <w:snapToGrid w:val="0"/>
                    <w:jc w:val="center"/>
                    <w:rPr>
                      <w:color w:val="auto"/>
                      <w:szCs w:val="21"/>
                    </w:rPr>
                  </w:pPr>
                </w:p>
              </w:tc>
              <w:tc>
                <w:tcPr>
                  <w:tcW w:w="617" w:type="dxa"/>
                  <w:vMerge w:val="continue"/>
                  <w:vAlign w:val="center"/>
                </w:tcPr>
                <w:p w14:paraId="6167D481">
                  <w:pPr>
                    <w:snapToGrid w:val="0"/>
                    <w:jc w:val="center"/>
                    <w:rPr>
                      <w:color w:val="auto"/>
                      <w:szCs w:val="21"/>
                    </w:rPr>
                  </w:pPr>
                </w:p>
              </w:tc>
              <w:tc>
                <w:tcPr>
                  <w:tcW w:w="623" w:type="dxa"/>
                  <w:vMerge w:val="continue"/>
                  <w:vAlign w:val="center"/>
                </w:tcPr>
                <w:p w14:paraId="3A013A64">
                  <w:pPr>
                    <w:snapToGrid w:val="0"/>
                    <w:jc w:val="center"/>
                    <w:rPr>
                      <w:color w:val="auto"/>
                      <w:szCs w:val="21"/>
                    </w:rPr>
                  </w:pPr>
                </w:p>
              </w:tc>
              <w:tc>
                <w:tcPr>
                  <w:tcW w:w="1171" w:type="dxa"/>
                  <w:vAlign w:val="center"/>
                </w:tcPr>
                <w:p w14:paraId="2B9B297A">
                  <w:pPr>
                    <w:snapToGrid w:val="0"/>
                    <w:jc w:val="center"/>
                    <w:rPr>
                      <w:color w:val="auto"/>
                    </w:rPr>
                  </w:pPr>
                  <w:r>
                    <w:rPr>
                      <w:rFonts w:hint="eastAsia"/>
                      <w:color w:val="auto"/>
                    </w:rPr>
                    <w:t>东15</w:t>
                  </w:r>
                </w:p>
              </w:tc>
              <w:tc>
                <w:tcPr>
                  <w:tcW w:w="782" w:type="dxa"/>
                  <w:vAlign w:val="center"/>
                </w:tcPr>
                <w:p w14:paraId="423385CC">
                  <w:pPr>
                    <w:widowControl/>
                    <w:jc w:val="center"/>
                    <w:textAlignment w:val="center"/>
                    <w:rPr>
                      <w:color w:val="auto"/>
                      <w:szCs w:val="21"/>
                    </w:rPr>
                  </w:pPr>
                  <w:r>
                    <w:rPr>
                      <w:color w:val="auto"/>
                      <w:kern w:val="0"/>
                      <w:szCs w:val="21"/>
                      <w:lang w:bidi="ar"/>
                    </w:rPr>
                    <w:t>51.5</w:t>
                  </w:r>
                </w:p>
              </w:tc>
              <w:tc>
                <w:tcPr>
                  <w:tcW w:w="741" w:type="dxa"/>
                  <w:vMerge w:val="continue"/>
                  <w:vAlign w:val="center"/>
                </w:tcPr>
                <w:p w14:paraId="75D61322">
                  <w:pPr>
                    <w:snapToGrid w:val="0"/>
                    <w:jc w:val="center"/>
                    <w:rPr>
                      <w:color w:val="auto"/>
                      <w:szCs w:val="21"/>
                    </w:rPr>
                  </w:pPr>
                </w:p>
              </w:tc>
              <w:tc>
                <w:tcPr>
                  <w:tcW w:w="893" w:type="dxa"/>
                  <w:vMerge w:val="continue"/>
                  <w:vAlign w:val="center"/>
                </w:tcPr>
                <w:p w14:paraId="0B8576E1">
                  <w:pPr>
                    <w:snapToGrid w:val="0"/>
                    <w:jc w:val="center"/>
                    <w:rPr>
                      <w:color w:val="auto"/>
                      <w:szCs w:val="21"/>
                    </w:rPr>
                  </w:pPr>
                </w:p>
              </w:tc>
              <w:tc>
                <w:tcPr>
                  <w:tcW w:w="693" w:type="dxa"/>
                  <w:vAlign w:val="center"/>
                </w:tcPr>
                <w:p w14:paraId="6C2D9C54">
                  <w:pPr>
                    <w:widowControl/>
                    <w:jc w:val="center"/>
                    <w:textAlignment w:val="center"/>
                    <w:rPr>
                      <w:color w:val="auto"/>
                      <w:szCs w:val="21"/>
                    </w:rPr>
                  </w:pPr>
                  <w:r>
                    <w:rPr>
                      <w:color w:val="auto"/>
                      <w:kern w:val="0"/>
                      <w:szCs w:val="21"/>
                      <w:lang w:bidi="ar"/>
                    </w:rPr>
                    <w:t>31.5</w:t>
                  </w:r>
                </w:p>
              </w:tc>
              <w:tc>
                <w:tcPr>
                  <w:tcW w:w="1260" w:type="dxa"/>
                  <w:vMerge w:val="continue"/>
                  <w:vAlign w:val="center"/>
                </w:tcPr>
                <w:p w14:paraId="6448BED2">
                  <w:pPr>
                    <w:snapToGrid w:val="0"/>
                    <w:jc w:val="center"/>
                    <w:rPr>
                      <w:color w:val="auto"/>
                      <w:szCs w:val="21"/>
                    </w:rPr>
                  </w:pPr>
                </w:p>
              </w:tc>
            </w:tr>
            <w:tr w14:paraId="140C5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vMerge w:val="continue"/>
                  <w:vAlign w:val="center"/>
                </w:tcPr>
                <w:p w14:paraId="1AD3974B">
                  <w:pPr>
                    <w:snapToGrid w:val="0"/>
                    <w:jc w:val="center"/>
                    <w:rPr>
                      <w:color w:val="auto"/>
                      <w:szCs w:val="21"/>
                    </w:rPr>
                  </w:pPr>
                </w:p>
              </w:tc>
              <w:tc>
                <w:tcPr>
                  <w:tcW w:w="786" w:type="dxa"/>
                  <w:vMerge w:val="continue"/>
                  <w:vAlign w:val="center"/>
                </w:tcPr>
                <w:p w14:paraId="78EAA2C4">
                  <w:pPr>
                    <w:snapToGrid w:val="0"/>
                    <w:jc w:val="center"/>
                    <w:rPr>
                      <w:color w:val="auto"/>
                      <w:szCs w:val="21"/>
                    </w:rPr>
                  </w:pPr>
                </w:p>
              </w:tc>
              <w:tc>
                <w:tcPr>
                  <w:tcW w:w="1383" w:type="dxa"/>
                  <w:vMerge w:val="continue"/>
                  <w:vAlign w:val="center"/>
                </w:tcPr>
                <w:p w14:paraId="64F76E77">
                  <w:pPr>
                    <w:adjustRightInd w:val="0"/>
                    <w:snapToGrid w:val="0"/>
                    <w:jc w:val="center"/>
                    <w:rPr>
                      <w:color w:val="auto"/>
                      <w:kern w:val="0"/>
                      <w:szCs w:val="21"/>
                    </w:rPr>
                  </w:pPr>
                </w:p>
              </w:tc>
              <w:tc>
                <w:tcPr>
                  <w:tcW w:w="1494" w:type="dxa"/>
                  <w:vMerge w:val="continue"/>
                  <w:vAlign w:val="center"/>
                </w:tcPr>
                <w:p w14:paraId="72B4951D">
                  <w:pPr>
                    <w:snapToGrid w:val="0"/>
                    <w:jc w:val="center"/>
                    <w:rPr>
                      <w:b/>
                      <w:bCs/>
                      <w:color w:val="auto"/>
                      <w:szCs w:val="21"/>
                    </w:rPr>
                  </w:pPr>
                </w:p>
              </w:tc>
              <w:tc>
                <w:tcPr>
                  <w:tcW w:w="1081" w:type="dxa"/>
                  <w:vMerge w:val="continue"/>
                  <w:vAlign w:val="center"/>
                </w:tcPr>
                <w:p w14:paraId="0318EFD5">
                  <w:pPr>
                    <w:adjustRightInd w:val="0"/>
                    <w:snapToGrid w:val="0"/>
                    <w:jc w:val="center"/>
                    <w:rPr>
                      <w:bCs/>
                      <w:color w:val="auto"/>
                      <w:kern w:val="0"/>
                      <w:szCs w:val="21"/>
                    </w:rPr>
                  </w:pPr>
                </w:p>
              </w:tc>
              <w:tc>
                <w:tcPr>
                  <w:tcW w:w="768" w:type="dxa"/>
                  <w:vMerge w:val="continue"/>
                  <w:vAlign w:val="center"/>
                </w:tcPr>
                <w:p w14:paraId="72C1BBA0">
                  <w:pPr>
                    <w:snapToGrid w:val="0"/>
                    <w:jc w:val="center"/>
                    <w:rPr>
                      <w:color w:val="auto"/>
                      <w:kern w:val="0"/>
                      <w:szCs w:val="21"/>
                    </w:rPr>
                  </w:pPr>
                </w:p>
              </w:tc>
              <w:tc>
                <w:tcPr>
                  <w:tcW w:w="617" w:type="dxa"/>
                  <w:vMerge w:val="continue"/>
                  <w:vAlign w:val="center"/>
                </w:tcPr>
                <w:p w14:paraId="4417477C">
                  <w:pPr>
                    <w:snapToGrid w:val="0"/>
                    <w:jc w:val="center"/>
                    <w:rPr>
                      <w:color w:val="auto"/>
                      <w:szCs w:val="21"/>
                    </w:rPr>
                  </w:pPr>
                </w:p>
              </w:tc>
              <w:tc>
                <w:tcPr>
                  <w:tcW w:w="617" w:type="dxa"/>
                  <w:vMerge w:val="continue"/>
                  <w:vAlign w:val="center"/>
                </w:tcPr>
                <w:p w14:paraId="4DFF2984">
                  <w:pPr>
                    <w:snapToGrid w:val="0"/>
                    <w:jc w:val="center"/>
                    <w:rPr>
                      <w:color w:val="auto"/>
                      <w:szCs w:val="21"/>
                    </w:rPr>
                  </w:pPr>
                </w:p>
              </w:tc>
              <w:tc>
                <w:tcPr>
                  <w:tcW w:w="623" w:type="dxa"/>
                  <w:vMerge w:val="continue"/>
                  <w:vAlign w:val="center"/>
                </w:tcPr>
                <w:p w14:paraId="162B205A">
                  <w:pPr>
                    <w:snapToGrid w:val="0"/>
                    <w:jc w:val="center"/>
                    <w:rPr>
                      <w:color w:val="auto"/>
                      <w:szCs w:val="21"/>
                    </w:rPr>
                  </w:pPr>
                </w:p>
              </w:tc>
              <w:tc>
                <w:tcPr>
                  <w:tcW w:w="1171" w:type="dxa"/>
                  <w:vAlign w:val="center"/>
                </w:tcPr>
                <w:p w14:paraId="0EEA73B2">
                  <w:pPr>
                    <w:snapToGrid w:val="0"/>
                    <w:jc w:val="center"/>
                    <w:rPr>
                      <w:color w:val="auto"/>
                    </w:rPr>
                  </w:pPr>
                  <w:r>
                    <w:rPr>
                      <w:rFonts w:hint="eastAsia"/>
                      <w:color w:val="auto"/>
                    </w:rPr>
                    <w:t>西45</w:t>
                  </w:r>
                </w:p>
              </w:tc>
              <w:tc>
                <w:tcPr>
                  <w:tcW w:w="782" w:type="dxa"/>
                  <w:vAlign w:val="center"/>
                </w:tcPr>
                <w:p w14:paraId="54795596">
                  <w:pPr>
                    <w:widowControl/>
                    <w:jc w:val="center"/>
                    <w:textAlignment w:val="center"/>
                    <w:rPr>
                      <w:color w:val="auto"/>
                      <w:szCs w:val="21"/>
                    </w:rPr>
                  </w:pPr>
                  <w:r>
                    <w:rPr>
                      <w:color w:val="auto"/>
                      <w:kern w:val="0"/>
                      <w:szCs w:val="21"/>
                      <w:lang w:bidi="ar"/>
                    </w:rPr>
                    <w:t>41.9</w:t>
                  </w:r>
                </w:p>
              </w:tc>
              <w:tc>
                <w:tcPr>
                  <w:tcW w:w="741" w:type="dxa"/>
                  <w:vMerge w:val="continue"/>
                  <w:vAlign w:val="center"/>
                </w:tcPr>
                <w:p w14:paraId="4A3C4A68">
                  <w:pPr>
                    <w:snapToGrid w:val="0"/>
                    <w:jc w:val="center"/>
                    <w:rPr>
                      <w:color w:val="auto"/>
                      <w:szCs w:val="21"/>
                    </w:rPr>
                  </w:pPr>
                </w:p>
              </w:tc>
              <w:tc>
                <w:tcPr>
                  <w:tcW w:w="893" w:type="dxa"/>
                  <w:vMerge w:val="continue"/>
                  <w:vAlign w:val="center"/>
                </w:tcPr>
                <w:p w14:paraId="26D7DDEC">
                  <w:pPr>
                    <w:snapToGrid w:val="0"/>
                    <w:jc w:val="center"/>
                    <w:rPr>
                      <w:color w:val="auto"/>
                      <w:szCs w:val="21"/>
                    </w:rPr>
                  </w:pPr>
                </w:p>
              </w:tc>
              <w:tc>
                <w:tcPr>
                  <w:tcW w:w="693" w:type="dxa"/>
                  <w:vAlign w:val="center"/>
                </w:tcPr>
                <w:p w14:paraId="7F54C920">
                  <w:pPr>
                    <w:widowControl/>
                    <w:jc w:val="center"/>
                    <w:textAlignment w:val="center"/>
                    <w:rPr>
                      <w:color w:val="auto"/>
                      <w:szCs w:val="21"/>
                    </w:rPr>
                  </w:pPr>
                  <w:r>
                    <w:rPr>
                      <w:color w:val="auto"/>
                      <w:kern w:val="0"/>
                      <w:szCs w:val="21"/>
                      <w:lang w:bidi="ar"/>
                    </w:rPr>
                    <w:t>21.9</w:t>
                  </w:r>
                </w:p>
              </w:tc>
              <w:tc>
                <w:tcPr>
                  <w:tcW w:w="1260" w:type="dxa"/>
                  <w:vMerge w:val="continue"/>
                  <w:vAlign w:val="center"/>
                </w:tcPr>
                <w:p w14:paraId="0D99BB96">
                  <w:pPr>
                    <w:snapToGrid w:val="0"/>
                    <w:jc w:val="center"/>
                    <w:rPr>
                      <w:color w:val="auto"/>
                      <w:szCs w:val="21"/>
                    </w:rPr>
                  </w:pPr>
                </w:p>
              </w:tc>
            </w:tr>
            <w:tr w14:paraId="596B4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vMerge w:val="restart"/>
                  <w:vAlign w:val="center"/>
                </w:tcPr>
                <w:p w14:paraId="47EA7842">
                  <w:pPr>
                    <w:widowControl/>
                    <w:jc w:val="center"/>
                    <w:textAlignment w:val="center"/>
                    <w:rPr>
                      <w:color w:val="auto"/>
                      <w:szCs w:val="21"/>
                    </w:rPr>
                  </w:pPr>
                  <w:r>
                    <w:rPr>
                      <w:color w:val="auto"/>
                      <w:kern w:val="0"/>
                      <w:szCs w:val="21"/>
                      <w:lang w:bidi="ar"/>
                    </w:rPr>
                    <w:t>5</w:t>
                  </w:r>
                </w:p>
              </w:tc>
              <w:tc>
                <w:tcPr>
                  <w:tcW w:w="786" w:type="dxa"/>
                  <w:vMerge w:val="continue"/>
                  <w:vAlign w:val="center"/>
                </w:tcPr>
                <w:p w14:paraId="5CDF2D15">
                  <w:pPr>
                    <w:snapToGrid w:val="0"/>
                    <w:jc w:val="center"/>
                    <w:rPr>
                      <w:color w:val="auto"/>
                      <w:szCs w:val="21"/>
                    </w:rPr>
                  </w:pPr>
                </w:p>
              </w:tc>
              <w:tc>
                <w:tcPr>
                  <w:tcW w:w="1383" w:type="dxa"/>
                  <w:vMerge w:val="restart"/>
                  <w:vAlign w:val="center"/>
                </w:tcPr>
                <w:p w14:paraId="770F8E8D">
                  <w:pPr>
                    <w:autoSpaceDE w:val="0"/>
                    <w:autoSpaceDN w:val="0"/>
                    <w:adjustRightInd w:val="0"/>
                    <w:snapToGrid w:val="0"/>
                    <w:jc w:val="center"/>
                    <w:rPr>
                      <w:color w:val="auto"/>
                      <w:kern w:val="0"/>
                      <w:szCs w:val="21"/>
                    </w:rPr>
                  </w:pPr>
                  <w:r>
                    <w:rPr>
                      <w:rFonts w:hint="eastAsia"/>
                      <w:color w:val="auto"/>
                      <w:szCs w:val="21"/>
                    </w:rPr>
                    <w:t>液压热压机</w:t>
                  </w:r>
                </w:p>
              </w:tc>
              <w:tc>
                <w:tcPr>
                  <w:tcW w:w="1494" w:type="dxa"/>
                  <w:vMerge w:val="restart"/>
                  <w:vAlign w:val="center"/>
                </w:tcPr>
                <w:p w14:paraId="4D2592B8">
                  <w:pPr>
                    <w:autoSpaceDE w:val="0"/>
                    <w:autoSpaceDN w:val="0"/>
                    <w:adjustRightInd w:val="0"/>
                    <w:snapToGrid w:val="0"/>
                    <w:jc w:val="center"/>
                    <w:rPr>
                      <w:rFonts w:hint="eastAsia"/>
                      <w:color w:val="auto"/>
                      <w:szCs w:val="21"/>
                    </w:rPr>
                  </w:pPr>
                  <w:r>
                    <w:rPr>
                      <w:rFonts w:hint="eastAsia"/>
                      <w:color w:val="auto"/>
                      <w:szCs w:val="21"/>
                    </w:rPr>
                    <w:t>BY214XB/10</w:t>
                  </w:r>
                </w:p>
                <w:p w14:paraId="0E87923B">
                  <w:pPr>
                    <w:autoSpaceDE w:val="0"/>
                    <w:autoSpaceDN w:val="0"/>
                    <w:adjustRightInd w:val="0"/>
                    <w:snapToGrid w:val="0"/>
                    <w:jc w:val="center"/>
                    <w:rPr>
                      <w:b/>
                      <w:bCs/>
                      <w:color w:val="auto"/>
                      <w:szCs w:val="21"/>
                    </w:rPr>
                  </w:pPr>
                  <w:r>
                    <w:rPr>
                      <w:rFonts w:hint="eastAsia"/>
                      <w:color w:val="auto"/>
                      <w:szCs w:val="21"/>
                    </w:rPr>
                    <w:t>(3)HA-A1</w:t>
                  </w:r>
                </w:p>
              </w:tc>
              <w:tc>
                <w:tcPr>
                  <w:tcW w:w="1081" w:type="dxa"/>
                  <w:vMerge w:val="restart"/>
                  <w:vAlign w:val="center"/>
                </w:tcPr>
                <w:p w14:paraId="792132DE">
                  <w:pPr>
                    <w:widowControl/>
                    <w:jc w:val="center"/>
                    <w:textAlignment w:val="center"/>
                    <w:rPr>
                      <w:bCs/>
                      <w:color w:val="auto"/>
                      <w:kern w:val="0"/>
                      <w:szCs w:val="21"/>
                    </w:rPr>
                  </w:pPr>
                  <w:r>
                    <w:rPr>
                      <w:rFonts w:hint="eastAsia"/>
                      <w:color w:val="auto"/>
                      <w:kern w:val="0"/>
                      <w:szCs w:val="21"/>
                      <w:lang w:bidi="ar"/>
                    </w:rPr>
                    <w:t>75</w:t>
                  </w:r>
                </w:p>
              </w:tc>
              <w:tc>
                <w:tcPr>
                  <w:tcW w:w="768" w:type="dxa"/>
                  <w:vMerge w:val="continue"/>
                  <w:vAlign w:val="center"/>
                </w:tcPr>
                <w:p w14:paraId="0B7DED38">
                  <w:pPr>
                    <w:snapToGrid w:val="0"/>
                    <w:jc w:val="center"/>
                    <w:rPr>
                      <w:color w:val="auto"/>
                      <w:kern w:val="0"/>
                      <w:szCs w:val="21"/>
                    </w:rPr>
                  </w:pPr>
                </w:p>
              </w:tc>
              <w:tc>
                <w:tcPr>
                  <w:tcW w:w="617" w:type="dxa"/>
                  <w:vMerge w:val="restart"/>
                  <w:vAlign w:val="center"/>
                </w:tcPr>
                <w:p w14:paraId="344DC41F">
                  <w:pPr>
                    <w:widowControl/>
                    <w:jc w:val="center"/>
                    <w:textAlignment w:val="center"/>
                    <w:rPr>
                      <w:color w:val="auto"/>
                      <w:szCs w:val="21"/>
                    </w:rPr>
                  </w:pPr>
                  <w:r>
                    <w:rPr>
                      <w:color w:val="auto"/>
                      <w:kern w:val="0"/>
                      <w:szCs w:val="21"/>
                      <w:lang w:bidi="ar"/>
                    </w:rPr>
                    <w:t>-12</w:t>
                  </w:r>
                </w:p>
              </w:tc>
              <w:tc>
                <w:tcPr>
                  <w:tcW w:w="617" w:type="dxa"/>
                  <w:vMerge w:val="restart"/>
                  <w:vAlign w:val="center"/>
                </w:tcPr>
                <w:p w14:paraId="05BA54EE">
                  <w:pPr>
                    <w:widowControl/>
                    <w:jc w:val="center"/>
                    <w:textAlignment w:val="center"/>
                    <w:rPr>
                      <w:color w:val="auto"/>
                      <w:szCs w:val="21"/>
                    </w:rPr>
                  </w:pPr>
                  <w:r>
                    <w:rPr>
                      <w:color w:val="auto"/>
                      <w:kern w:val="0"/>
                      <w:szCs w:val="21"/>
                      <w:lang w:bidi="ar"/>
                    </w:rPr>
                    <w:t>-53</w:t>
                  </w:r>
                </w:p>
              </w:tc>
              <w:tc>
                <w:tcPr>
                  <w:tcW w:w="623" w:type="dxa"/>
                  <w:vMerge w:val="restart"/>
                  <w:vAlign w:val="center"/>
                </w:tcPr>
                <w:p w14:paraId="61993076">
                  <w:pPr>
                    <w:widowControl/>
                    <w:jc w:val="center"/>
                    <w:textAlignment w:val="center"/>
                    <w:rPr>
                      <w:color w:val="auto"/>
                      <w:szCs w:val="21"/>
                    </w:rPr>
                  </w:pPr>
                  <w:r>
                    <w:rPr>
                      <w:color w:val="auto"/>
                      <w:kern w:val="0"/>
                      <w:szCs w:val="21"/>
                      <w:lang w:bidi="ar"/>
                    </w:rPr>
                    <w:t>1.2</w:t>
                  </w:r>
                </w:p>
              </w:tc>
              <w:tc>
                <w:tcPr>
                  <w:tcW w:w="1171" w:type="dxa"/>
                  <w:vAlign w:val="center"/>
                </w:tcPr>
                <w:p w14:paraId="5C9424E4">
                  <w:pPr>
                    <w:snapToGrid w:val="0"/>
                    <w:jc w:val="center"/>
                    <w:rPr>
                      <w:color w:val="auto"/>
                    </w:rPr>
                  </w:pPr>
                  <w:r>
                    <w:rPr>
                      <w:rFonts w:hint="eastAsia"/>
                      <w:color w:val="auto"/>
                    </w:rPr>
                    <w:t>北55</w:t>
                  </w:r>
                </w:p>
              </w:tc>
              <w:tc>
                <w:tcPr>
                  <w:tcW w:w="782" w:type="dxa"/>
                  <w:vAlign w:val="center"/>
                </w:tcPr>
                <w:p w14:paraId="56EB55C5">
                  <w:pPr>
                    <w:widowControl/>
                    <w:jc w:val="center"/>
                    <w:textAlignment w:val="center"/>
                    <w:rPr>
                      <w:color w:val="auto"/>
                      <w:szCs w:val="21"/>
                    </w:rPr>
                  </w:pPr>
                  <w:r>
                    <w:rPr>
                      <w:color w:val="auto"/>
                      <w:kern w:val="0"/>
                      <w:szCs w:val="21"/>
                      <w:lang w:bidi="ar"/>
                    </w:rPr>
                    <w:t>40.2</w:t>
                  </w:r>
                </w:p>
              </w:tc>
              <w:tc>
                <w:tcPr>
                  <w:tcW w:w="741" w:type="dxa"/>
                  <w:vMerge w:val="continue"/>
                  <w:vAlign w:val="center"/>
                </w:tcPr>
                <w:p w14:paraId="0924EF8A">
                  <w:pPr>
                    <w:snapToGrid w:val="0"/>
                    <w:jc w:val="center"/>
                    <w:rPr>
                      <w:color w:val="auto"/>
                      <w:szCs w:val="21"/>
                    </w:rPr>
                  </w:pPr>
                </w:p>
              </w:tc>
              <w:tc>
                <w:tcPr>
                  <w:tcW w:w="893" w:type="dxa"/>
                  <w:vMerge w:val="continue"/>
                  <w:vAlign w:val="center"/>
                </w:tcPr>
                <w:p w14:paraId="05392404">
                  <w:pPr>
                    <w:snapToGrid w:val="0"/>
                    <w:jc w:val="center"/>
                    <w:rPr>
                      <w:color w:val="auto"/>
                      <w:szCs w:val="21"/>
                    </w:rPr>
                  </w:pPr>
                </w:p>
              </w:tc>
              <w:tc>
                <w:tcPr>
                  <w:tcW w:w="693" w:type="dxa"/>
                  <w:vAlign w:val="center"/>
                </w:tcPr>
                <w:p w14:paraId="547976DA">
                  <w:pPr>
                    <w:widowControl/>
                    <w:jc w:val="center"/>
                    <w:textAlignment w:val="center"/>
                    <w:rPr>
                      <w:color w:val="auto"/>
                      <w:szCs w:val="21"/>
                    </w:rPr>
                  </w:pPr>
                  <w:r>
                    <w:rPr>
                      <w:color w:val="auto"/>
                      <w:kern w:val="0"/>
                      <w:szCs w:val="21"/>
                      <w:lang w:bidi="ar"/>
                    </w:rPr>
                    <w:t>20.2</w:t>
                  </w:r>
                </w:p>
              </w:tc>
              <w:tc>
                <w:tcPr>
                  <w:tcW w:w="1260" w:type="dxa"/>
                  <w:vMerge w:val="restart"/>
                  <w:vAlign w:val="center"/>
                </w:tcPr>
                <w:p w14:paraId="65344A0E">
                  <w:pPr>
                    <w:snapToGrid w:val="0"/>
                    <w:jc w:val="center"/>
                    <w:rPr>
                      <w:color w:val="auto"/>
                      <w:szCs w:val="21"/>
                    </w:rPr>
                  </w:pPr>
                  <w:r>
                    <w:rPr>
                      <w:rFonts w:hint="eastAsia"/>
                      <w:color w:val="auto"/>
                      <w:szCs w:val="21"/>
                    </w:rPr>
                    <w:t>1</w:t>
                  </w:r>
                </w:p>
              </w:tc>
            </w:tr>
            <w:tr w14:paraId="52229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vMerge w:val="continue"/>
                  <w:vAlign w:val="center"/>
                </w:tcPr>
                <w:p w14:paraId="3F2EB4BE">
                  <w:pPr>
                    <w:snapToGrid w:val="0"/>
                    <w:jc w:val="center"/>
                    <w:rPr>
                      <w:color w:val="auto"/>
                      <w:szCs w:val="21"/>
                    </w:rPr>
                  </w:pPr>
                </w:p>
              </w:tc>
              <w:tc>
                <w:tcPr>
                  <w:tcW w:w="786" w:type="dxa"/>
                  <w:vMerge w:val="continue"/>
                  <w:vAlign w:val="center"/>
                </w:tcPr>
                <w:p w14:paraId="414ED141">
                  <w:pPr>
                    <w:snapToGrid w:val="0"/>
                    <w:jc w:val="center"/>
                    <w:rPr>
                      <w:color w:val="auto"/>
                      <w:szCs w:val="21"/>
                    </w:rPr>
                  </w:pPr>
                </w:p>
              </w:tc>
              <w:tc>
                <w:tcPr>
                  <w:tcW w:w="1383" w:type="dxa"/>
                  <w:vMerge w:val="continue"/>
                  <w:vAlign w:val="center"/>
                </w:tcPr>
                <w:p w14:paraId="2EFC44A4">
                  <w:pPr>
                    <w:adjustRightInd w:val="0"/>
                    <w:snapToGrid w:val="0"/>
                    <w:jc w:val="center"/>
                    <w:rPr>
                      <w:color w:val="auto"/>
                      <w:kern w:val="0"/>
                      <w:szCs w:val="21"/>
                    </w:rPr>
                  </w:pPr>
                </w:p>
              </w:tc>
              <w:tc>
                <w:tcPr>
                  <w:tcW w:w="1494" w:type="dxa"/>
                  <w:vMerge w:val="continue"/>
                  <w:vAlign w:val="center"/>
                </w:tcPr>
                <w:p w14:paraId="0EA2AA1E">
                  <w:pPr>
                    <w:snapToGrid w:val="0"/>
                    <w:jc w:val="center"/>
                    <w:rPr>
                      <w:b/>
                      <w:bCs/>
                      <w:color w:val="auto"/>
                      <w:szCs w:val="21"/>
                    </w:rPr>
                  </w:pPr>
                </w:p>
              </w:tc>
              <w:tc>
                <w:tcPr>
                  <w:tcW w:w="1081" w:type="dxa"/>
                  <w:vMerge w:val="continue"/>
                  <w:vAlign w:val="center"/>
                </w:tcPr>
                <w:p w14:paraId="40EFD133">
                  <w:pPr>
                    <w:adjustRightInd w:val="0"/>
                    <w:snapToGrid w:val="0"/>
                    <w:jc w:val="center"/>
                    <w:rPr>
                      <w:bCs/>
                      <w:color w:val="auto"/>
                      <w:kern w:val="0"/>
                      <w:szCs w:val="21"/>
                    </w:rPr>
                  </w:pPr>
                </w:p>
              </w:tc>
              <w:tc>
                <w:tcPr>
                  <w:tcW w:w="768" w:type="dxa"/>
                  <w:vMerge w:val="continue"/>
                  <w:vAlign w:val="center"/>
                </w:tcPr>
                <w:p w14:paraId="24ECB5BD">
                  <w:pPr>
                    <w:snapToGrid w:val="0"/>
                    <w:jc w:val="center"/>
                    <w:rPr>
                      <w:color w:val="auto"/>
                      <w:kern w:val="0"/>
                      <w:szCs w:val="21"/>
                    </w:rPr>
                  </w:pPr>
                </w:p>
              </w:tc>
              <w:tc>
                <w:tcPr>
                  <w:tcW w:w="617" w:type="dxa"/>
                  <w:vMerge w:val="continue"/>
                  <w:vAlign w:val="center"/>
                </w:tcPr>
                <w:p w14:paraId="1D59B05D">
                  <w:pPr>
                    <w:snapToGrid w:val="0"/>
                    <w:jc w:val="center"/>
                    <w:rPr>
                      <w:color w:val="auto"/>
                      <w:szCs w:val="21"/>
                    </w:rPr>
                  </w:pPr>
                </w:p>
              </w:tc>
              <w:tc>
                <w:tcPr>
                  <w:tcW w:w="617" w:type="dxa"/>
                  <w:vMerge w:val="continue"/>
                  <w:vAlign w:val="center"/>
                </w:tcPr>
                <w:p w14:paraId="06C10334">
                  <w:pPr>
                    <w:snapToGrid w:val="0"/>
                    <w:jc w:val="center"/>
                    <w:rPr>
                      <w:color w:val="auto"/>
                      <w:szCs w:val="21"/>
                    </w:rPr>
                  </w:pPr>
                </w:p>
              </w:tc>
              <w:tc>
                <w:tcPr>
                  <w:tcW w:w="623" w:type="dxa"/>
                  <w:vMerge w:val="continue"/>
                  <w:vAlign w:val="center"/>
                </w:tcPr>
                <w:p w14:paraId="446831C3">
                  <w:pPr>
                    <w:snapToGrid w:val="0"/>
                    <w:jc w:val="center"/>
                    <w:rPr>
                      <w:color w:val="auto"/>
                      <w:szCs w:val="21"/>
                    </w:rPr>
                  </w:pPr>
                </w:p>
              </w:tc>
              <w:tc>
                <w:tcPr>
                  <w:tcW w:w="1171" w:type="dxa"/>
                  <w:vAlign w:val="center"/>
                </w:tcPr>
                <w:p w14:paraId="1AA26ADE">
                  <w:pPr>
                    <w:snapToGrid w:val="0"/>
                    <w:jc w:val="center"/>
                    <w:rPr>
                      <w:color w:val="auto"/>
                    </w:rPr>
                  </w:pPr>
                  <w:r>
                    <w:rPr>
                      <w:rFonts w:hint="eastAsia"/>
                      <w:color w:val="auto"/>
                    </w:rPr>
                    <w:t>南45</w:t>
                  </w:r>
                </w:p>
              </w:tc>
              <w:tc>
                <w:tcPr>
                  <w:tcW w:w="782" w:type="dxa"/>
                  <w:vAlign w:val="center"/>
                </w:tcPr>
                <w:p w14:paraId="00BF19AD">
                  <w:pPr>
                    <w:widowControl/>
                    <w:jc w:val="center"/>
                    <w:textAlignment w:val="center"/>
                    <w:rPr>
                      <w:color w:val="auto"/>
                      <w:szCs w:val="21"/>
                    </w:rPr>
                  </w:pPr>
                  <w:r>
                    <w:rPr>
                      <w:color w:val="auto"/>
                      <w:kern w:val="0"/>
                      <w:szCs w:val="21"/>
                      <w:lang w:bidi="ar"/>
                    </w:rPr>
                    <w:t>41.9</w:t>
                  </w:r>
                </w:p>
              </w:tc>
              <w:tc>
                <w:tcPr>
                  <w:tcW w:w="741" w:type="dxa"/>
                  <w:vMerge w:val="continue"/>
                  <w:vAlign w:val="center"/>
                </w:tcPr>
                <w:p w14:paraId="528EABD4">
                  <w:pPr>
                    <w:snapToGrid w:val="0"/>
                    <w:jc w:val="center"/>
                    <w:rPr>
                      <w:color w:val="auto"/>
                      <w:szCs w:val="21"/>
                    </w:rPr>
                  </w:pPr>
                </w:p>
              </w:tc>
              <w:tc>
                <w:tcPr>
                  <w:tcW w:w="893" w:type="dxa"/>
                  <w:vMerge w:val="continue"/>
                  <w:vAlign w:val="center"/>
                </w:tcPr>
                <w:p w14:paraId="4C15B834">
                  <w:pPr>
                    <w:snapToGrid w:val="0"/>
                    <w:jc w:val="center"/>
                    <w:rPr>
                      <w:color w:val="auto"/>
                      <w:szCs w:val="21"/>
                    </w:rPr>
                  </w:pPr>
                </w:p>
              </w:tc>
              <w:tc>
                <w:tcPr>
                  <w:tcW w:w="693" w:type="dxa"/>
                  <w:vAlign w:val="center"/>
                </w:tcPr>
                <w:p w14:paraId="391B5E53">
                  <w:pPr>
                    <w:widowControl/>
                    <w:jc w:val="center"/>
                    <w:textAlignment w:val="center"/>
                    <w:rPr>
                      <w:color w:val="auto"/>
                      <w:szCs w:val="21"/>
                    </w:rPr>
                  </w:pPr>
                  <w:r>
                    <w:rPr>
                      <w:color w:val="auto"/>
                      <w:kern w:val="0"/>
                      <w:szCs w:val="21"/>
                      <w:lang w:bidi="ar"/>
                    </w:rPr>
                    <w:t>21.9</w:t>
                  </w:r>
                </w:p>
              </w:tc>
              <w:tc>
                <w:tcPr>
                  <w:tcW w:w="1260" w:type="dxa"/>
                  <w:vMerge w:val="continue"/>
                  <w:vAlign w:val="center"/>
                </w:tcPr>
                <w:p w14:paraId="5A8D0B00">
                  <w:pPr>
                    <w:snapToGrid w:val="0"/>
                    <w:jc w:val="center"/>
                    <w:rPr>
                      <w:color w:val="auto"/>
                      <w:szCs w:val="21"/>
                    </w:rPr>
                  </w:pPr>
                </w:p>
              </w:tc>
            </w:tr>
            <w:tr w14:paraId="0B375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vMerge w:val="continue"/>
                  <w:vAlign w:val="center"/>
                </w:tcPr>
                <w:p w14:paraId="7871C393">
                  <w:pPr>
                    <w:snapToGrid w:val="0"/>
                    <w:jc w:val="center"/>
                    <w:rPr>
                      <w:color w:val="auto"/>
                      <w:szCs w:val="21"/>
                    </w:rPr>
                  </w:pPr>
                </w:p>
              </w:tc>
              <w:tc>
                <w:tcPr>
                  <w:tcW w:w="786" w:type="dxa"/>
                  <w:vMerge w:val="continue"/>
                  <w:vAlign w:val="center"/>
                </w:tcPr>
                <w:p w14:paraId="015732DE">
                  <w:pPr>
                    <w:snapToGrid w:val="0"/>
                    <w:jc w:val="center"/>
                    <w:rPr>
                      <w:color w:val="auto"/>
                      <w:szCs w:val="21"/>
                    </w:rPr>
                  </w:pPr>
                </w:p>
              </w:tc>
              <w:tc>
                <w:tcPr>
                  <w:tcW w:w="1383" w:type="dxa"/>
                  <w:vMerge w:val="continue"/>
                  <w:vAlign w:val="center"/>
                </w:tcPr>
                <w:p w14:paraId="442C40FB">
                  <w:pPr>
                    <w:adjustRightInd w:val="0"/>
                    <w:snapToGrid w:val="0"/>
                    <w:jc w:val="center"/>
                    <w:rPr>
                      <w:color w:val="auto"/>
                      <w:kern w:val="0"/>
                      <w:szCs w:val="21"/>
                    </w:rPr>
                  </w:pPr>
                </w:p>
              </w:tc>
              <w:tc>
                <w:tcPr>
                  <w:tcW w:w="1494" w:type="dxa"/>
                  <w:vMerge w:val="continue"/>
                  <w:vAlign w:val="center"/>
                </w:tcPr>
                <w:p w14:paraId="17F40296">
                  <w:pPr>
                    <w:snapToGrid w:val="0"/>
                    <w:jc w:val="center"/>
                    <w:rPr>
                      <w:b/>
                      <w:bCs/>
                      <w:color w:val="auto"/>
                      <w:szCs w:val="21"/>
                    </w:rPr>
                  </w:pPr>
                </w:p>
              </w:tc>
              <w:tc>
                <w:tcPr>
                  <w:tcW w:w="1081" w:type="dxa"/>
                  <w:vMerge w:val="continue"/>
                  <w:vAlign w:val="center"/>
                </w:tcPr>
                <w:p w14:paraId="5B1217CD">
                  <w:pPr>
                    <w:adjustRightInd w:val="0"/>
                    <w:snapToGrid w:val="0"/>
                    <w:jc w:val="center"/>
                    <w:rPr>
                      <w:bCs/>
                      <w:color w:val="auto"/>
                      <w:kern w:val="0"/>
                      <w:szCs w:val="21"/>
                    </w:rPr>
                  </w:pPr>
                </w:p>
              </w:tc>
              <w:tc>
                <w:tcPr>
                  <w:tcW w:w="768" w:type="dxa"/>
                  <w:vMerge w:val="continue"/>
                  <w:vAlign w:val="center"/>
                </w:tcPr>
                <w:p w14:paraId="3338E277">
                  <w:pPr>
                    <w:snapToGrid w:val="0"/>
                    <w:jc w:val="center"/>
                    <w:rPr>
                      <w:color w:val="auto"/>
                      <w:kern w:val="0"/>
                      <w:szCs w:val="21"/>
                    </w:rPr>
                  </w:pPr>
                </w:p>
              </w:tc>
              <w:tc>
                <w:tcPr>
                  <w:tcW w:w="617" w:type="dxa"/>
                  <w:vMerge w:val="continue"/>
                  <w:vAlign w:val="center"/>
                </w:tcPr>
                <w:p w14:paraId="6154FC0A">
                  <w:pPr>
                    <w:snapToGrid w:val="0"/>
                    <w:jc w:val="center"/>
                    <w:rPr>
                      <w:color w:val="auto"/>
                      <w:szCs w:val="21"/>
                    </w:rPr>
                  </w:pPr>
                </w:p>
              </w:tc>
              <w:tc>
                <w:tcPr>
                  <w:tcW w:w="617" w:type="dxa"/>
                  <w:vMerge w:val="continue"/>
                  <w:vAlign w:val="center"/>
                </w:tcPr>
                <w:p w14:paraId="3D3655D2">
                  <w:pPr>
                    <w:snapToGrid w:val="0"/>
                    <w:jc w:val="center"/>
                    <w:rPr>
                      <w:color w:val="auto"/>
                      <w:szCs w:val="21"/>
                    </w:rPr>
                  </w:pPr>
                </w:p>
              </w:tc>
              <w:tc>
                <w:tcPr>
                  <w:tcW w:w="623" w:type="dxa"/>
                  <w:vMerge w:val="continue"/>
                  <w:vAlign w:val="center"/>
                </w:tcPr>
                <w:p w14:paraId="7C059376">
                  <w:pPr>
                    <w:snapToGrid w:val="0"/>
                    <w:jc w:val="center"/>
                    <w:rPr>
                      <w:color w:val="auto"/>
                      <w:szCs w:val="21"/>
                    </w:rPr>
                  </w:pPr>
                </w:p>
              </w:tc>
              <w:tc>
                <w:tcPr>
                  <w:tcW w:w="1171" w:type="dxa"/>
                  <w:vAlign w:val="center"/>
                </w:tcPr>
                <w:p w14:paraId="48870E84">
                  <w:pPr>
                    <w:snapToGrid w:val="0"/>
                    <w:jc w:val="center"/>
                    <w:rPr>
                      <w:color w:val="auto"/>
                    </w:rPr>
                  </w:pPr>
                  <w:r>
                    <w:rPr>
                      <w:rFonts w:hint="eastAsia"/>
                      <w:color w:val="auto"/>
                    </w:rPr>
                    <w:t>东34</w:t>
                  </w:r>
                </w:p>
              </w:tc>
              <w:tc>
                <w:tcPr>
                  <w:tcW w:w="782" w:type="dxa"/>
                  <w:vAlign w:val="center"/>
                </w:tcPr>
                <w:p w14:paraId="0A38ABDD">
                  <w:pPr>
                    <w:widowControl/>
                    <w:jc w:val="center"/>
                    <w:textAlignment w:val="center"/>
                    <w:rPr>
                      <w:color w:val="auto"/>
                      <w:szCs w:val="21"/>
                    </w:rPr>
                  </w:pPr>
                  <w:r>
                    <w:rPr>
                      <w:color w:val="auto"/>
                      <w:kern w:val="0"/>
                      <w:szCs w:val="21"/>
                      <w:lang w:bidi="ar"/>
                    </w:rPr>
                    <w:t>44.4</w:t>
                  </w:r>
                </w:p>
              </w:tc>
              <w:tc>
                <w:tcPr>
                  <w:tcW w:w="741" w:type="dxa"/>
                  <w:vMerge w:val="continue"/>
                  <w:vAlign w:val="center"/>
                </w:tcPr>
                <w:p w14:paraId="5DC2FC41">
                  <w:pPr>
                    <w:snapToGrid w:val="0"/>
                    <w:jc w:val="center"/>
                    <w:rPr>
                      <w:color w:val="auto"/>
                      <w:szCs w:val="21"/>
                    </w:rPr>
                  </w:pPr>
                </w:p>
              </w:tc>
              <w:tc>
                <w:tcPr>
                  <w:tcW w:w="893" w:type="dxa"/>
                  <w:vMerge w:val="continue"/>
                  <w:vAlign w:val="center"/>
                </w:tcPr>
                <w:p w14:paraId="695E1DCB">
                  <w:pPr>
                    <w:snapToGrid w:val="0"/>
                    <w:jc w:val="center"/>
                    <w:rPr>
                      <w:color w:val="auto"/>
                      <w:szCs w:val="21"/>
                    </w:rPr>
                  </w:pPr>
                </w:p>
              </w:tc>
              <w:tc>
                <w:tcPr>
                  <w:tcW w:w="693" w:type="dxa"/>
                  <w:vAlign w:val="center"/>
                </w:tcPr>
                <w:p w14:paraId="125DD850">
                  <w:pPr>
                    <w:widowControl/>
                    <w:jc w:val="center"/>
                    <w:textAlignment w:val="center"/>
                    <w:rPr>
                      <w:color w:val="auto"/>
                      <w:szCs w:val="21"/>
                    </w:rPr>
                  </w:pPr>
                  <w:r>
                    <w:rPr>
                      <w:color w:val="auto"/>
                      <w:kern w:val="0"/>
                      <w:szCs w:val="21"/>
                      <w:lang w:bidi="ar"/>
                    </w:rPr>
                    <w:t>24.4</w:t>
                  </w:r>
                </w:p>
              </w:tc>
              <w:tc>
                <w:tcPr>
                  <w:tcW w:w="1260" w:type="dxa"/>
                  <w:vMerge w:val="continue"/>
                  <w:vAlign w:val="center"/>
                </w:tcPr>
                <w:p w14:paraId="353D50CB">
                  <w:pPr>
                    <w:snapToGrid w:val="0"/>
                    <w:jc w:val="center"/>
                    <w:rPr>
                      <w:color w:val="auto"/>
                      <w:szCs w:val="21"/>
                    </w:rPr>
                  </w:pPr>
                </w:p>
              </w:tc>
            </w:tr>
            <w:tr w14:paraId="1A857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vMerge w:val="continue"/>
                  <w:vAlign w:val="center"/>
                </w:tcPr>
                <w:p w14:paraId="288F472C">
                  <w:pPr>
                    <w:snapToGrid w:val="0"/>
                    <w:jc w:val="center"/>
                    <w:rPr>
                      <w:color w:val="auto"/>
                      <w:szCs w:val="21"/>
                    </w:rPr>
                  </w:pPr>
                </w:p>
              </w:tc>
              <w:tc>
                <w:tcPr>
                  <w:tcW w:w="786" w:type="dxa"/>
                  <w:vMerge w:val="continue"/>
                  <w:vAlign w:val="center"/>
                </w:tcPr>
                <w:p w14:paraId="7F4C1DB5">
                  <w:pPr>
                    <w:snapToGrid w:val="0"/>
                    <w:jc w:val="center"/>
                    <w:rPr>
                      <w:color w:val="auto"/>
                      <w:szCs w:val="21"/>
                    </w:rPr>
                  </w:pPr>
                </w:p>
              </w:tc>
              <w:tc>
                <w:tcPr>
                  <w:tcW w:w="1383" w:type="dxa"/>
                  <w:vMerge w:val="continue"/>
                  <w:vAlign w:val="center"/>
                </w:tcPr>
                <w:p w14:paraId="11B5A2A4">
                  <w:pPr>
                    <w:adjustRightInd w:val="0"/>
                    <w:snapToGrid w:val="0"/>
                    <w:jc w:val="center"/>
                    <w:rPr>
                      <w:color w:val="auto"/>
                      <w:kern w:val="0"/>
                      <w:szCs w:val="21"/>
                    </w:rPr>
                  </w:pPr>
                </w:p>
              </w:tc>
              <w:tc>
                <w:tcPr>
                  <w:tcW w:w="1494" w:type="dxa"/>
                  <w:vMerge w:val="continue"/>
                  <w:vAlign w:val="center"/>
                </w:tcPr>
                <w:p w14:paraId="392A67D2">
                  <w:pPr>
                    <w:snapToGrid w:val="0"/>
                    <w:jc w:val="center"/>
                    <w:rPr>
                      <w:b/>
                      <w:bCs/>
                      <w:color w:val="auto"/>
                      <w:szCs w:val="21"/>
                    </w:rPr>
                  </w:pPr>
                </w:p>
              </w:tc>
              <w:tc>
                <w:tcPr>
                  <w:tcW w:w="1081" w:type="dxa"/>
                  <w:vMerge w:val="continue"/>
                  <w:vAlign w:val="center"/>
                </w:tcPr>
                <w:p w14:paraId="7B3DCAE7">
                  <w:pPr>
                    <w:adjustRightInd w:val="0"/>
                    <w:snapToGrid w:val="0"/>
                    <w:jc w:val="center"/>
                    <w:rPr>
                      <w:bCs/>
                      <w:color w:val="auto"/>
                      <w:kern w:val="0"/>
                      <w:szCs w:val="21"/>
                    </w:rPr>
                  </w:pPr>
                </w:p>
              </w:tc>
              <w:tc>
                <w:tcPr>
                  <w:tcW w:w="768" w:type="dxa"/>
                  <w:vMerge w:val="continue"/>
                  <w:vAlign w:val="center"/>
                </w:tcPr>
                <w:p w14:paraId="1458D8BD">
                  <w:pPr>
                    <w:snapToGrid w:val="0"/>
                    <w:jc w:val="center"/>
                    <w:rPr>
                      <w:color w:val="auto"/>
                      <w:kern w:val="0"/>
                      <w:szCs w:val="21"/>
                    </w:rPr>
                  </w:pPr>
                </w:p>
              </w:tc>
              <w:tc>
                <w:tcPr>
                  <w:tcW w:w="617" w:type="dxa"/>
                  <w:vMerge w:val="continue"/>
                  <w:vAlign w:val="center"/>
                </w:tcPr>
                <w:p w14:paraId="0946EBA3">
                  <w:pPr>
                    <w:snapToGrid w:val="0"/>
                    <w:jc w:val="center"/>
                    <w:rPr>
                      <w:color w:val="auto"/>
                      <w:szCs w:val="21"/>
                    </w:rPr>
                  </w:pPr>
                </w:p>
              </w:tc>
              <w:tc>
                <w:tcPr>
                  <w:tcW w:w="617" w:type="dxa"/>
                  <w:vMerge w:val="continue"/>
                  <w:vAlign w:val="center"/>
                </w:tcPr>
                <w:p w14:paraId="71C30851">
                  <w:pPr>
                    <w:snapToGrid w:val="0"/>
                    <w:jc w:val="center"/>
                    <w:rPr>
                      <w:color w:val="auto"/>
                      <w:szCs w:val="21"/>
                    </w:rPr>
                  </w:pPr>
                </w:p>
              </w:tc>
              <w:tc>
                <w:tcPr>
                  <w:tcW w:w="623" w:type="dxa"/>
                  <w:vMerge w:val="continue"/>
                  <w:vAlign w:val="center"/>
                </w:tcPr>
                <w:p w14:paraId="6E8EE9C3">
                  <w:pPr>
                    <w:snapToGrid w:val="0"/>
                    <w:jc w:val="center"/>
                    <w:rPr>
                      <w:color w:val="auto"/>
                      <w:szCs w:val="21"/>
                    </w:rPr>
                  </w:pPr>
                </w:p>
              </w:tc>
              <w:tc>
                <w:tcPr>
                  <w:tcW w:w="1171" w:type="dxa"/>
                  <w:vAlign w:val="center"/>
                </w:tcPr>
                <w:p w14:paraId="490F91FB">
                  <w:pPr>
                    <w:snapToGrid w:val="0"/>
                    <w:jc w:val="center"/>
                    <w:rPr>
                      <w:color w:val="auto"/>
                    </w:rPr>
                  </w:pPr>
                  <w:r>
                    <w:rPr>
                      <w:rFonts w:hint="eastAsia"/>
                      <w:color w:val="auto"/>
                    </w:rPr>
                    <w:t>西26</w:t>
                  </w:r>
                </w:p>
              </w:tc>
              <w:tc>
                <w:tcPr>
                  <w:tcW w:w="782" w:type="dxa"/>
                  <w:vAlign w:val="center"/>
                </w:tcPr>
                <w:p w14:paraId="2210FAA3">
                  <w:pPr>
                    <w:widowControl/>
                    <w:jc w:val="center"/>
                    <w:textAlignment w:val="center"/>
                    <w:rPr>
                      <w:color w:val="auto"/>
                      <w:szCs w:val="21"/>
                    </w:rPr>
                  </w:pPr>
                  <w:r>
                    <w:rPr>
                      <w:color w:val="auto"/>
                      <w:kern w:val="0"/>
                      <w:szCs w:val="21"/>
                      <w:lang w:bidi="ar"/>
                    </w:rPr>
                    <w:t>46.7</w:t>
                  </w:r>
                </w:p>
              </w:tc>
              <w:tc>
                <w:tcPr>
                  <w:tcW w:w="741" w:type="dxa"/>
                  <w:vMerge w:val="continue"/>
                  <w:vAlign w:val="center"/>
                </w:tcPr>
                <w:p w14:paraId="7EBD926E">
                  <w:pPr>
                    <w:snapToGrid w:val="0"/>
                    <w:jc w:val="center"/>
                    <w:rPr>
                      <w:color w:val="auto"/>
                      <w:szCs w:val="21"/>
                    </w:rPr>
                  </w:pPr>
                </w:p>
              </w:tc>
              <w:tc>
                <w:tcPr>
                  <w:tcW w:w="893" w:type="dxa"/>
                  <w:vMerge w:val="continue"/>
                  <w:vAlign w:val="center"/>
                </w:tcPr>
                <w:p w14:paraId="68D7AD3B">
                  <w:pPr>
                    <w:snapToGrid w:val="0"/>
                    <w:jc w:val="center"/>
                    <w:rPr>
                      <w:color w:val="auto"/>
                      <w:szCs w:val="21"/>
                    </w:rPr>
                  </w:pPr>
                </w:p>
              </w:tc>
              <w:tc>
                <w:tcPr>
                  <w:tcW w:w="693" w:type="dxa"/>
                  <w:vAlign w:val="center"/>
                </w:tcPr>
                <w:p w14:paraId="102EFBF4">
                  <w:pPr>
                    <w:widowControl/>
                    <w:jc w:val="center"/>
                    <w:textAlignment w:val="center"/>
                    <w:rPr>
                      <w:color w:val="auto"/>
                      <w:szCs w:val="21"/>
                    </w:rPr>
                  </w:pPr>
                  <w:r>
                    <w:rPr>
                      <w:color w:val="auto"/>
                      <w:kern w:val="0"/>
                      <w:szCs w:val="21"/>
                      <w:lang w:bidi="ar"/>
                    </w:rPr>
                    <w:t>26.7</w:t>
                  </w:r>
                </w:p>
              </w:tc>
              <w:tc>
                <w:tcPr>
                  <w:tcW w:w="1260" w:type="dxa"/>
                  <w:vMerge w:val="continue"/>
                  <w:vAlign w:val="center"/>
                </w:tcPr>
                <w:p w14:paraId="5EF1596B">
                  <w:pPr>
                    <w:snapToGrid w:val="0"/>
                    <w:jc w:val="center"/>
                    <w:rPr>
                      <w:color w:val="auto"/>
                      <w:szCs w:val="21"/>
                    </w:rPr>
                  </w:pPr>
                </w:p>
              </w:tc>
            </w:tr>
            <w:tr w14:paraId="49685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584" w:type="dxa"/>
                  <w:vMerge w:val="restart"/>
                  <w:vAlign w:val="center"/>
                </w:tcPr>
                <w:p w14:paraId="4CEC958C">
                  <w:pPr>
                    <w:widowControl/>
                    <w:jc w:val="center"/>
                    <w:textAlignment w:val="center"/>
                    <w:rPr>
                      <w:color w:val="auto"/>
                      <w:szCs w:val="21"/>
                    </w:rPr>
                  </w:pPr>
                  <w:r>
                    <w:rPr>
                      <w:color w:val="auto"/>
                      <w:kern w:val="0"/>
                      <w:szCs w:val="21"/>
                      <w:lang w:bidi="ar"/>
                    </w:rPr>
                    <w:t>6</w:t>
                  </w:r>
                </w:p>
              </w:tc>
              <w:tc>
                <w:tcPr>
                  <w:tcW w:w="786" w:type="dxa"/>
                  <w:vMerge w:val="continue"/>
                  <w:vAlign w:val="center"/>
                </w:tcPr>
                <w:p w14:paraId="0179B499">
                  <w:pPr>
                    <w:snapToGrid w:val="0"/>
                    <w:jc w:val="center"/>
                    <w:rPr>
                      <w:b/>
                      <w:bCs/>
                      <w:color w:val="auto"/>
                      <w:szCs w:val="21"/>
                    </w:rPr>
                  </w:pPr>
                </w:p>
              </w:tc>
              <w:tc>
                <w:tcPr>
                  <w:tcW w:w="1383" w:type="dxa"/>
                  <w:vMerge w:val="restart"/>
                  <w:vAlign w:val="center"/>
                </w:tcPr>
                <w:p w14:paraId="433E8DA8">
                  <w:pPr>
                    <w:autoSpaceDE w:val="0"/>
                    <w:autoSpaceDN w:val="0"/>
                    <w:adjustRightInd w:val="0"/>
                    <w:snapToGrid w:val="0"/>
                    <w:jc w:val="center"/>
                    <w:rPr>
                      <w:color w:val="auto"/>
                      <w:kern w:val="0"/>
                      <w:szCs w:val="21"/>
                    </w:rPr>
                  </w:pPr>
                  <w:r>
                    <w:rPr>
                      <w:rFonts w:hint="eastAsia"/>
                      <w:color w:val="auto"/>
                      <w:szCs w:val="21"/>
                    </w:rPr>
                    <w:t>四面刨</w:t>
                  </w:r>
                </w:p>
              </w:tc>
              <w:tc>
                <w:tcPr>
                  <w:tcW w:w="1494" w:type="dxa"/>
                  <w:vMerge w:val="restart"/>
                  <w:vAlign w:val="center"/>
                </w:tcPr>
                <w:p w14:paraId="598A0B80">
                  <w:pPr>
                    <w:autoSpaceDE w:val="0"/>
                    <w:autoSpaceDN w:val="0"/>
                    <w:adjustRightInd w:val="0"/>
                    <w:snapToGrid w:val="0"/>
                    <w:jc w:val="center"/>
                    <w:rPr>
                      <w:b/>
                      <w:bCs/>
                      <w:color w:val="auto"/>
                      <w:szCs w:val="21"/>
                    </w:rPr>
                  </w:pPr>
                  <w:r>
                    <w:rPr>
                      <w:rFonts w:hint="eastAsia"/>
                      <w:color w:val="auto"/>
                      <w:szCs w:val="21"/>
                    </w:rPr>
                    <w:t>MH3248</w:t>
                  </w:r>
                </w:p>
              </w:tc>
              <w:tc>
                <w:tcPr>
                  <w:tcW w:w="1081" w:type="dxa"/>
                  <w:vMerge w:val="restart"/>
                  <w:vAlign w:val="center"/>
                </w:tcPr>
                <w:p w14:paraId="28515D32">
                  <w:pPr>
                    <w:widowControl/>
                    <w:jc w:val="center"/>
                    <w:textAlignment w:val="center"/>
                    <w:rPr>
                      <w:b/>
                      <w:bCs/>
                      <w:color w:val="auto"/>
                      <w:szCs w:val="21"/>
                    </w:rPr>
                  </w:pPr>
                  <w:r>
                    <w:rPr>
                      <w:rFonts w:hint="eastAsia"/>
                      <w:color w:val="auto"/>
                      <w:kern w:val="0"/>
                      <w:szCs w:val="21"/>
                      <w:lang w:bidi="ar"/>
                    </w:rPr>
                    <w:t>75</w:t>
                  </w:r>
                </w:p>
              </w:tc>
              <w:tc>
                <w:tcPr>
                  <w:tcW w:w="768" w:type="dxa"/>
                  <w:vMerge w:val="continue"/>
                  <w:vAlign w:val="center"/>
                </w:tcPr>
                <w:p w14:paraId="68D45356">
                  <w:pPr>
                    <w:snapToGrid w:val="0"/>
                    <w:jc w:val="center"/>
                    <w:rPr>
                      <w:b/>
                      <w:bCs/>
                      <w:color w:val="auto"/>
                      <w:szCs w:val="21"/>
                    </w:rPr>
                  </w:pPr>
                </w:p>
              </w:tc>
              <w:tc>
                <w:tcPr>
                  <w:tcW w:w="617" w:type="dxa"/>
                  <w:vMerge w:val="restart"/>
                  <w:vAlign w:val="center"/>
                </w:tcPr>
                <w:p w14:paraId="26112751">
                  <w:pPr>
                    <w:widowControl/>
                    <w:jc w:val="center"/>
                    <w:textAlignment w:val="center"/>
                    <w:rPr>
                      <w:color w:val="auto"/>
                      <w:szCs w:val="21"/>
                    </w:rPr>
                  </w:pPr>
                  <w:r>
                    <w:rPr>
                      <w:color w:val="auto"/>
                      <w:kern w:val="0"/>
                      <w:szCs w:val="21"/>
                      <w:lang w:bidi="ar"/>
                    </w:rPr>
                    <w:t>9</w:t>
                  </w:r>
                </w:p>
              </w:tc>
              <w:tc>
                <w:tcPr>
                  <w:tcW w:w="617" w:type="dxa"/>
                  <w:vMerge w:val="restart"/>
                  <w:vAlign w:val="center"/>
                </w:tcPr>
                <w:p w14:paraId="51643E44">
                  <w:pPr>
                    <w:widowControl/>
                    <w:jc w:val="center"/>
                    <w:textAlignment w:val="center"/>
                    <w:rPr>
                      <w:color w:val="auto"/>
                      <w:szCs w:val="21"/>
                    </w:rPr>
                  </w:pPr>
                  <w:r>
                    <w:rPr>
                      <w:color w:val="auto"/>
                      <w:kern w:val="0"/>
                      <w:szCs w:val="21"/>
                      <w:lang w:bidi="ar"/>
                    </w:rPr>
                    <w:t>-46</w:t>
                  </w:r>
                </w:p>
              </w:tc>
              <w:tc>
                <w:tcPr>
                  <w:tcW w:w="623" w:type="dxa"/>
                  <w:vMerge w:val="restart"/>
                  <w:vAlign w:val="center"/>
                </w:tcPr>
                <w:p w14:paraId="01B1ED99">
                  <w:pPr>
                    <w:widowControl/>
                    <w:jc w:val="center"/>
                    <w:textAlignment w:val="center"/>
                    <w:rPr>
                      <w:color w:val="auto"/>
                      <w:szCs w:val="21"/>
                    </w:rPr>
                  </w:pPr>
                  <w:r>
                    <w:rPr>
                      <w:color w:val="auto"/>
                      <w:kern w:val="0"/>
                      <w:szCs w:val="21"/>
                      <w:lang w:bidi="ar"/>
                    </w:rPr>
                    <w:t>1.2</w:t>
                  </w:r>
                </w:p>
              </w:tc>
              <w:tc>
                <w:tcPr>
                  <w:tcW w:w="1171" w:type="dxa"/>
                  <w:vAlign w:val="center"/>
                </w:tcPr>
                <w:p w14:paraId="44910064">
                  <w:pPr>
                    <w:snapToGrid w:val="0"/>
                    <w:jc w:val="center"/>
                    <w:rPr>
                      <w:color w:val="auto"/>
                      <w:szCs w:val="21"/>
                    </w:rPr>
                  </w:pPr>
                  <w:r>
                    <w:rPr>
                      <w:rFonts w:hint="eastAsia"/>
                      <w:color w:val="auto"/>
                      <w:szCs w:val="21"/>
                    </w:rPr>
                    <w:t>北24</w:t>
                  </w:r>
                </w:p>
              </w:tc>
              <w:tc>
                <w:tcPr>
                  <w:tcW w:w="782" w:type="dxa"/>
                  <w:vAlign w:val="center"/>
                </w:tcPr>
                <w:p w14:paraId="32DBCFDE">
                  <w:pPr>
                    <w:widowControl/>
                    <w:jc w:val="center"/>
                    <w:textAlignment w:val="center"/>
                    <w:rPr>
                      <w:color w:val="auto"/>
                      <w:szCs w:val="21"/>
                    </w:rPr>
                  </w:pPr>
                  <w:r>
                    <w:rPr>
                      <w:color w:val="auto"/>
                      <w:kern w:val="0"/>
                      <w:szCs w:val="21"/>
                      <w:lang w:bidi="ar"/>
                    </w:rPr>
                    <w:t>47.4</w:t>
                  </w:r>
                </w:p>
              </w:tc>
              <w:tc>
                <w:tcPr>
                  <w:tcW w:w="741" w:type="dxa"/>
                  <w:vMerge w:val="continue"/>
                  <w:vAlign w:val="center"/>
                </w:tcPr>
                <w:p w14:paraId="71386F91">
                  <w:pPr>
                    <w:snapToGrid w:val="0"/>
                    <w:jc w:val="center"/>
                    <w:rPr>
                      <w:color w:val="auto"/>
                      <w:szCs w:val="21"/>
                    </w:rPr>
                  </w:pPr>
                </w:p>
              </w:tc>
              <w:tc>
                <w:tcPr>
                  <w:tcW w:w="893" w:type="dxa"/>
                  <w:vMerge w:val="continue"/>
                  <w:vAlign w:val="center"/>
                </w:tcPr>
                <w:p w14:paraId="40D89326">
                  <w:pPr>
                    <w:snapToGrid w:val="0"/>
                    <w:jc w:val="center"/>
                    <w:rPr>
                      <w:color w:val="auto"/>
                      <w:szCs w:val="21"/>
                    </w:rPr>
                  </w:pPr>
                </w:p>
              </w:tc>
              <w:tc>
                <w:tcPr>
                  <w:tcW w:w="693" w:type="dxa"/>
                  <w:vAlign w:val="center"/>
                </w:tcPr>
                <w:p w14:paraId="02590058">
                  <w:pPr>
                    <w:widowControl/>
                    <w:jc w:val="center"/>
                    <w:textAlignment w:val="center"/>
                    <w:rPr>
                      <w:color w:val="auto"/>
                      <w:szCs w:val="21"/>
                    </w:rPr>
                  </w:pPr>
                  <w:r>
                    <w:rPr>
                      <w:color w:val="auto"/>
                      <w:kern w:val="0"/>
                      <w:szCs w:val="21"/>
                      <w:lang w:bidi="ar"/>
                    </w:rPr>
                    <w:t>27.4</w:t>
                  </w:r>
                </w:p>
              </w:tc>
              <w:tc>
                <w:tcPr>
                  <w:tcW w:w="1260" w:type="dxa"/>
                  <w:vMerge w:val="restart"/>
                  <w:vAlign w:val="center"/>
                </w:tcPr>
                <w:p w14:paraId="19888D88">
                  <w:pPr>
                    <w:snapToGrid w:val="0"/>
                    <w:jc w:val="center"/>
                    <w:rPr>
                      <w:color w:val="auto"/>
                      <w:szCs w:val="21"/>
                    </w:rPr>
                  </w:pPr>
                  <w:r>
                    <w:rPr>
                      <w:color w:val="auto"/>
                      <w:szCs w:val="21"/>
                    </w:rPr>
                    <w:t>1</w:t>
                  </w:r>
                </w:p>
              </w:tc>
            </w:tr>
            <w:tr w14:paraId="2AB4D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vMerge w:val="continue"/>
                  <w:vAlign w:val="center"/>
                </w:tcPr>
                <w:p w14:paraId="276B12A2">
                  <w:pPr>
                    <w:snapToGrid w:val="0"/>
                    <w:jc w:val="center"/>
                    <w:rPr>
                      <w:color w:val="auto"/>
                      <w:szCs w:val="21"/>
                    </w:rPr>
                  </w:pPr>
                </w:p>
              </w:tc>
              <w:tc>
                <w:tcPr>
                  <w:tcW w:w="786" w:type="dxa"/>
                  <w:vMerge w:val="continue"/>
                  <w:vAlign w:val="center"/>
                </w:tcPr>
                <w:p w14:paraId="02CB41D8">
                  <w:pPr>
                    <w:snapToGrid w:val="0"/>
                    <w:jc w:val="center"/>
                    <w:rPr>
                      <w:b/>
                      <w:bCs/>
                      <w:color w:val="auto"/>
                      <w:szCs w:val="21"/>
                    </w:rPr>
                  </w:pPr>
                </w:p>
              </w:tc>
              <w:tc>
                <w:tcPr>
                  <w:tcW w:w="1383" w:type="dxa"/>
                  <w:vMerge w:val="continue"/>
                  <w:vAlign w:val="center"/>
                </w:tcPr>
                <w:p w14:paraId="4995C4B3">
                  <w:pPr>
                    <w:adjustRightInd w:val="0"/>
                    <w:snapToGrid w:val="0"/>
                    <w:jc w:val="center"/>
                    <w:rPr>
                      <w:color w:val="auto"/>
                      <w:kern w:val="0"/>
                      <w:szCs w:val="21"/>
                    </w:rPr>
                  </w:pPr>
                </w:p>
              </w:tc>
              <w:tc>
                <w:tcPr>
                  <w:tcW w:w="1494" w:type="dxa"/>
                  <w:vMerge w:val="continue"/>
                  <w:vAlign w:val="center"/>
                </w:tcPr>
                <w:p w14:paraId="103B4BE4">
                  <w:pPr>
                    <w:snapToGrid w:val="0"/>
                    <w:jc w:val="center"/>
                    <w:rPr>
                      <w:b/>
                      <w:bCs/>
                      <w:color w:val="auto"/>
                      <w:szCs w:val="21"/>
                    </w:rPr>
                  </w:pPr>
                </w:p>
              </w:tc>
              <w:tc>
                <w:tcPr>
                  <w:tcW w:w="1081" w:type="dxa"/>
                  <w:vMerge w:val="continue"/>
                  <w:vAlign w:val="center"/>
                </w:tcPr>
                <w:p w14:paraId="42AA8BB6">
                  <w:pPr>
                    <w:adjustRightInd w:val="0"/>
                    <w:snapToGrid w:val="0"/>
                    <w:jc w:val="center"/>
                    <w:rPr>
                      <w:bCs/>
                      <w:color w:val="auto"/>
                      <w:szCs w:val="21"/>
                    </w:rPr>
                  </w:pPr>
                </w:p>
              </w:tc>
              <w:tc>
                <w:tcPr>
                  <w:tcW w:w="768" w:type="dxa"/>
                  <w:vMerge w:val="continue"/>
                  <w:vAlign w:val="center"/>
                </w:tcPr>
                <w:p w14:paraId="6C6289F3">
                  <w:pPr>
                    <w:snapToGrid w:val="0"/>
                    <w:jc w:val="center"/>
                    <w:rPr>
                      <w:b/>
                      <w:bCs/>
                      <w:color w:val="auto"/>
                      <w:szCs w:val="21"/>
                    </w:rPr>
                  </w:pPr>
                </w:p>
              </w:tc>
              <w:tc>
                <w:tcPr>
                  <w:tcW w:w="617" w:type="dxa"/>
                  <w:vMerge w:val="continue"/>
                  <w:vAlign w:val="center"/>
                </w:tcPr>
                <w:p w14:paraId="54D6BBFE">
                  <w:pPr>
                    <w:snapToGrid w:val="0"/>
                    <w:jc w:val="center"/>
                    <w:rPr>
                      <w:color w:val="auto"/>
                      <w:szCs w:val="21"/>
                    </w:rPr>
                  </w:pPr>
                </w:p>
              </w:tc>
              <w:tc>
                <w:tcPr>
                  <w:tcW w:w="617" w:type="dxa"/>
                  <w:vMerge w:val="continue"/>
                  <w:vAlign w:val="center"/>
                </w:tcPr>
                <w:p w14:paraId="641DEB53">
                  <w:pPr>
                    <w:snapToGrid w:val="0"/>
                    <w:jc w:val="center"/>
                    <w:rPr>
                      <w:color w:val="auto"/>
                      <w:szCs w:val="21"/>
                    </w:rPr>
                  </w:pPr>
                </w:p>
              </w:tc>
              <w:tc>
                <w:tcPr>
                  <w:tcW w:w="623" w:type="dxa"/>
                  <w:vMerge w:val="continue"/>
                  <w:vAlign w:val="center"/>
                </w:tcPr>
                <w:p w14:paraId="45719C19">
                  <w:pPr>
                    <w:snapToGrid w:val="0"/>
                    <w:jc w:val="center"/>
                    <w:rPr>
                      <w:color w:val="auto"/>
                      <w:szCs w:val="21"/>
                    </w:rPr>
                  </w:pPr>
                </w:p>
              </w:tc>
              <w:tc>
                <w:tcPr>
                  <w:tcW w:w="1171" w:type="dxa"/>
                  <w:vAlign w:val="center"/>
                </w:tcPr>
                <w:p w14:paraId="4B986F72">
                  <w:pPr>
                    <w:snapToGrid w:val="0"/>
                    <w:jc w:val="center"/>
                    <w:rPr>
                      <w:color w:val="auto"/>
                      <w:szCs w:val="21"/>
                    </w:rPr>
                  </w:pPr>
                  <w:r>
                    <w:rPr>
                      <w:rFonts w:hint="eastAsia"/>
                      <w:color w:val="auto"/>
                      <w:szCs w:val="21"/>
                    </w:rPr>
                    <w:t>南76</w:t>
                  </w:r>
                </w:p>
              </w:tc>
              <w:tc>
                <w:tcPr>
                  <w:tcW w:w="782" w:type="dxa"/>
                  <w:vAlign w:val="center"/>
                </w:tcPr>
                <w:p w14:paraId="636914F3">
                  <w:pPr>
                    <w:widowControl/>
                    <w:jc w:val="center"/>
                    <w:textAlignment w:val="center"/>
                    <w:rPr>
                      <w:color w:val="auto"/>
                      <w:szCs w:val="21"/>
                    </w:rPr>
                  </w:pPr>
                  <w:r>
                    <w:rPr>
                      <w:color w:val="auto"/>
                      <w:kern w:val="0"/>
                      <w:szCs w:val="21"/>
                      <w:lang w:bidi="ar"/>
                    </w:rPr>
                    <w:t>37.4</w:t>
                  </w:r>
                </w:p>
              </w:tc>
              <w:tc>
                <w:tcPr>
                  <w:tcW w:w="741" w:type="dxa"/>
                  <w:vMerge w:val="continue"/>
                  <w:vAlign w:val="center"/>
                </w:tcPr>
                <w:p w14:paraId="36E7C0DB">
                  <w:pPr>
                    <w:snapToGrid w:val="0"/>
                    <w:jc w:val="center"/>
                    <w:rPr>
                      <w:color w:val="auto"/>
                      <w:szCs w:val="21"/>
                    </w:rPr>
                  </w:pPr>
                </w:p>
              </w:tc>
              <w:tc>
                <w:tcPr>
                  <w:tcW w:w="893" w:type="dxa"/>
                  <w:vMerge w:val="continue"/>
                  <w:vAlign w:val="center"/>
                </w:tcPr>
                <w:p w14:paraId="292715F3">
                  <w:pPr>
                    <w:snapToGrid w:val="0"/>
                    <w:jc w:val="center"/>
                    <w:rPr>
                      <w:color w:val="auto"/>
                      <w:szCs w:val="21"/>
                    </w:rPr>
                  </w:pPr>
                </w:p>
              </w:tc>
              <w:tc>
                <w:tcPr>
                  <w:tcW w:w="693" w:type="dxa"/>
                  <w:vAlign w:val="center"/>
                </w:tcPr>
                <w:p w14:paraId="664390D2">
                  <w:pPr>
                    <w:widowControl/>
                    <w:jc w:val="center"/>
                    <w:textAlignment w:val="center"/>
                    <w:rPr>
                      <w:color w:val="auto"/>
                      <w:szCs w:val="21"/>
                    </w:rPr>
                  </w:pPr>
                  <w:r>
                    <w:rPr>
                      <w:color w:val="auto"/>
                      <w:kern w:val="0"/>
                      <w:szCs w:val="21"/>
                      <w:lang w:bidi="ar"/>
                    </w:rPr>
                    <w:t>17.4</w:t>
                  </w:r>
                </w:p>
              </w:tc>
              <w:tc>
                <w:tcPr>
                  <w:tcW w:w="1260" w:type="dxa"/>
                  <w:vMerge w:val="continue"/>
                  <w:vAlign w:val="center"/>
                </w:tcPr>
                <w:p w14:paraId="6879EBBA">
                  <w:pPr>
                    <w:snapToGrid w:val="0"/>
                    <w:jc w:val="center"/>
                    <w:rPr>
                      <w:color w:val="auto"/>
                      <w:szCs w:val="21"/>
                    </w:rPr>
                  </w:pPr>
                </w:p>
              </w:tc>
            </w:tr>
            <w:tr w14:paraId="71C8F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vMerge w:val="continue"/>
                  <w:vAlign w:val="center"/>
                </w:tcPr>
                <w:p w14:paraId="74250B54">
                  <w:pPr>
                    <w:snapToGrid w:val="0"/>
                    <w:jc w:val="center"/>
                    <w:rPr>
                      <w:color w:val="auto"/>
                      <w:szCs w:val="21"/>
                    </w:rPr>
                  </w:pPr>
                </w:p>
              </w:tc>
              <w:tc>
                <w:tcPr>
                  <w:tcW w:w="786" w:type="dxa"/>
                  <w:vMerge w:val="continue"/>
                  <w:vAlign w:val="center"/>
                </w:tcPr>
                <w:p w14:paraId="04834CB3">
                  <w:pPr>
                    <w:snapToGrid w:val="0"/>
                    <w:jc w:val="center"/>
                    <w:rPr>
                      <w:b/>
                      <w:bCs/>
                      <w:color w:val="auto"/>
                      <w:szCs w:val="21"/>
                    </w:rPr>
                  </w:pPr>
                </w:p>
              </w:tc>
              <w:tc>
                <w:tcPr>
                  <w:tcW w:w="1383" w:type="dxa"/>
                  <w:vMerge w:val="continue"/>
                  <w:vAlign w:val="center"/>
                </w:tcPr>
                <w:p w14:paraId="7DC7609B">
                  <w:pPr>
                    <w:adjustRightInd w:val="0"/>
                    <w:snapToGrid w:val="0"/>
                    <w:jc w:val="center"/>
                    <w:rPr>
                      <w:color w:val="auto"/>
                      <w:kern w:val="0"/>
                      <w:szCs w:val="21"/>
                    </w:rPr>
                  </w:pPr>
                </w:p>
              </w:tc>
              <w:tc>
                <w:tcPr>
                  <w:tcW w:w="1494" w:type="dxa"/>
                  <w:vMerge w:val="continue"/>
                  <w:vAlign w:val="center"/>
                </w:tcPr>
                <w:p w14:paraId="60CC141D">
                  <w:pPr>
                    <w:snapToGrid w:val="0"/>
                    <w:jc w:val="center"/>
                    <w:rPr>
                      <w:b/>
                      <w:bCs/>
                      <w:color w:val="auto"/>
                      <w:szCs w:val="21"/>
                    </w:rPr>
                  </w:pPr>
                </w:p>
              </w:tc>
              <w:tc>
                <w:tcPr>
                  <w:tcW w:w="1081" w:type="dxa"/>
                  <w:vMerge w:val="continue"/>
                  <w:vAlign w:val="center"/>
                </w:tcPr>
                <w:p w14:paraId="204B0F86">
                  <w:pPr>
                    <w:adjustRightInd w:val="0"/>
                    <w:snapToGrid w:val="0"/>
                    <w:jc w:val="center"/>
                    <w:rPr>
                      <w:bCs/>
                      <w:color w:val="auto"/>
                      <w:szCs w:val="21"/>
                    </w:rPr>
                  </w:pPr>
                </w:p>
              </w:tc>
              <w:tc>
                <w:tcPr>
                  <w:tcW w:w="768" w:type="dxa"/>
                  <w:vMerge w:val="continue"/>
                  <w:vAlign w:val="center"/>
                </w:tcPr>
                <w:p w14:paraId="08249B82">
                  <w:pPr>
                    <w:snapToGrid w:val="0"/>
                    <w:jc w:val="center"/>
                    <w:rPr>
                      <w:b/>
                      <w:bCs/>
                      <w:color w:val="auto"/>
                      <w:szCs w:val="21"/>
                    </w:rPr>
                  </w:pPr>
                </w:p>
              </w:tc>
              <w:tc>
                <w:tcPr>
                  <w:tcW w:w="617" w:type="dxa"/>
                  <w:vMerge w:val="continue"/>
                  <w:vAlign w:val="center"/>
                </w:tcPr>
                <w:p w14:paraId="5570E7FB">
                  <w:pPr>
                    <w:snapToGrid w:val="0"/>
                    <w:jc w:val="center"/>
                    <w:rPr>
                      <w:color w:val="auto"/>
                      <w:szCs w:val="21"/>
                    </w:rPr>
                  </w:pPr>
                </w:p>
              </w:tc>
              <w:tc>
                <w:tcPr>
                  <w:tcW w:w="617" w:type="dxa"/>
                  <w:vMerge w:val="continue"/>
                  <w:vAlign w:val="center"/>
                </w:tcPr>
                <w:p w14:paraId="7F8F97B8">
                  <w:pPr>
                    <w:snapToGrid w:val="0"/>
                    <w:jc w:val="center"/>
                    <w:rPr>
                      <w:color w:val="auto"/>
                      <w:szCs w:val="21"/>
                    </w:rPr>
                  </w:pPr>
                </w:p>
              </w:tc>
              <w:tc>
                <w:tcPr>
                  <w:tcW w:w="623" w:type="dxa"/>
                  <w:vMerge w:val="continue"/>
                  <w:vAlign w:val="center"/>
                </w:tcPr>
                <w:p w14:paraId="14AC79F1">
                  <w:pPr>
                    <w:snapToGrid w:val="0"/>
                    <w:jc w:val="center"/>
                    <w:rPr>
                      <w:color w:val="auto"/>
                      <w:szCs w:val="21"/>
                    </w:rPr>
                  </w:pPr>
                </w:p>
              </w:tc>
              <w:tc>
                <w:tcPr>
                  <w:tcW w:w="1171" w:type="dxa"/>
                  <w:vAlign w:val="center"/>
                </w:tcPr>
                <w:p w14:paraId="4D1B2E94">
                  <w:pPr>
                    <w:snapToGrid w:val="0"/>
                    <w:jc w:val="center"/>
                    <w:rPr>
                      <w:color w:val="auto"/>
                      <w:szCs w:val="21"/>
                    </w:rPr>
                  </w:pPr>
                  <w:r>
                    <w:rPr>
                      <w:rFonts w:hint="eastAsia"/>
                      <w:color w:val="auto"/>
                      <w:szCs w:val="21"/>
                    </w:rPr>
                    <w:t>东14</w:t>
                  </w:r>
                </w:p>
              </w:tc>
              <w:tc>
                <w:tcPr>
                  <w:tcW w:w="782" w:type="dxa"/>
                  <w:vAlign w:val="center"/>
                </w:tcPr>
                <w:p w14:paraId="53791B40">
                  <w:pPr>
                    <w:widowControl/>
                    <w:jc w:val="center"/>
                    <w:textAlignment w:val="center"/>
                    <w:rPr>
                      <w:color w:val="auto"/>
                      <w:szCs w:val="21"/>
                    </w:rPr>
                  </w:pPr>
                  <w:r>
                    <w:rPr>
                      <w:color w:val="auto"/>
                      <w:kern w:val="0"/>
                      <w:szCs w:val="21"/>
                      <w:lang w:bidi="ar"/>
                    </w:rPr>
                    <w:t>52.1</w:t>
                  </w:r>
                </w:p>
              </w:tc>
              <w:tc>
                <w:tcPr>
                  <w:tcW w:w="741" w:type="dxa"/>
                  <w:vMerge w:val="continue"/>
                  <w:vAlign w:val="center"/>
                </w:tcPr>
                <w:p w14:paraId="309781DD">
                  <w:pPr>
                    <w:snapToGrid w:val="0"/>
                    <w:jc w:val="center"/>
                    <w:rPr>
                      <w:color w:val="auto"/>
                      <w:szCs w:val="21"/>
                    </w:rPr>
                  </w:pPr>
                </w:p>
              </w:tc>
              <w:tc>
                <w:tcPr>
                  <w:tcW w:w="893" w:type="dxa"/>
                  <w:vMerge w:val="continue"/>
                  <w:vAlign w:val="center"/>
                </w:tcPr>
                <w:p w14:paraId="0AD942C9">
                  <w:pPr>
                    <w:snapToGrid w:val="0"/>
                    <w:jc w:val="center"/>
                    <w:rPr>
                      <w:color w:val="auto"/>
                      <w:szCs w:val="21"/>
                    </w:rPr>
                  </w:pPr>
                </w:p>
              </w:tc>
              <w:tc>
                <w:tcPr>
                  <w:tcW w:w="693" w:type="dxa"/>
                  <w:vAlign w:val="center"/>
                </w:tcPr>
                <w:p w14:paraId="26DB7BE2">
                  <w:pPr>
                    <w:widowControl/>
                    <w:jc w:val="center"/>
                    <w:textAlignment w:val="center"/>
                    <w:rPr>
                      <w:color w:val="auto"/>
                      <w:szCs w:val="21"/>
                    </w:rPr>
                  </w:pPr>
                  <w:r>
                    <w:rPr>
                      <w:color w:val="auto"/>
                      <w:kern w:val="0"/>
                      <w:szCs w:val="21"/>
                      <w:lang w:bidi="ar"/>
                    </w:rPr>
                    <w:t>32.1</w:t>
                  </w:r>
                </w:p>
              </w:tc>
              <w:tc>
                <w:tcPr>
                  <w:tcW w:w="1260" w:type="dxa"/>
                  <w:vMerge w:val="continue"/>
                  <w:vAlign w:val="center"/>
                </w:tcPr>
                <w:p w14:paraId="42376E65">
                  <w:pPr>
                    <w:snapToGrid w:val="0"/>
                    <w:jc w:val="center"/>
                    <w:rPr>
                      <w:color w:val="auto"/>
                      <w:szCs w:val="21"/>
                    </w:rPr>
                  </w:pPr>
                </w:p>
              </w:tc>
            </w:tr>
            <w:tr w14:paraId="589B9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vMerge w:val="continue"/>
                  <w:vAlign w:val="center"/>
                </w:tcPr>
                <w:p w14:paraId="5E612BE4">
                  <w:pPr>
                    <w:snapToGrid w:val="0"/>
                    <w:jc w:val="center"/>
                    <w:rPr>
                      <w:color w:val="auto"/>
                      <w:szCs w:val="21"/>
                    </w:rPr>
                  </w:pPr>
                </w:p>
              </w:tc>
              <w:tc>
                <w:tcPr>
                  <w:tcW w:w="786" w:type="dxa"/>
                  <w:vMerge w:val="continue"/>
                  <w:vAlign w:val="center"/>
                </w:tcPr>
                <w:p w14:paraId="285B26BF">
                  <w:pPr>
                    <w:snapToGrid w:val="0"/>
                    <w:jc w:val="center"/>
                    <w:rPr>
                      <w:b/>
                      <w:bCs/>
                      <w:color w:val="auto"/>
                      <w:szCs w:val="21"/>
                    </w:rPr>
                  </w:pPr>
                </w:p>
              </w:tc>
              <w:tc>
                <w:tcPr>
                  <w:tcW w:w="1383" w:type="dxa"/>
                  <w:vMerge w:val="continue"/>
                  <w:vAlign w:val="center"/>
                </w:tcPr>
                <w:p w14:paraId="03C4E0CC">
                  <w:pPr>
                    <w:adjustRightInd w:val="0"/>
                    <w:snapToGrid w:val="0"/>
                    <w:jc w:val="center"/>
                    <w:rPr>
                      <w:color w:val="auto"/>
                      <w:kern w:val="0"/>
                      <w:szCs w:val="21"/>
                    </w:rPr>
                  </w:pPr>
                </w:p>
              </w:tc>
              <w:tc>
                <w:tcPr>
                  <w:tcW w:w="1494" w:type="dxa"/>
                  <w:vMerge w:val="continue"/>
                  <w:vAlign w:val="center"/>
                </w:tcPr>
                <w:p w14:paraId="68CB7E25">
                  <w:pPr>
                    <w:snapToGrid w:val="0"/>
                    <w:jc w:val="center"/>
                    <w:rPr>
                      <w:b/>
                      <w:bCs/>
                      <w:color w:val="auto"/>
                      <w:szCs w:val="21"/>
                    </w:rPr>
                  </w:pPr>
                </w:p>
              </w:tc>
              <w:tc>
                <w:tcPr>
                  <w:tcW w:w="1081" w:type="dxa"/>
                  <w:vMerge w:val="continue"/>
                  <w:vAlign w:val="center"/>
                </w:tcPr>
                <w:p w14:paraId="49DDF128">
                  <w:pPr>
                    <w:adjustRightInd w:val="0"/>
                    <w:snapToGrid w:val="0"/>
                    <w:jc w:val="center"/>
                    <w:rPr>
                      <w:bCs/>
                      <w:color w:val="auto"/>
                      <w:szCs w:val="21"/>
                    </w:rPr>
                  </w:pPr>
                </w:p>
              </w:tc>
              <w:tc>
                <w:tcPr>
                  <w:tcW w:w="768" w:type="dxa"/>
                  <w:vMerge w:val="continue"/>
                  <w:vAlign w:val="center"/>
                </w:tcPr>
                <w:p w14:paraId="48789115">
                  <w:pPr>
                    <w:snapToGrid w:val="0"/>
                    <w:jc w:val="center"/>
                    <w:rPr>
                      <w:b/>
                      <w:bCs/>
                      <w:color w:val="auto"/>
                      <w:szCs w:val="21"/>
                    </w:rPr>
                  </w:pPr>
                </w:p>
              </w:tc>
              <w:tc>
                <w:tcPr>
                  <w:tcW w:w="617" w:type="dxa"/>
                  <w:vMerge w:val="continue"/>
                  <w:vAlign w:val="center"/>
                </w:tcPr>
                <w:p w14:paraId="6E7982F8">
                  <w:pPr>
                    <w:snapToGrid w:val="0"/>
                    <w:jc w:val="center"/>
                    <w:rPr>
                      <w:color w:val="auto"/>
                      <w:szCs w:val="21"/>
                    </w:rPr>
                  </w:pPr>
                </w:p>
              </w:tc>
              <w:tc>
                <w:tcPr>
                  <w:tcW w:w="617" w:type="dxa"/>
                  <w:vMerge w:val="continue"/>
                  <w:vAlign w:val="center"/>
                </w:tcPr>
                <w:p w14:paraId="6A150E37">
                  <w:pPr>
                    <w:snapToGrid w:val="0"/>
                    <w:jc w:val="center"/>
                    <w:rPr>
                      <w:color w:val="auto"/>
                      <w:szCs w:val="21"/>
                    </w:rPr>
                  </w:pPr>
                </w:p>
              </w:tc>
              <w:tc>
                <w:tcPr>
                  <w:tcW w:w="623" w:type="dxa"/>
                  <w:vMerge w:val="continue"/>
                  <w:vAlign w:val="center"/>
                </w:tcPr>
                <w:p w14:paraId="24B04F6C">
                  <w:pPr>
                    <w:snapToGrid w:val="0"/>
                    <w:jc w:val="center"/>
                    <w:rPr>
                      <w:color w:val="auto"/>
                      <w:szCs w:val="21"/>
                    </w:rPr>
                  </w:pPr>
                </w:p>
              </w:tc>
              <w:tc>
                <w:tcPr>
                  <w:tcW w:w="1171" w:type="dxa"/>
                  <w:vAlign w:val="center"/>
                </w:tcPr>
                <w:p w14:paraId="7AC56B48">
                  <w:pPr>
                    <w:snapToGrid w:val="0"/>
                    <w:jc w:val="center"/>
                    <w:rPr>
                      <w:color w:val="auto"/>
                      <w:szCs w:val="21"/>
                    </w:rPr>
                  </w:pPr>
                  <w:r>
                    <w:rPr>
                      <w:rFonts w:hint="eastAsia"/>
                      <w:color w:val="auto"/>
                      <w:szCs w:val="21"/>
                    </w:rPr>
                    <w:t>西46</w:t>
                  </w:r>
                </w:p>
              </w:tc>
              <w:tc>
                <w:tcPr>
                  <w:tcW w:w="782" w:type="dxa"/>
                  <w:vAlign w:val="center"/>
                </w:tcPr>
                <w:p w14:paraId="1257F05D">
                  <w:pPr>
                    <w:widowControl/>
                    <w:jc w:val="center"/>
                    <w:textAlignment w:val="center"/>
                    <w:rPr>
                      <w:color w:val="auto"/>
                      <w:szCs w:val="21"/>
                    </w:rPr>
                  </w:pPr>
                  <w:r>
                    <w:rPr>
                      <w:color w:val="auto"/>
                      <w:kern w:val="0"/>
                      <w:szCs w:val="21"/>
                      <w:lang w:bidi="ar"/>
                    </w:rPr>
                    <w:t>41.7</w:t>
                  </w:r>
                </w:p>
              </w:tc>
              <w:tc>
                <w:tcPr>
                  <w:tcW w:w="741" w:type="dxa"/>
                  <w:vMerge w:val="continue"/>
                  <w:vAlign w:val="center"/>
                </w:tcPr>
                <w:p w14:paraId="543DD2D7">
                  <w:pPr>
                    <w:snapToGrid w:val="0"/>
                    <w:jc w:val="center"/>
                    <w:rPr>
                      <w:color w:val="auto"/>
                      <w:szCs w:val="21"/>
                    </w:rPr>
                  </w:pPr>
                </w:p>
              </w:tc>
              <w:tc>
                <w:tcPr>
                  <w:tcW w:w="893" w:type="dxa"/>
                  <w:vMerge w:val="continue"/>
                  <w:vAlign w:val="center"/>
                </w:tcPr>
                <w:p w14:paraId="46F6F442">
                  <w:pPr>
                    <w:snapToGrid w:val="0"/>
                    <w:jc w:val="center"/>
                    <w:rPr>
                      <w:color w:val="auto"/>
                      <w:szCs w:val="21"/>
                    </w:rPr>
                  </w:pPr>
                </w:p>
              </w:tc>
              <w:tc>
                <w:tcPr>
                  <w:tcW w:w="693" w:type="dxa"/>
                  <w:vAlign w:val="center"/>
                </w:tcPr>
                <w:p w14:paraId="0A338874">
                  <w:pPr>
                    <w:widowControl/>
                    <w:jc w:val="center"/>
                    <w:textAlignment w:val="center"/>
                    <w:rPr>
                      <w:color w:val="auto"/>
                      <w:szCs w:val="21"/>
                    </w:rPr>
                  </w:pPr>
                  <w:r>
                    <w:rPr>
                      <w:color w:val="auto"/>
                      <w:kern w:val="0"/>
                      <w:szCs w:val="21"/>
                      <w:lang w:bidi="ar"/>
                    </w:rPr>
                    <w:t>21.7</w:t>
                  </w:r>
                </w:p>
              </w:tc>
              <w:tc>
                <w:tcPr>
                  <w:tcW w:w="1260" w:type="dxa"/>
                  <w:vMerge w:val="continue"/>
                  <w:vAlign w:val="center"/>
                </w:tcPr>
                <w:p w14:paraId="45F70420">
                  <w:pPr>
                    <w:snapToGrid w:val="0"/>
                    <w:jc w:val="center"/>
                    <w:rPr>
                      <w:color w:val="auto"/>
                      <w:szCs w:val="21"/>
                    </w:rPr>
                  </w:pPr>
                </w:p>
              </w:tc>
            </w:tr>
            <w:tr w14:paraId="79D41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vMerge w:val="restart"/>
                  <w:vAlign w:val="center"/>
                </w:tcPr>
                <w:p w14:paraId="017F07E7">
                  <w:pPr>
                    <w:widowControl/>
                    <w:jc w:val="center"/>
                    <w:textAlignment w:val="center"/>
                    <w:rPr>
                      <w:color w:val="auto"/>
                      <w:szCs w:val="21"/>
                    </w:rPr>
                  </w:pPr>
                  <w:r>
                    <w:rPr>
                      <w:color w:val="auto"/>
                      <w:kern w:val="0"/>
                      <w:szCs w:val="21"/>
                      <w:lang w:bidi="ar"/>
                    </w:rPr>
                    <w:t>7</w:t>
                  </w:r>
                </w:p>
              </w:tc>
              <w:tc>
                <w:tcPr>
                  <w:tcW w:w="786" w:type="dxa"/>
                  <w:vMerge w:val="continue"/>
                  <w:vAlign w:val="center"/>
                </w:tcPr>
                <w:p w14:paraId="087427B2">
                  <w:pPr>
                    <w:snapToGrid w:val="0"/>
                    <w:jc w:val="center"/>
                    <w:rPr>
                      <w:b/>
                      <w:bCs/>
                      <w:color w:val="auto"/>
                      <w:szCs w:val="21"/>
                    </w:rPr>
                  </w:pPr>
                </w:p>
              </w:tc>
              <w:tc>
                <w:tcPr>
                  <w:tcW w:w="1383" w:type="dxa"/>
                  <w:vMerge w:val="restart"/>
                  <w:vAlign w:val="center"/>
                </w:tcPr>
                <w:p w14:paraId="10A66022">
                  <w:pPr>
                    <w:autoSpaceDE w:val="0"/>
                    <w:autoSpaceDN w:val="0"/>
                    <w:adjustRightInd w:val="0"/>
                    <w:snapToGrid w:val="0"/>
                    <w:jc w:val="center"/>
                    <w:rPr>
                      <w:color w:val="auto"/>
                      <w:kern w:val="0"/>
                      <w:szCs w:val="21"/>
                    </w:rPr>
                  </w:pPr>
                  <w:r>
                    <w:rPr>
                      <w:rFonts w:hint="eastAsia"/>
                      <w:color w:val="auto"/>
                      <w:szCs w:val="21"/>
                    </w:rPr>
                    <w:t>多功能装饰条切割机</w:t>
                  </w:r>
                </w:p>
              </w:tc>
              <w:tc>
                <w:tcPr>
                  <w:tcW w:w="1494" w:type="dxa"/>
                  <w:vMerge w:val="restart"/>
                  <w:vAlign w:val="center"/>
                </w:tcPr>
                <w:p w14:paraId="509FBBF7">
                  <w:pPr>
                    <w:autoSpaceDE w:val="0"/>
                    <w:autoSpaceDN w:val="0"/>
                    <w:adjustRightInd w:val="0"/>
                    <w:snapToGrid w:val="0"/>
                    <w:jc w:val="center"/>
                    <w:rPr>
                      <w:b/>
                      <w:bCs/>
                      <w:color w:val="auto"/>
                      <w:szCs w:val="21"/>
                    </w:rPr>
                  </w:pPr>
                  <w:r>
                    <w:rPr>
                      <w:rFonts w:hint="eastAsia"/>
                      <w:color w:val="auto"/>
                      <w:szCs w:val="21"/>
                    </w:rPr>
                    <w:t>MM2227</w:t>
                  </w:r>
                </w:p>
              </w:tc>
              <w:tc>
                <w:tcPr>
                  <w:tcW w:w="1081" w:type="dxa"/>
                  <w:vMerge w:val="restart"/>
                  <w:vAlign w:val="center"/>
                </w:tcPr>
                <w:p w14:paraId="742A6488">
                  <w:pPr>
                    <w:widowControl/>
                    <w:jc w:val="center"/>
                    <w:textAlignment w:val="center"/>
                    <w:rPr>
                      <w:bCs/>
                      <w:color w:val="auto"/>
                      <w:szCs w:val="21"/>
                    </w:rPr>
                  </w:pPr>
                  <w:r>
                    <w:rPr>
                      <w:color w:val="auto"/>
                      <w:kern w:val="0"/>
                      <w:szCs w:val="21"/>
                      <w:lang w:bidi="ar"/>
                    </w:rPr>
                    <w:t>70</w:t>
                  </w:r>
                </w:p>
              </w:tc>
              <w:tc>
                <w:tcPr>
                  <w:tcW w:w="768" w:type="dxa"/>
                  <w:vMerge w:val="continue"/>
                  <w:vAlign w:val="center"/>
                </w:tcPr>
                <w:p w14:paraId="53B71533">
                  <w:pPr>
                    <w:snapToGrid w:val="0"/>
                    <w:jc w:val="center"/>
                    <w:rPr>
                      <w:b/>
                      <w:bCs/>
                      <w:color w:val="auto"/>
                      <w:szCs w:val="21"/>
                    </w:rPr>
                  </w:pPr>
                </w:p>
              </w:tc>
              <w:tc>
                <w:tcPr>
                  <w:tcW w:w="617" w:type="dxa"/>
                  <w:vMerge w:val="restart"/>
                  <w:vAlign w:val="center"/>
                </w:tcPr>
                <w:p w14:paraId="65455DD7">
                  <w:pPr>
                    <w:widowControl/>
                    <w:jc w:val="center"/>
                    <w:textAlignment w:val="center"/>
                    <w:rPr>
                      <w:color w:val="auto"/>
                      <w:szCs w:val="21"/>
                    </w:rPr>
                  </w:pPr>
                  <w:r>
                    <w:rPr>
                      <w:color w:val="auto"/>
                      <w:kern w:val="0"/>
                      <w:szCs w:val="21"/>
                      <w:lang w:bidi="ar"/>
                    </w:rPr>
                    <w:t>10</w:t>
                  </w:r>
                </w:p>
              </w:tc>
              <w:tc>
                <w:tcPr>
                  <w:tcW w:w="617" w:type="dxa"/>
                  <w:vMerge w:val="restart"/>
                  <w:vAlign w:val="center"/>
                </w:tcPr>
                <w:p w14:paraId="2E61CAA4">
                  <w:pPr>
                    <w:widowControl/>
                    <w:jc w:val="center"/>
                    <w:textAlignment w:val="center"/>
                    <w:rPr>
                      <w:color w:val="auto"/>
                      <w:szCs w:val="21"/>
                    </w:rPr>
                  </w:pPr>
                  <w:r>
                    <w:rPr>
                      <w:color w:val="auto"/>
                      <w:kern w:val="0"/>
                      <w:szCs w:val="21"/>
                      <w:lang w:bidi="ar"/>
                    </w:rPr>
                    <w:t>-58</w:t>
                  </w:r>
                </w:p>
              </w:tc>
              <w:tc>
                <w:tcPr>
                  <w:tcW w:w="623" w:type="dxa"/>
                  <w:vMerge w:val="restart"/>
                  <w:vAlign w:val="center"/>
                </w:tcPr>
                <w:p w14:paraId="2D6CAEA6">
                  <w:pPr>
                    <w:widowControl/>
                    <w:jc w:val="center"/>
                    <w:textAlignment w:val="center"/>
                    <w:rPr>
                      <w:color w:val="auto"/>
                      <w:szCs w:val="21"/>
                    </w:rPr>
                  </w:pPr>
                  <w:r>
                    <w:rPr>
                      <w:color w:val="auto"/>
                      <w:kern w:val="0"/>
                      <w:szCs w:val="21"/>
                      <w:lang w:bidi="ar"/>
                    </w:rPr>
                    <w:t>1.2</w:t>
                  </w:r>
                </w:p>
              </w:tc>
              <w:tc>
                <w:tcPr>
                  <w:tcW w:w="1171" w:type="dxa"/>
                  <w:vAlign w:val="center"/>
                </w:tcPr>
                <w:p w14:paraId="0873BF33">
                  <w:pPr>
                    <w:snapToGrid w:val="0"/>
                    <w:jc w:val="center"/>
                    <w:rPr>
                      <w:color w:val="auto"/>
                      <w:szCs w:val="21"/>
                    </w:rPr>
                  </w:pPr>
                  <w:r>
                    <w:rPr>
                      <w:rFonts w:hint="eastAsia"/>
                      <w:color w:val="auto"/>
                      <w:szCs w:val="21"/>
                    </w:rPr>
                    <w:t>北72</w:t>
                  </w:r>
                </w:p>
              </w:tc>
              <w:tc>
                <w:tcPr>
                  <w:tcW w:w="782" w:type="dxa"/>
                  <w:vAlign w:val="center"/>
                </w:tcPr>
                <w:p w14:paraId="7BB807C7">
                  <w:pPr>
                    <w:widowControl/>
                    <w:jc w:val="center"/>
                    <w:textAlignment w:val="center"/>
                    <w:rPr>
                      <w:color w:val="auto"/>
                      <w:szCs w:val="21"/>
                    </w:rPr>
                  </w:pPr>
                  <w:r>
                    <w:rPr>
                      <w:color w:val="auto"/>
                      <w:kern w:val="0"/>
                      <w:szCs w:val="21"/>
                      <w:lang w:bidi="ar"/>
                    </w:rPr>
                    <w:t>32.9</w:t>
                  </w:r>
                </w:p>
              </w:tc>
              <w:tc>
                <w:tcPr>
                  <w:tcW w:w="741" w:type="dxa"/>
                  <w:vMerge w:val="continue"/>
                  <w:vAlign w:val="center"/>
                </w:tcPr>
                <w:p w14:paraId="45F795D9">
                  <w:pPr>
                    <w:snapToGrid w:val="0"/>
                    <w:jc w:val="center"/>
                    <w:rPr>
                      <w:color w:val="auto"/>
                      <w:szCs w:val="21"/>
                    </w:rPr>
                  </w:pPr>
                </w:p>
              </w:tc>
              <w:tc>
                <w:tcPr>
                  <w:tcW w:w="893" w:type="dxa"/>
                  <w:vMerge w:val="continue"/>
                  <w:vAlign w:val="center"/>
                </w:tcPr>
                <w:p w14:paraId="65378657">
                  <w:pPr>
                    <w:snapToGrid w:val="0"/>
                    <w:jc w:val="center"/>
                    <w:rPr>
                      <w:color w:val="auto"/>
                      <w:szCs w:val="21"/>
                    </w:rPr>
                  </w:pPr>
                </w:p>
              </w:tc>
              <w:tc>
                <w:tcPr>
                  <w:tcW w:w="693" w:type="dxa"/>
                  <w:vAlign w:val="center"/>
                </w:tcPr>
                <w:p w14:paraId="4A4915FC">
                  <w:pPr>
                    <w:widowControl/>
                    <w:jc w:val="center"/>
                    <w:textAlignment w:val="center"/>
                    <w:rPr>
                      <w:color w:val="auto"/>
                      <w:szCs w:val="21"/>
                    </w:rPr>
                  </w:pPr>
                  <w:r>
                    <w:rPr>
                      <w:color w:val="auto"/>
                      <w:kern w:val="0"/>
                      <w:szCs w:val="21"/>
                      <w:lang w:bidi="ar"/>
                    </w:rPr>
                    <w:t>12.9</w:t>
                  </w:r>
                </w:p>
              </w:tc>
              <w:tc>
                <w:tcPr>
                  <w:tcW w:w="1260" w:type="dxa"/>
                  <w:vMerge w:val="restart"/>
                  <w:vAlign w:val="center"/>
                </w:tcPr>
                <w:p w14:paraId="4658E21E">
                  <w:pPr>
                    <w:snapToGrid w:val="0"/>
                    <w:jc w:val="center"/>
                    <w:rPr>
                      <w:color w:val="auto"/>
                      <w:szCs w:val="21"/>
                    </w:rPr>
                  </w:pPr>
                  <w:r>
                    <w:rPr>
                      <w:color w:val="auto"/>
                      <w:szCs w:val="21"/>
                    </w:rPr>
                    <w:t>1</w:t>
                  </w:r>
                </w:p>
              </w:tc>
            </w:tr>
            <w:tr w14:paraId="6763A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vMerge w:val="continue"/>
                  <w:vAlign w:val="center"/>
                </w:tcPr>
                <w:p w14:paraId="114101B4">
                  <w:pPr>
                    <w:snapToGrid w:val="0"/>
                    <w:jc w:val="center"/>
                    <w:rPr>
                      <w:color w:val="auto"/>
                      <w:szCs w:val="21"/>
                    </w:rPr>
                  </w:pPr>
                </w:p>
              </w:tc>
              <w:tc>
                <w:tcPr>
                  <w:tcW w:w="786" w:type="dxa"/>
                  <w:vMerge w:val="continue"/>
                  <w:vAlign w:val="center"/>
                </w:tcPr>
                <w:p w14:paraId="7FA9C578">
                  <w:pPr>
                    <w:snapToGrid w:val="0"/>
                    <w:jc w:val="center"/>
                    <w:rPr>
                      <w:b/>
                      <w:bCs/>
                      <w:color w:val="auto"/>
                      <w:szCs w:val="21"/>
                    </w:rPr>
                  </w:pPr>
                </w:p>
              </w:tc>
              <w:tc>
                <w:tcPr>
                  <w:tcW w:w="1383" w:type="dxa"/>
                  <w:vMerge w:val="continue"/>
                  <w:vAlign w:val="center"/>
                </w:tcPr>
                <w:p w14:paraId="6A293B86">
                  <w:pPr>
                    <w:adjustRightInd w:val="0"/>
                    <w:snapToGrid w:val="0"/>
                    <w:jc w:val="center"/>
                    <w:rPr>
                      <w:color w:val="auto"/>
                      <w:kern w:val="0"/>
                      <w:szCs w:val="21"/>
                    </w:rPr>
                  </w:pPr>
                </w:p>
              </w:tc>
              <w:tc>
                <w:tcPr>
                  <w:tcW w:w="1494" w:type="dxa"/>
                  <w:vMerge w:val="continue"/>
                  <w:vAlign w:val="center"/>
                </w:tcPr>
                <w:p w14:paraId="52647B21">
                  <w:pPr>
                    <w:snapToGrid w:val="0"/>
                    <w:jc w:val="center"/>
                    <w:rPr>
                      <w:b/>
                      <w:bCs/>
                      <w:color w:val="auto"/>
                      <w:szCs w:val="21"/>
                    </w:rPr>
                  </w:pPr>
                </w:p>
              </w:tc>
              <w:tc>
                <w:tcPr>
                  <w:tcW w:w="1081" w:type="dxa"/>
                  <w:vMerge w:val="continue"/>
                  <w:vAlign w:val="center"/>
                </w:tcPr>
                <w:p w14:paraId="0DB4ACE0">
                  <w:pPr>
                    <w:adjustRightInd w:val="0"/>
                    <w:snapToGrid w:val="0"/>
                    <w:jc w:val="center"/>
                    <w:rPr>
                      <w:bCs/>
                      <w:color w:val="auto"/>
                      <w:szCs w:val="21"/>
                    </w:rPr>
                  </w:pPr>
                </w:p>
              </w:tc>
              <w:tc>
                <w:tcPr>
                  <w:tcW w:w="768" w:type="dxa"/>
                  <w:vMerge w:val="continue"/>
                  <w:vAlign w:val="center"/>
                </w:tcPr>
                <w:p w14:paraId="2A25226E">
                  <w:pPr>
                    <w:snapToGrid w:val="0"/>
                    <w:jc w:val="center"/>
                    <w:rPr>
                      <w:b/>
                      <w:bCs/>
                      <w:color w:val="auto"/>
                      <w:szCs w:val="21"/>
                    </w:rPr>
                  </w:pPr>
                </w:p>
              </w:tc>
              <w:tc>
                <w:tcPr>
                  <w:tcW w:w="617" w:type="dxa"/>
                  <w:vMerge w:val="continue"/>
                  <w:vAlign w:val="center"/>
                </w:tcPr>
                <w:p w14:paraId="4AE8EFA1">
                  <w:pPr>
                    <w:snapToGrid w:val="0"/>
                    <w:jc w:val="center"/>
                    <w:rPr>
                      <w:color w:val="auto"/>
                      <w:szCs w:val="21"/>
                    </w:rPr>
                  </w:pPr>
                </w:p>
              </w:tc>
              <w:tc>
                <w:tcPr>
                  <w:tcW w:w="617" w:type="dxa"/>
                  <w:vMerge w:val="continue"/>
                  <w:vAlign w:val="center"/>
                </w:tcPr>
                <w:p w14:paraId="77692936">
                  <w:pPr>
                    <w:snapToGrid w:val="0"/>
                    <w:jc w:val="center"/>
                    <w:rPr>
                      <w:color w:val="auto"/>
                      <w:szCs w:val="21"/>
                    </w:rPr>
                  </w:pPr>
                </w:p>
              </w:tc>
              <w:tc>
                <w:tcPr>
                  <w:tcW w:w="623" w:type="dxa"/>
                  <w:vMerge w:val="continue"/>
                  <w:vAlign w:val="center"/>
                </w:tcPr>
                <w:p w14:paraId="788ADBA4">
                  <w:pPr>
                    <w:snapToGrid w:val="0"/>
                    <w:jc w:val="center"/>
                    <w:rPr>
                      <w:color w:val="auto"/>
                      <w:szCs w:val="21"/>
                    </w:rPr>
                  </w:pPr>
                </w:p>
              </w:tc>
              <w:tc>
                <w:tcPr>
                  <w:tcW w:w="1171" w:type="dxa"/>
                  <w:vAlign w:val="center"/>
                </w:tcPr>
                <w:p w14:paraId="07234915">
                  <w:pPr>
                    <w:snapToGrid w:val="0"/>
                    <w:jc w:val="center"/>
                    <w:rPr>
                      <w:color w:val="auto"/>
                      <w:szCs w:val="21"/>
                    </w:rPr>
                  </w:pPr>
                  <w:r>
                    <w:rPr>
                      <w:rFonts w:hint="eastAsia"/>
                      <w:color w:val="auto"/>
                      <w:szCs w:val="21"/>
                    </w:rPr>
                    <w:t>南28</w:t>
                  </w:r>
                </w:p>
              </w:tc>
              <w:tc>
                <w:tcPr>
                  <w:tcW w:w="782" w:type="dxa"/>
                  <w:vAlign w:val="center"/>
                </w:tcPr>
                <w:p w14:paraId="22A9A2D9">
                  <w:pPr>
                    <w:widowControl/>
                    <w:jc w:val="center"/>
                    <w:textAlignment w:val="center"/>
                    <w:rPr>
                      <w:color w:val="auto"/>
                      <w:szCs w:val="21"/>
                    </w:rPr>
                  </w:pPr>
                  <w:r>
                    <w:rPr>
                      <w:color w:val="auto"/>
                      <w:kern w:val="0"/>
                      <w:szCs w:val="21"/>
                      <w:lang w:bidi="ar"/>
                    </w:rPr>
                    <w:t>41.1</w:t>
                  </w:r>
                </w:p>
              </w:tc>
              <w:tc>
                <w:tcPr>
                  <w:tcW w:w="741" w:type="dxa"/>
                  <w:vMerge w:val="continue"/>
                  <w:vAlign w:val="center"/>
                </w:tcPr>
                <w:p w14:paraId="60C7E52F">
                  <w:pPr>
                    <w:snapToGrid w:val="0"/>
                    <w:jc w:val="center"/>
                    <w:rPr>
                      <w:color w:val="auto"/>
                      <w:szCs w:val="21"/>
                    </w:rPr>
                  </w:pPr>
                </w:p>
              </w:tc>
              <w:tc>
                <w:tcPr>
                  <w:tcW w:w="893" w:type="dxa"/>
                  <w:vMerge w:val="continue"/>
                  <w:vAlign w:val="center"/>
                </w:tcPr>
                <w:p w14:paraId="79FA44DC">
                  <w:pPr>
                    <w:snapToGrid w:val="0"/>
                    <w:jc w:val="center"/>
                    <w:rPr>
                      <w:color w:val="auto"/>
                      <w:szCs w:val="21"/>
                    </w:rPr>
                  </w:pPr>
                </w:p>
              </w:tc>
              <w:tc>
                <w:tcPr>
                  <w:tcW w:w="693" w:type="dxa"/>
                  <w:vAlign w:val="center"/>
                </w:tcPr>
                <w:p w14:paraId="2106A938">
                  <w:pPr>
                    <w:widowControl/>
                    <w:jc w:val="center"/>
                    <w:textAlignment w:val="center"/>
                    <w:rPr>
                      <w:color w:val="auto"/>
                      <w:szCs w:val="21"/>
                    </w:rPr>
                  </w:pPr>
                  <w:r>
                    <w:rPr>
                      <w:color w:val="auto"/>
                      <w:kern w:val="0"/>
                      <w:szCs w:val="21"/>
                      <w:lang w:bidi="ar"/>
                    </w:rPr>
                    <w:t>21.1</w:t>
                  </w:r>
                </w:p>
              </w:tc>
              <w:tc>
                <w:tcPr>
                  <w:tcW w:w="1260" w:type="dxa"/>
                  <w:vMerge w:val="continue"/>
                  <w:vAlign w:val="center"/>
                </w:tcPr>
                <w:p w14:paraId="1E9FD91E">
                  <w:pPr>
                    <w:snapToGrid w:val="0"/>
                    <w:jc w:val="center"/>
                    <w:rPr>
                      <w:color w:val="auto"/>
                      <w:szCs w:val="21"/>
                    </w:rPr>
                  </w:pPr>
                </w:p>
              </w:tc>
            </w:tr>
            <w:tr w14:paraId="17A71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vMerge w:val="continue"/>
                  <w:vAlign w:val="center"/>
                </w:tcPr>
                <w:p w14:paraId="72D6BDB4">
                  <w:pPr>
                    <w:snapToGrid w:val="0"/>
                    <w:jc w:val="center"/>
                    <w:rPr>
                      <w:color w:val="auto"/>
                      <w:szCs w:val="21"/>
                    </w:rPr>
                  </w:pPr>
                </w:p>
              </w:tc>
              <w:tc>
                <w:tcPr>
                  <w:tcW w:w="786" w:type="dxa"/>
                  <w:vMerge w:val="continue"/>
                  <w:vAlign w:val="center"/>
                </w:tcPr>
                <w:p w14:paraId="1CAA917A">
                  <w:pPr>
                    <w:snapToGrid w:val="0"/>
                    <w:jc w:val="center"/>
                    <w:rPr>
                      <w:b/>
                      <w:bCs/>
                      <w:color w:val="auto"/>
                      <w:szCs w:val="21"/>
                    </w:rPr>
                  </w:pPr>
                </w:p>
              </w:tc>
              <w:tc>
                <w:tcPr>
                  <w:tcW w:w="1383" w:type="dxa"/>
                  <w:vMerge w:val="continue"/>
                  <w:vAlign w:val="center"/>
                </w:tcPr>
                <w:p w14:paraId="29620C29">
                  <w:pPr>
                    <w:adjustRightInd w:val="0"/>
                    <w:snapToGrid w:val="0"/>
                    <w:jc w:val="center"/>
                    <w:rPr>
                      <w:color w:val="auto"/>
                      <w:kern w:val="0"/>
                      <w:szCs w:val="21"/>
                    </w:rPr>
                  </w:pPr>
                </w:p>
              </w:tc>
              <w:tc>
                <w:tcPr>
                  <w:tcW w:w="1494" w:type="dxa"/>
                  <w:vMerge w:val="continue"/>
                  <w:vAlign w:val="center"/>
                </w:tcPr>
                <w:p w14:paraId="30EAC33D">
                  <w:pPr>
                    <w:snapToGrid w:val="0"/>
                    <w:jc w:val="center"/>
                    <w:rPr>
                      <w:b/>
                      <w:bCs/>
                      <w:color w:val="auto"/>
                      <w:szCs w:val="21"/>
                    </w:rPr>
                  </w:pPr>
                </w:p>
              </w:tc>
              <w:tc>
                <w:tcPr>
                  <w:tcW w:w="1081" w:type="dxa"/>
                  <w:vMerge w:val="continue"/>
                  <w:vAlign w:val="center"/>
                </w:tcPr>
                <w:p w14:paraId="2229663D">
                  <w:pPr>
                    <w:adjustRightInd w:val="0"/>
                    <w:snapToGrid w:val="0"/>
                    <w:jc w:val="center"/>
                    <w:rPr>
                      <w:bCs/>
                      <w:color w:val="auto"/>
                      <w:szCs w:val="21"/>
                    </w:rPr>
                  </w:pPr>
                </w:p>
              </w:tc>
              <w:tc>
                <w:tcPr>
                  <w:tcW w:w="768" w:type="dxa"/>
                  <w:vMerge w:val="continue"/>
                  <w:vAlign w:val="center"/>
                </w:tcPr>
                <w:p w14:paraId="345188E4">
                  <w:pPr>
                    <w:snapToGrid w:val="0"/>
                    <w:jc w:val="center"/>
                    <w:rPr>
                      <w:b/>
                      <w:bCs/>
                      <w:color w:val="auto"/>
                      <w:szCs w:val="21"/>
                    </w:rPr>
                  </w:pPr>
                </w:p>
              </w:tc>
              <w:tc>
                <w:tcPr>
                  <w:tcW w:w="617" w:type="dxa"/>
                  <w:vMerge w:val="continue"/>
                  <w:vAlign w:val="center"/>
                </w:tcPr>
                <w:p w14:paraId="68B0968C">
                  <w:pPr>
                    <w:snapToGrid w:val="0"/>
                    <w:jc w:val="center"/>
                    <w:rPr>
                      <w:color w:val="auto"/>
                      <w:szCs w:val="21"/>
                    </w:rPr>
                  </w:pPr>
                </w:p>
              </w:tc>
              <w:tc>
                <w:tcPr>
                  <w:tcW w:w="617" w:type="dxa"/>
                  <w:vMerge w:val="continue"/>
                  <w:vAlign w:val="center"/>
                </w:tcPr>
                <w:p w14:paraId="3C6C2276">
                  <w:pPr>
                    <w:snapToGrid w:val="0"/>
                    <w:jc w:val="center"/>
                    <w:rPr>
                      <w:color w:val="auto"/>
                      <w:szCs w:val="21"/>
                    </w:rPr>
                  </w:pPr>
                </w:p>
              </w:tc>
              <w:tc>
                <w:tcPr>
                  <w:tcW w:w="623" w:type="dxa"/>
                  <w:vMerge w:val="continue"/>
                  <w:vAlign w:val="center"/>
                </w:tcPr>
                <w:p w14:paraId="424FA027">
                  <w:pPr>
                    <w:snapToGrid w:val="0"/>
                    <w:jc w:val="center"/>
                    <w:rPr>
                      <w:color w:val="auto"/>
                      <w:szCs w:val="21"/>
                    </w:rPr>
                  </w:pPr>
                </w:p>
              </w:tc>
              <w:tc>
                <w:tcPr>
                  <w:tcW w:w="1171" w:type="dxa"/>
                  <w:vAlign w:val="center"/>
                </w:tcPr>
                <w:p w14:paraId="452F4FD8">
                  <w:pPr>
                    <w:snapToGrid w:val="0"/>
                    <w:jc w:val="center"/>
                    <w:rPr>
                      <w:color w:val="auto"/>
                      <w:szCs w:val="21"/>
                    </w:rPr>
                  </w:pPr>
                  <w:r>
                    <w:rPr>
                      <w:rFonts w:hint="eastAsia"/>
                      <w:color w:val="auto"/>
                      <w:szCs w:val="21"/>
                    </w:rPr>
                    <w:t>东18</w:t>
                  </w:r>
                </w:p>
              </w:tc>
              <w:tc>
                <w:tcPr>
                  <w:tcW w:w="782" w:type="dxa"/>
                  <w:vAlign w:val="center"/>
                </w:tcPr>
                <w:p w14:paraId="04B58A19">
                  <w:pPr>
                    <w:widowControl/>
                    <w:jc w:val="center"/>
                    <w:textAlignment w:val="center"/>
                    <w:rPr>
                      <w:color w:val="auto"/>
                      <w:szCs w:val="21"/>
                    </w:rPr>
                  </w:pPr>
                  <w:r>
                    <w:rPr>
                      <w:color w:val="auto"/>
                      <w:kern w:val="0"/>
                      <w:szCs w:val="21"/>
                      <w:lang w:bidi="ar"/>
                    </w:rPr>
                    <w:t>44.9</w:t>
                  </w:r>
                </w:p>
              </w:tc>
              <w:tc>
                <w:tcPr>
                  <w:tcW w:w="741" w:type="dxa"/>
                  <w:vMerge w:val="continue"/>
                  <w:vAlign w:val="center"/>
                </w:tcPr>
                <w:p w14:paraId="27C2681D">
                  <w:pPr>
                    <w:snapToGrid w:val="0"/>
                    <w:jc w:val="center"/>
                    <w:rPr>
                      <w:color w:val="auto"/>
                      <w:szCs w:val="21"/>
                    </w:rPr>
                  </w:pPr>
                </w:p>
              </w:tc>
              <w:tc>
                <w:tcPr>
                  <w:tcW w:w="893" w:type="dxa"/>
                  <w:vMerge w:val="continue"/>
                  <w:vAlign w:val="center"/>
                </w:tcPr>
                <w:p w14:paraId="68D26918">
                  <w:pPr>
                    <w:snapToGrid w:val="0"/>
                    <w:jc w:val="center"/>
                    <w:rPr>
                      <w:color w:val="auto"/>
                      <w:szCs w:val="21"/>
                    </w:rPr>
                  </w:pPr>
                </w:p>
              </w:tc>
              <w:tc>
                <w:tcPr>
                  <w:tcW w:w="693" w:type="dxa"/>
                  <w:vAlign w:val="center"/>
                </w:tcPr>
                <w:p w14:paraId="6E1CAB0F">
                  <w:pPr>
                    <w:widowControl/>
                    <w:jc w:val="center"/>
                    <w:textAlignment w:val="center"/>
                    <w:rPr>
                      <w:color w:val="auto"/>
                      <w:szCs w:val="21"/>
                    </w:rPr>
                  </w:pPr>
                  <w:r>
                    <w:rPr>
                      <w:color w:val="auto"/>
                      <w:kern w:val="0"/>
                      <w:szCs w:val="21"/>
                      <w:lang w:bidi="ar"/>
                    </w:rPr>
                    <w:t>24.9</w:t>
                  </w:r>
                </w:p>
              </w:tc>
              <w:tc>
                <w:tcPr>
                  <w:tcW w:w="1260" w:type="dxa"/>
                  <w:vMerge w:val="continue"/>
                  <w:vAlign w:val="center"/>
                </w:tcPr>
                <w:p w14:paraId="74822A77">
                  <w:pPr>
                    <w:snapToGrid w:val="0"/>
                    <w:jc w:val="center"/>
                    <w:rPr>
                      <w:color w:val="auto"/>
                      <w:szCs w:val="21"/>
                    </w:rPr>
                  </w:pPr>
                </w:p>
              </w:tc>
            </w:tr>
            <w:tr w14:paraId="4871C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vMerge w:val="continue"/>
                  <w:vAlign w:val="center"/>
                </w:tcPr>
                <w:p w14:paraId="5C67CECB">
                  <w:pPr>
                    <w:snapToGrid w:val="0"/>
                    <w:jc w:val="center"/>
                    <w:rPr>
                      <w:color w:val="auto"/>
                      <w:szCs w:val="21"/>
                    </w:rPr>
                  </w:pPr>
                </w:p>
              </w:tc>
              <w:tc>
                <w:tcPr>
                  <w:tcW w:w="786" w:type="dxa"/>
                  <w:vMerge w:val="continue"/>
                  <w:vAlign w:val="center"/>
                </w:tcPr>
                <w:p w14:paraId="1D0B3435">
                  <w:pPr>
                    <w:snapToGrid w:val="0"/>
                    <w:jc w:val="center"/>
                    <w:rPr>
                      <w:b/>
                      <w:bCs/>
                      <w:color w:val="auto"/>
                      <w:szCs w:val="21"/>
                    </w:rPr>
                  </w:pPr>
                </w:p>
              </w:tc>
              <w:tc>
                <w:tcPr>
                  <w:tcW w:w="1383" w:type="dxa"/>
                  <w:vMerge w:val="continue"/>
                  <w:vAlign w:val="center"/>
                </w:tcPr>
                <w:p w14:paraId="32809878">
                  <w:pPr>
                    <w:adjustRightInd w:val="0"/>
                    <w:snapToGrid w:val="0"/>
                    <w:jc w:val="center"/>
                    <w:rPr>
                      <w:color w:val="auto"/>
                      <w:kern w:val="0"/>
                      <w:szCs w:val="21"/>
                    </w:rPr>
                  </w:pPr>
                </w:p>
              </w:tc>
              <w:tc>
                <w:tcPr>
                  <w:tcW w:w="1494" w:type="dxa"/>
                  <w:vMerge w:val="continue"/>
                  <w:vAlign w:val="center"/>
                </w:tcPr>
                <w:p w14:paraId="6AB7323B">
                  <w:pPr>
                    <w:snapToGrid w:val="0"/>
                    <w:jc w:val="center"/>
                    <w:rPr>
                      <w:b/>
                      <w:bCs/>
                      <w:color w:val="auto"/>
                      <w:szCs w:val="21"/>
                    </w:rPr>
                  </w:pPr>
                </w:p>
              </w:tc>
              <w:tc>
                <w:tcPr>
                  <w:tcW w:w="1081" w:type="dxa"/>
                  <w:vMerge w:val="continue"/>
                  <w:vAlign w:val="center"/>
                </w:tcPr>
                <w:p w14:paraId="645941B2">
                  <w:pPr>
                    <w:adjustRightInd w:val="0"/>
                    <w:snapToGrid w:val="0"/>
                    <w:jc w:val="center"/>
                    <w:rPr>
                      <w:bCs/>
                      <w:color w:val="auto"/>
                      <w:szCs w:val="21"/>
                    </w:rPr>
                  </w:pPr>
                </w:p>
              </w:tc>
              <w:tc>
                <w:tcPr>
                  <w:tcW w:w="768" w:type="dxa"/>
                  <w:vMerge w:val="continue"/>
                  <w:vAlign w:val="center"/>
                </w:tcPr>
                <w:p w14:paraId="06D9DA9E">
                  <w:pPr>
                    <w:snapToGrid w:val="0"/>
                    <w:jc w:val="center"/>
                    <w:rPr>
                      <w:b/>
                      <w:bCs/>
                      <w:color w:val="auto"/>
                      <w:szCs w:val="21"/>
                    </w:rPr>
                  </w:pPr>
                </w:p>
              </w:tc>
              <w:tc>
                <w:tcPr>
                  <w:tcW w:w="617" w:type="dxa"/>
                  <w:vMerge w:val="continue"/>
                  <w:vAlign w:val="center"/>
                </w:tcPr>
                <w:p w14:paraId="42F18CF5">
                  <w:pPr>
                    <w:snapToGrid w:val="0"/>
                    <w:jc w:val="center"/>
                    <w:rPr>
                      <w:color w:val="auto"/>
                      <w:szCs w:val="21"/>
                    </w:rPr>
                  </w:pPr>
                </w:p>
              </w:tc>
              <w:tc>
                <w:tcPr>
                  <w:tcW w:w="617" w:type="dxa"/>
                  <w:vMerge w:val="continue"/>
                  <w:vAlign w:val="center"/>
                </w:tcPr>
                <w:p w14:paraId="26AAE6F0">
                  <w:pPr>
                    <w:snapToGrid w:val="0"/>
                    <w:jc w:val="center"/>
                    <w:rPr>
                      <w:color w:val="auto"/>
                      <w:szCs w:val="21"/>
                    </w:rPr>
                  </w:pPr>
                </w:p>
              </w:tc>
              <w:tc>
                <w:tcPr>
                  <w:tcW w:w="623" w:type="dxa"/>
                  <w:vMerge w:val="continue"/>
                  <w:vAlign w:val="center"/>
                </w:tcPr>
                <w:p w14:paraId="755E3B42">
                  <w:pPr>
                    <w:snapToGrid w:val="0"/>
                    <w:jc w:val="center"/>
                    <w:rPr>
                      <w:color w:val="auto"/>
                      <w:szCs w:val="21"/>
                    </w:rPr>
                  </w:pPr>
                </w:p>
              </w:tc>
              <w:tc>
                <w:tcPr>
                  <w:tcW w:w="1171" w:type="dxa"/>
                  <w:vAlign w:val="center"/>
                </w:tcPr>
                <w:p w14:paraId="5FC3B19B">
                  <w:pPr>
                    <w:snapToGrid w:val="0"/>
                    <w:jc w:val="center"/>
                    <w:rPr>
                      <w:color w:val="auto"/>
                      <w:szCs w:val="21"/>
                    </w:rPr>
                  </w:pPr>
                  <w:r>
                    <w:rPr>
                      <w:rFonts w:hint="eastAsia"/>
                      <w:color w:val="auto"/>
                      <w:szCs w:val="21"/>
                    </w:rPr>
                    <w:t>西42</w:t>
                  </w:r>
                </w:p>
              </w:tc>
              <w:tc>
                <w:tcPr>
                  <w:tcW w:w="782" w:type="dxa"/>
                  <w:vAlign w:val="center"/>
                </w:tcPr>
                <w:p w14:paraId="38E0A068">
                  <w:pPr>
                    <w:widowControl/>
                    <w:jc w:val="center"/>
                    <w:textAlignment w:val="center"/>
                    <w:rPr>
                      <w:color w:val="auto"/>
                      <w:szCs w:val="21"/>
                    </w:rPr>
                  </w:pPr>
                  <w:r>
                    <w:rPr>
                      <w:color w:val="auto"/>
                      <w:kern w:val="0"/>
                      <w:szCs w:val="21"/>
                      <w:lang w:bidi="ar"/>
                    </w:rPr>
                    <w:t>37.5</w:t>
                  </w:r>
                </w:p>
              </w:tc>
              <w:tc>
                <w:tcPr>
                  <w:tcW w:w="741" w:type="dxa"/>
                  <w:vMerge w:val="continue"/>
                  <w:vAlign w:val="center"/>
                </w:tcPr>
                <w:p w14:paraId="7453CA03">
                  <w:pPr>
                    <w:snapToGrid w:val="0"/>
                    <w:jc w:val="center"/>
                    <w:rPr>
                      <w:color w:val="auto"/>
                      <w:szCs w:val="21"/>
                    </w:rPr>
                  </w:pPr>
                </w:p>
              </w:tc>
              <w:tc>
                <w:tcPr>
                  <w:tcW w:w="893" w:type="dxa"/>
                  <w:vMerge w:val="continue"/>
                  <w:vAlign w:val="center"/>
                </w:tcPr>
                <w:p w14:paraId="320EE08F">
                  <w:pPr>
                    <w:snapToGrid w:val="0"/>
                    <w:jc w:val="center"/>
                    <w:rPr>
                      <w:color w:val="auto"/>
                      <w:szCs w:val="21"/>
                    </w:rPr>
                  </w:pPr>
                </w:p>
              </w:tc>
              <w:tc>
                <w:tcPr>
                  <w:tcW w:w="693" w:type="dxa"/>
                  <w:vAlign w:val="center"/>
                </w:tcPr>
                <w:p w14:paraId="72FEB0D1">
                  <w:pPr>
                    <w:widowControl/>
                    <w:jc w:val="center"/>
                    <w:textAlignment w:val="center"/>
                    <w:rPr>
                      <w:color w:val="auto"/>
                      <w:szCs w:val="21"/>
                    </w:rPr>
                  </w:pPr>
                  <w:r>
                    <w:rPr>
                      <w:color w:val="auto"/>
                      <w:kern w:val="0"/>
                      <w:szCs w:val="21"/>
                      <w:lang w:bidi="ar"/>
                    </w:rPr>
                    <w:t>17.5</w:t>
                  </w:r>
                </w:p>
              </w:tc>
              <w:tc>
                <w:tcPr>
                  <w:tcW w:w="1260" w:type="dxa"/>
                  <w:vMerge w:val="continue"/>
                  <w:vAlign w:val="center"/>
                </w:tcPr>
                <w:p w14:paraId="4F7B53CF">
                  <w:pPr>
                    <w:snapToGrid w:val="0"/>
                    <w:jc w:val="center"/>
                    <w:rPr>
                      <w:color w:val="auto"/>
                      <w:szCs w:val="21"/>
                    </w:rPr>
                  </w:pPr>
                </w:p>
              </w:tc>
            </w:tr>
            <w:tr w14:paraId="2E9B2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vMerge w:val="restart"/>
                  <w:vAlign w:val="center"/>
                </w:tcPr>
                <w:p w14:paraId="7DDEA087">
                  <w:pPr>
                    <w:widowControl/>
                    <w:jc w:val="center"/>
                    <w:textAlignment w:val="center"/>
                    <w:rPr>
                      <w:color w:val="auto"/>
                      <w:szCs w:val="21"/>
                    </w:rPr>
                  </w:pPr>
                  <w:r>
                    <w:rPr>
                      <w:color w:val="auto"/>
                      <w:kern w:val="0"/>
                      <w:szCs w:val="21"/>
                      <w:lang w:bidi="ar"/>
                    </w:rPr>
                    <w:t>8</w:t>
                  </w:r>
                </w:p>
              </w:tc>
              <w:tc>
                <w:tcPr>
                  <w:tcW w:w="786" w:type="dxa"/>
                  <w:vMerge w:val="continue"/>
                  <w:vAlign w:val="center"/>
                </w:tcPr>
                <w:p w14:paraId="1FD80506">
                  <w:pPr>
                    <w:snapToGrid w:val="0"/>
                    <w:jc w:val="center"/>
                    <w:rPr>
                      <w:b/>
                      <w:bCs/>
                      <w:color w:val="auto"/>
                      <w:szCs w:val="21"/>
                    </w:rPr>
                  </w:pPr>
                </w:p>
              </w:tc>
              <w:tc>
                <w:tcPr>
                  <w:tcW w:w="1383" w:type="dxa"/>
                  <w:vMerge w:val="restart"/>
                  <w:vAlign w:val="center"/>
                </w:tcPr>
                <w:p w14:paraId="310690A2">
                  <w:pPr>
                    <w:autoSpaceDE w:val="0"/>
                    <w:autoSpaceDN w:val="0"/>
                    <w:adjustRightInd w:val="0"/>
                    <w:snapToGrid w:val="0"/>
                    <w:jc w:val="center"/>
                    <w:rPr>
                      <w:color w:val="auto"/>
                      <w:kern w:val="0"/>
                      <w:szCs w:val="21"/>
                    </w:rPr>
                  </w:pPr>
                  <w:r>
                    <w:rPr>
                      <w:rFonts w:hint="eastAsia"/>
                      <w:color w:val="auto"/>
                      <w:szCs w:val="21"/>
                    </w:rPr>
                    <w:t>雕刻机</w:t>
                  </w:r>
                </w:p>
              </w:tc>
              <w:tc>
                <w:tcPr>
                  <w:tcW w:w="1494" w:type="dxa"/>
                  <w:vMerge w:val="restart"/>
                  <w:vAlign w:val="center"/>
                </w:tcPr>
                <w:p w14:paraId="777CB412">
                  <w:pPr>
                    <w:autoSpaceDE w:val="0"/>
                    <w:autoSpaceDN w:val="0"/>
                    <w:adjustRightInd w:val="0"/>
                    <w:snapToGrid w:val="0"/>
                    <w:jc w:val="center"/>
                    <w:rPr>
                      <w:b/>
                      <w:bCs/>
                      <w:color w:val="auto"/>
                      <w:szCs w:val="21"/>
                    </w:rPr>
                  </w:pPr>
                  <w:r>
                    <w:rPr>
                      <w:rFonts w:hint="eastAsia"/>
                      <w:color w:val="auto"/>
                      <w:szCs w:val="21"/>
                    </w:rPr>
                    <w:t>/</w:t>
                  </w:r>
                </w:p>
              </w:tc>
              <w:tc>
                <w:tcPr>
                  <w:tcW w:w="1081" w:type="dxa"/>
                  <w:vMerge w:val="restart"/>
                  <w:vAlign w:val="center"/>
                </w:tcPr>
                <w:p w14:paraId="2D0AEBFB">
                  <w:pPr>
                    <w:widowControl/>
                    <w:jc w:val="center"/>
                    <w:textAlignment w:val="center"/>
                    <w:rPr>
                      <w:bCs/>
                      <w:color w:val="auto"/>
                      <w:szCs w:val="21"/>
                    </w:rPr>
                  </w:pPr>
                  <w:r>
                    <w:rPr>
                      <w:color w:val="auto"/>
                      <w:kern w:val="0"/>
                      <w:szCs w:val="21"/>
                      <w:lang w:bidi="ar"/>
                    </w:rPr>
                    <w:t>80</w:t>
                  </w:r>
                </w:p>
              </w:tc>
              <w:tc>
                <w:tcPr>
                  <w:tcW w:w="768" w:type="dxa"/>
                  <w:vMerge w:val="continue"/>
                  <w:vAlign w:val="center"/>
                </w:tcPr>
                <w:p w14:paraId="653FC196">
                  <w:pPr>
                    <w:snapToGrid w:val="0"/>
                    <w:jc w:val="center"/>
                    <w:rPr>
                      <w:b/>
                      <w:bCs/>
                      <w:color w:val="auto"/>
                      <w:szCs w:val="21"/>
                    </w:rPr>
                  </w:pPr>
                </w:p>
              </w:tc>
              <w:tc>
                <w:tcPr>
                  <w:tcW w:w="617" w:type="dxa"/>
                  <w:vMerge w:val="restart"/>
                  <w:vAlign w:val="center"/>
                </w:tcPr>
                <w:p w14:paraId="39E4C5CC">
                  <w:pPr>
                    <w:widowControl/>
                    <w:jc w:val="center"/>
                    <w:textAlignment w:val="center"/>
                    <w:rPr>
                      <w:color w:val="auto"/>
                      <w:szCs w:val="21"/>
                    </w:rPr>
                  </w:pPr>
                  <w:r>
                    <w:rPr>
                      <w:color w:val="auto"/>
                      <w:kern w:val="0"/>
                      <w:szCs w:val="21"/>
                      <w:lang w:bidi="ar"/>
                    </w:rPr>
                    <w:t>14</w:t>
                  </w:r>
                </w:p>
              </w:tc>
              <w:tc>
                <w:tcPr>
                  <w:tcW w:w="617" w:type="dxa"/>
                  <w:vMerge w:val="restart"/>
                  <w:vAlign w:val="center"/>
                </w:tcPr>
                <w:p w14:paraId="0A04035A">
                  <w:pPr>
                    <w:widowControl/>
                    <w:jc w:val="center"/>
                    <w:textAlignment w:val="center"/>
                    <w:rPr>
                      <w:color w:val="auto"/>
                      <w:szCs w:val="21"/>
                    </w:rPr>
                  </w:pPr>
                  <w:r>
                    <w:rPr>
                      <w:color w:val="auto"/>
                      <w:kern w:val="0"/>
                      <w:szCs w:val="21"/>
                      <w:lang w:bidi="ar"/>
                    </w:rPr>
                    <w:t>-37</w:t>
                  </w:r>
                </w:p>
              </w:tc>
              <w:tc>
                <w:tcPr>
                  <w:tcW w:w="623" w:type="dxa"/>
                  <w:vMerge w:val="restart"/>
                  <w:vAlign w:val="center"/>
                </w:tcPr>
                <w:p w14:paraId="7133374F">
                  <w:pPr>
                    <w:widowControl/>
                    <w:jc w:val="center"/>
                    <w:textAlignment w:val="center"/>
                    <w:rPr>
                      <w:color w:val="auto"/>
                      <w:szCs w:val="21"/>
                    </w:rPr>
                  </w:pPr>
                  <w:r>
                    <w:rPr>
                      <w:color w:val="auto"/>
                      <w:kern w:val="0"/>
                      <w:szCs w:val="21"/>
                      <w:lang w:bidi="ar"/>
                    </w:rPr>
                    <w:t>1.2</w:t>
                  </w:r>
                </w:p>
              </w:tc>
              <w:tc>
                <w:tcPr>
                  <w:tcW w:w="1171" w:type="dxa"/>
                  <w:vAlign w:val="center"/>
                </w:tcPr>
                <w:p w14:paraId="5EF14DD1">
                  <w:pPr>
                    <w:snapToGrid w:val="0"/>
                    <w:jc w:val="center"/>
                    <w:rPr>
                      <w:color w:val="auto"/>
                      <w:szCs w:val="21"/>
                    </w:rPr>
                  </w:pPr>
                  <w:r>
                    <w:rPr>
                      <w:rFonts w:hint="eastAsia"/>
                      <w:color w:val="auto"/>
                      <w:szCs w:val="21"/>
                    </w:rPr>
                    <w:t>北26</w:t>
                  </w:r>
                </w:p>
              </w:tc>
              <w:tc>
                <w:tcPr>
                  <w:tcW w:w="782" w:type="dxa"/>
                  <w:vAlign w:val="center"/>
                </w:tcPr>
                <w:p w14:paraId="2EFC3D78">
                  <w:pPr>
                    <w:widowControl/>
                    <w:jc w:val="center"/>
                    <w:textAlignment w:val="center"/>
                    <w:rPr>
                      <w:color w:val="auto"/>
                      <w:szCs w:val="21"/>
                    </w:rPr>
                  </w:pPr>
                  <w:r>
                    <w:rPr>
                      <w:color w:val="auto"/>
                      <w:kern w:val="0"/>
                      <w:szCs w:val="21"/>
                      <w:lang w:bidi="ar"/>
                    </w:rPr>
                    <w:t>51.7</w:t>
                  </w:r>
                </w:p>
              </w:tc>
              <w:tc>
                <w:tcPr>
                  <w:tcW w:w="741" w:type="dxa"/>
                  <w:vMerge w:val="continue"/>
                  <w:vAlign w:val="center"/>
                </w:tcPr>
                <w:p w14:paraId="7EAD53FC">
                  <w:pPr>
                    <w:snapToGrid w:val="0"/>
                    <w:jc w:val="center"/>
                    <w:rPr>
                      <w:color w:val="auto"/>
                      <w:szCs w:val="21"/>
                    </w:rPr>
                  </w:pPr>
                </w:p>
              </w:tc>
              <w:tc>
                <w:tcPr>
                  <w:tcW w:w="893" w:type="dxa"/>
                  <w:vMerge w:val="continue"/>
                  <w:vAlign w:val="center"/>
                </w:tcPr>
                <w:p w14:paraId="7843CD17">
                  <w:pPr>
                    <w:snapToGrid w:val="0"/>
                    <w:jc w:val="center"/>
                    <w:rPr>
                      <w:color w:val="auto"/>
                      <w:szCs w:val="21"/>
                    </w:rPr>
                  </w:pPr>
                </w:p>
              </w:tc>
              <w:tc>
                <w:tcPr>
                  <w:tcW w:w="693" w:type="dxa"/>
                  <w:vAlign w:val="center"/>
                </w:tcPr>
                <w:p w14:paraId="400A02AA">
                  <w:pPr>
                    <w:widowControl/>
                    <w:jc w:val="center"/>
                    <w:textAlignment w:val="center"/>
                    <w:rPr>
                      <w:color w:val="auto"/>
                      <w:szCs w:val="21"/>
                    </w:rPr>
                  </w:pPr>
                  <w:r>
                    <w:rPr>
                      <w:color w:val="auto"/>
                      <w:kern w:val="0"/>
                      <w:szCs w:val="21"/>
                      <w:lang w:bidi="ar"/>
                    </w:rPr>
                    <w:t>31.7</w:t>
                  </w:r>
                </w:p>
              </w:tc>
              <w:tc>
                <w:tcPr>
                  <w:tcW w:w="1260" w:type="dxa"/>
                  <w:vMerge w:val="restart"/>
                  <w:vAlign w:val="center"/>
                </w:tcPr>
                <w:p w14:paraId="41121797">
                  <w:pPr>
                    <w:snapToGrid w:val="0"/>
                    <w:jc w:val="center"/>
                    <w:rPr>
                      <w:color w:val="auto"/>
                      <w:szCs w:val="21"/>
                    </w:rPr>
                  </w:pPr>
                  <w:r>
                    <w:rPr>
                      <w:color w:val="auto"/>
                      <w:szCs w:val="21"/>
                    </w:rPr>
                    <w:t>1</w:t>
                  </w:r>
                </w:p>
              </w:tc>
            </w:tr>
            <w:tr w14:paraId="2CCA9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vMerge w:val="continue"/>
                  <w:vAlign w:val="center"/>
                </w:tcPr>
                <w:p w14:paraId="5B9ACDFB">
                  <w:pPr>
                    <w:snapToGrid w:val="0"/>
                    <w:jc w:val="center"/>
                    <w:rPr>
                      <w:color w:val="auto"/>
                      <w:szCs w:val="21"/>
                    </w:rPr>
                  </w:pPr>
                </w:p>
              </w:tc>
              <w:tc>
                <w:tcPr>
                  <w:tcW w:w="786" w:type="dxa"/>
                  <w:vMerge w:val="continue"/>
                  <w:vAlign w:val="center"/>
                </w:tcPr>
                <w:p w14:paraId="11062353">
                  <w:pPr>
                    <w:snapToGrid w:val="0"/>
                    <w:jc w:val="center"/>
                    <w:rPr>
                      <w:b/>
                      <w:bCs/>
                      <w:color w:val="auto"/>
                      <w:szCs w:val="21"/>
                    </w:rPr>
                  </w:pPr>
                </w:p>
              </w:tc>
              <w:tc>
                <w:tcPr>
                  <w:tcW w:w="1383" w:type="dxa"/>
                  <w:vMerge w:val="continue"/>
                  <w:vAlign w:val="center"/>
                </w:tcPr>
                <w:p w14:paraId="7E99F4DE">
                  <w:pPr>
                    <w:adjustRightInd w:val="0"/>
                    <w:snapToGrid w:val="0"/>
                    <w:jc w:val="center"/>
                    <w:rPr>
                      <w:color w:val="auto"/>
                      <w:kern w:val="0"/>
                      <w:szCs w:val="21"/>
                    </w:rPr>
                  </w:pPr>
                </w:p>
              </w:tc>
              <w:tc>
                <w:tcPr>
                  <w:tcW w:w="1494" w:type="dxa"/>
                  <w:vMerge w:val="continue"/>
                  <w:vAlign w:val="center"/>
                </w:tcPr>
                <w:p w14:paraId="6B9807BC">
                  <w:pPr>
                    <w:snapToGrid w:val="0"/>
                    <w:jc w:val="center"/>
                    <w:rPr>
                      <w:b/>
                      <w:bCs/>
                      <w:color w:val="auto"/>
                      <w:szCs w:val="21"/>
                    </w:rPr>
                  </w:pPr>
                </w:p>
              </w:tc>
              <w:tc>
                <w:tcPr>
                  <w:tcW w:w="1081" w:type="dxa"/>
                  <w:vMerge w:val="continue"/>
                  <w:vAlign w:val="center"/>
                </w:tcPr>
                <w:p w14:paraId="08D44B07">
                  <w:pPr>
                    <w:adjustRightInd w:val="0"/>
                    <w:snapToGrid w:val="0"/>
                    <w:jc w:val="center"/>
                    <w:rPr>
                      <w:bCs/>
                      <w:color w:val="auto"/>
                      <w:szCs w:val="21"/>
                    </w:rPr>
                  </w:pPr>
                </w:p>
              </w:tc>
              <w:tc>
                <w:tcPr>
                  <w:tcW w:w="768" w:type="dxa"/>
                  <w:vMerge w:val="continue"/>
                  <w:vAlign w:val="center"/>
                </w:tcPr>
                <w:p w14:paraId="4BE8D449">
                  <w:pPr>
                    <w:snapToGrid w:val="0"/>
                    <w:jc w:val="center"/>
                    <w:rPr>
                      <w:b/>
                      <w:bCs/>
                      <w:color w:val="auto"/>
                      <w:szCs w:val="21"/>
                    </w:rPr>
                  </w:pPr>
                </w:p>
              </w:tc>
              <w:tc>
                <w:tcPr>
                  <w:tcW w:w="617" w:type="dxa"/>
                  <w:vMerge w:val="continue"/>
                  <w:vAlign w:val="center"/>
                </w:tcPr>
                <w:p w14:paraId="48C447E1">
                  <w:pPr>
                    <w:snapToGrid w:val="0"/>
                    <w:jc w:val="center"/>
                    <w:rPr>
                      <w:color w:val="auto"/>
                      <w:szCs w:val="21"/>
                    </w:rPr>
                  </w:pPr>
                </w:p>
              </w:tc>
              <w:tc>
                <w:tcPr>
                  <w:tcW w:w="617" w:type="dxa"/>
                  <w:vMerge w:val="continue"/>
                  <w:vAlign w:val="center"/>
                </w:tcPr>
                <w:p w14:paraId="2665FF0A">
                  <w:pPr>
                    <w:snapToGrid w:val="0"/>
                    <w:jc w:val="center"/>
                    <w:rPr>
                      <w:color w:val="auto"/>
                      <w:szCs w:val="21"/>
                    </w:rPr>
                  </w:pPr>
                </w:p>
              </w:tc>
              <w:tc>
                <w:tcPr>
                  <w:tcW w:w="623" w:type="dxa"/>
                  <w:vMerge w:val="continue"/>
                  <w:vAlign w:val="center"/>
                </w:tcPr>
                <w:p w14:paraId="502FC4D8">
                  <w:pPr>
                    <w:snapToGrid w:val="0"/>
                    <w:jc w:val="center"/>
                    <w:rPr>
                      <w:color w:val="auto"/>
                      <w:szCs w:val="21"/>
                    </w:rPr>
                  </w:pPr>
                </w:p>
              </w:tc>
              <w:tc>
                <w:tcPr>
                  <w:tcW w:w="1171" w:type="dxa"/>
                  <w:vAlign w:val="center"/>
                </w:tcPr>
                <w:p w14:paraId="61E82932">
                  <w:pPr>
                    <w:snapToGrid w:val="0"/>
                    <w:jc w:val="center"/>
                    <w:rPr>
                      <w:color w:val="auto"/>
                      <w:szCs w:val="21"/>
                    </w:rPr>
                  </w:pPr>
                  <w:r>
                    <w:rPr>
                      <w:rFonts w:hint="eastAsia"/>
                      <w:color w:val="auto"/>
                      <w:szCs w:val="21"/>
                    </w:rPr>
                    <w:t>南74</w:t>
                  </w:r>
                </w:p>
              </w:tc>
              <w:tc>
                <w:tcPr>
                  <w:tcW w:w="782" w:type="dxa"/>
                  <w:vAlign w:val="center"/>
                </w:tcPr>
                <w:p w14:paraId="34D11C5C">
                  <w:pPr>
                    <w:widowControl/>
                    <w:jc w:val="center"/>
                    <w:textAlignment w:val="center"/>
                    <w:rPr>
                      <w:color w:val="auto"/>
                      <w:szCs w:val="21"/>
                    </w:rPr>
                  </w:pPr>
                  <w:r>
                    <w:rPr>
                      <w:color w:val="auto"/>
                      <w:kern w:val="0"/>
                      <w:szCs w:val="21"/>
                      <w:lang w:bidi="ar"/>
                    </w:rPr>
                    <w:t>42.6</w:t>
                  </w:r>
                </w:p>
              </w:tc>
              <w:tc>
                <w:tcPr>
                  <w:tcW w:w="741" w:type="dxa"/>
                  <w:vMerge w:val="continue"/>
                  <w:vAlign w:val="center"/>
                </w:tcPr>
                <w:p w14:paraId="480FDCAC">
                  <w:pPr>
                    <w:snapToGrid w:val="0"/>
                    <w:jc w:val="center"/>
                    <w:rPr>
                      <w:color w:val="auto"/>
                      <w:szCs w:val="21"/>
                    </w:rPr>
                  </w:pPr>
                </w:p>
              </w:tc>
              <w:tc>
                <w:tcPr>
                  <w:tcW w:w="893" w:type="dxa"/>
                  <w:vMerge w:val="continue"/>
                  <w:vAlign w:val="center"/>
                </w:tcPr>
                <w:p w14:paraId="465F1808">
                  <w:pPr>
                    <w:snapToGrid w:val="0"/>
                    <w:jc w:val="center"/>
                    <w:rPr>
                      <w:color w:val="auto"/>
                      <w:szCs w:val="21"/>
                    </w:rPr>
                  </w:pPr>
                </w:p>
              </w:tc>
              <w:tc>
                <w:tcPr>
                  <w:tcW w:w="693" w:type="dxa"/>
                  <w:vAlign w:val="center"/>
                </w:tcPr>
                <w:p w14:paraId="27136133">
                  <w:pPr>
                    <w:widowControl/>
                    <w:jc w:val="center"/>
                    <w:textAlignment w:val="center"/>
                    <w:rPr>
                      <w:color w:val="auto"/>
                      <w:szCs w:val="21"/>
                    </w:rPr>
                  </w:pPr>
                  <w:r>
                    <w:rPr>
                      <w:color w:val="auto"/>
                      <w:kern w:val="0"/>
                      <w:szCs w:val="21"/>
                      <w:lang w:bidi="ar"/>
                    </w:rPr>
                    <w:t>22.6</w:t>
                  </w:r>
                </w:p>
              </w:tc>
              <w:tc>
                <w:tcPr>
                  <w:tcW w:w="1260" w:type="dxa"/>
                  <w:vMerge w:val="continue"/>
                  <w:vAlign w:val="center"/>
                </w:tcPr>
                <w:p w14:paraId="387C46E8">
                  <w:pPr>
                    <w:snapToGrid w:val="0"/>
                    <w:jc w:val="center"/>
                    <w:rPr>
                      <w:color w:val="auto"/>
                      <w:szCs w:val="21"/>
                    </w:rPr>
                  </w:pPr>
                </w:p>
              </w:tc>
            </w:tr>
            <w:tr w14:paraId="3B8C3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vMerge w:val="continue"/>
                  <w:vAlign w:val="center"/>
                </w:tcPr>
                <w:p w14:paraId="4166B608">
                  <w:pPr>
                    <w:snapToGrid w:val="0"/>
                    <w:jc w:val="center"/>
                    <w:rPr>
                      <w:color w:val="auto"/>
                      <w:szCs w:val="21"/>
                    </w:rPr>
                  </w:pPr>
                </w:p>
              </w:tc>
              <w:tc>
                <w:tcPr>
                  <w:tcW w:w="786" w:type="dxa"/>
                  <w:vMerge w:val="continue"/>
                  <w:vAlign w:val="center"/>
                </w:tcPr>
                <w:p w14:paraId="04A65BFE">
                  <w:pPr>
                    <w:snapToGrid w:val="0"/>
                    <w:jc w:val="center"/>
                    <w:rPr>
                      <w:b/>
                      <w:bCs/>
                      <w:color w:val="auto"/>
                      <w:szCs w:val="21"/>
                    </w:rPr>
                  </w:pPr>
                </w:p>
              </w:tc>
              <w:tc>
                <w:tcPr>
                  <w:tcW w:w="1383" w:type="dxa"/>
                  <w:vMerge w:val="continue"/>
                  <w:vAlign w:val="center"/>
                </w:tcPr>
                <w:p w14:paraId="2C1FEEA9">
                  <w:pPr>
                    <w:adjustRightInd w:val="0"/>
                    <w:snapToGrid w:val="0"/>
                    <w:jc w:val="center"/>
                    <w:rPr>
                      <w:color w:val="auto"/>
                      <w:kern w:val="0"/>
                      <w:szCs w:val="21"/>
                    </w:rPr>
                  </w:pPr>
                </w:p>
              </w:tc>
              <w:tc>
                <w:tcPr>
                  <w:tcW w:w="1494" w:type="dxa"/>
                  <w:vMerge w:val="continue"/>
                  <w:vAlign w:val="center"/>
                </w:tcPr>
                <w:p w14:paraId="54410202">
                  <w:pPr>
                    <w:snapToGrid w:val="0"/>
                    <w:jc w:val="center"/>
                    <w:rPr>
                      <w:b/>
                      <w:bCs/>
                      <w:color w:val="auto"/>
                      <w:szCs w:val="21"/>
                    </w:rPr>
                  </w:pPr>
                </w:p>
              </w:tc>
              <w:tc>
                <w:tcPr>
                  <w:tcW w:w="1081" w:type="dxa"/>
                  <w:vMerge w:val="continue"/>
                  <w:vAlign w:val="center"/>
                </w:tcPr>
                <w:p w14:paraId="09CC5345">
                  <w:pPr>
                    <w:adjustRightInd w:val="0"/>
                    <w:snapToGrid w:val="0"/>
                    <w:jc w:val="center"/>
                    <w:rPr>
                      <w:bCs/>
                      <w:color w:val="auto"/>
                      <w:szCs w:val="21"/>
                    </w:rPr>
                  </w:pPr>
                </w:p>
              </w:tc>
              <w:tc>
                <w:tcPr>
                  <w:tcW w:w="768" w:type="dxa"/>
                  <w:vMerge w:val="continue"/>
                  <w:vAlign w:val="center"/>
                </w:tcPr>
                <w:p w14:paraId="086B69D4">
                  <w:pPr>
                    <w:snapToGrid w:val="0"/>
                    <w:jc w:val="center"/>
                    <w:rPr>
                      <w:b/>
                      <w:bCs/>
                      <w:color w:val="auto"/>
                      <w:szCs w:val="21"/>
                    </w:rPr>
                  </w:pPr>
                </w:p>
              </w:tc>
              <w:tc>
                <w:tcPr>
                  <w:tcW w:w="617" w:type="dxa"/>
                  <w:vMerge w:val="continue"/>
                  <w:vAlign w:val="center"/>
                </w:tcPr>
                <w:p w14:paraId="4A6E58D2">
                  <w:pPr>
                    <w:snapToGrid w:val="0"/>
                    <w:jc w:val="center"/>
                    <w:rPr>
                      <w:color w:val="auto"/>
                      <w:szCs w:val="21"/>
                    </w:rPr>
                  </w:pPr>
                </w:p>
              </w:tc>
              <w:tc>
                <w:tcPr>
                  <w:tcW w:w="617" w:type="dxa"/>
                  <w:vMerge w:val="continue"/>
                  <w:vAlign w:val="center"/>
                </w:tcPr>
                <w:p w14:paraId="7EDB1E24">
                  <w:pPr>
                    <w:snapToGrid w:val="0"/>
                    <w:jc w:val="center"/>
                    <w:rPr>
                      <w:color w:val="auto"/>
                      <w:szCs w:val="21"/>
                    </w:rPr>
                  </w:pPr>
                </w:p>
              </w:tc>
              <w:tc>
                <w:tcPr>
                  <w:tcW w:w="623" w:type="dxa"/>
                  <w:vMerge w:val="continue"/>
                  <w:vAlign w:val="center"/>
                </w:tcPr>
                <w:p w14:paraId="341709A9">
                  <w:pPr>
                    <w:snapToGrid w:val="0"/>
                    <w:jc w:val="center"/>
                    <w:rPr>
                      <w:color w:val="auto"/>
                      <w:szCs w:val="21"/>
                    </w:rPr>
                  </w:pPr>
                </w:p>
              </w:tc>
              <w:tc>
                <w:tcPr>
                  <w:tcW w:w="1171" w:type="dxa"/>
                  <w:vAlign w:val="center"/>
                </w:tcPr>
                <w:p w14:paraId="109C1152">
                  <w:pPr>
                    <w:snapToGrid w:val="0"/>
                    <w:jc w:val="center"/>
                    <w:rPr>
                      <w:color w:val="auto"/>
                      <w:szCs w:val="21"/>
                    </w:rPr>
                  </w:pPr>
                  <w:r>
                    <w:rPr>
                      <w:rFonts w:hint="eastAsia"/>
                      <w:color w:val="auto"/>
                      <w:szCs w:val="21"/>
                    </w:rPr>
                    <w:t>东10</w:t>
                  </w:r>
                </w:p>
              </w:tc>
              <w:tc>
                <w:tcPr>
                  <w:tcW w:w="782" w:type="dxa"/>
                  <w:vAlign w:val="center"/>
                </w:tcPr>
                <w:p w14:paraId="2E5E7E72">
                  <w:pPr>
                    <w:widowControl/>
                    <w:jc w:val="center"/>
                    <w:textAlignment w:val="center"/>
                    <w:rPr>
                      <w:color w:val="auto"/>
                      <w:szCs w:val="21"/>
                    </w:rPr>
                  </w:pPr>
                  <w:r>
                    <w:rPr>
                      <w:color w:val="auto"/>
                      <w:kern w:val="0"/>
                      <w:szCs w:val="21"/>
                      <w:lang w:bidi="ar"/>
                    </w:rPr>
                    <w:t>60.0</w:t>
                  </w:r>
                </w:p>
              </w:tc>
              <w:tc>
                <w:tcPr>
                  <w:tcW w:w="741" w:type="dxa"/>
                  <w:vMerge w:val="continue"/>
                  <w:vAlign w:val="center"/>
                </w:tcPr>
                <w:p w14:paraId="70AE744D">
                  <w:pPr>
                    <w:snapToGrid w:val="0"/>
                    <w:jc w:val="center"/>
                    <w:rPr>
                      <w:color w:val="auto"/>
                      <w:szCs w:val="21"/>
                    </w:rPr>
                  </w:pPr>
                </w:p>
              </w:tc>
              <w:tc>
                <w:tcPr>
                  <w:tcW w:w="893" w:type="dxa"/>
                  <w:vMerge w:val="continue"/>
                  <w:vAlign w:val="center"/>
                </w:tcPr>
                <w:p w14:paraId="5C269B35">
                  <w:pPr>
                    <w:snapToGrid w:val="0"/>
                    <w:jc w:val="center"/>
                    <w:rPr>
                      <w:color w:val="auto"/>
                      <w:szCs w:val="21"/>
                    </w:rPr>
                  </w:pPr>
                </w:p>
              </w:tc>
              <w:tc>
                <w:tcPr>
                  <w:tcW w:w="693" w:type="dxa"/>
                  <w:vAlign w:val="center"/>
                </w:tcPr>
                <w:p w14:paraId="4FAF0BB0">
                  <w:pPr>
                    <w:widowControl/>
                    <w:jc w:val="center"/>
                    <w:textAlignment w:val="center"/>
                    <w:rPr>
                      <w:color w:val="auto"/>
                      <w:szCs w:val="21"/>
                    </w:rPr>
                  </w:pPr>
                  <w:r>
                    <w:rPr>
                      <w:color w:val="auto"/>
                      <w:kern w:val="0"/>
                      <w:szCs w:val="21"/>
                      <w:lang w:bidi="ar"/>
                    </w:rPr>
                    <w:t>40.0</w:t>
                  </w:r>
                </w:p>
              </w:tc>
              <w:tc>
                <w:tcPr>
                  <w:tcW w:w="1260" w:type="dxa"/>
                  <w:vMerge w:val="continue"/>
                  <w:vAlign w:val="center"/>
                </w:tcPr>
                <w:p w14:paraId="5AD4C39D">
                  <w:pPr>
                    <w:snapToGrid w:val="0"/>
                    <w:jc w:val="center"/>
                    <w:rPr>
                      <w:color w:val="auto"/>
                      <w:szCs w:val="21"/>
                    </w:rPr>
                  </w:pPr>
                </w:p>
              </w:tc>
            </w:tr>
            <w:tr w14:paraId="0BD73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584" w:type="dxa"/>
                  <w:vMerge w:val="continue"/>
                  <w:vAlign w:val="center"/>
                </w:tcPr>
                <w:p w14:paraId="543FAA1E">
                  <w:pPr>
                    <w:snapToGrid w:val="0"/>
                    <w:jc w:val="center"/>
                    <w:rPr>
                      <w:color w:val="auto"/>
                      <w:szCs w:val="21"/>
                    </w:rPr>
                  </w:pPr>
                </w:p>
              </w:tc>
              <w:tc>
                <w:tcPr>
                  <w:tcW w:w="786" w:type="dxa"/>
                  <w:vMerge w:val="continue"/>
                  <w:vAlign w:val="center"/>
                </w:tcPr>
                <w:p w14:paraId="50F9786D">
                  <w:pPr>
                    <w:snapToGrid w:val="0"/>
                    <w:jc w:val="center"/>
                    <w:rPr>
                      <w:b/>
                      <w:bCs/>
                      <w:color w:val="auto"/>
                      <w:szCs w:val="21"/>
                    </w:rPr>
                  </w:pPr>
                </w:p>
              </w:tc>
              <w:tc>
                <w:tcPr>
                  <w:tcW w:w="1383" w:type="dxa"/>
                  <w:vMerge w:val="continue"/>
                  <w:vAlign w:val="center"/>
                </w:tcPr>
                <w:p w14:paraId="49A70DB7">
                  <w:pPr>
                    <w:adjustRightInd w:val="0"/>
                    <w:snapToGrid w:val="0"/>
                    <w:jc w:val="center"/>
                    <w:rPr>
                      <w:color w:val="auto"/>
                      <w:kern w:val="0"/>
                      <w:szCs w:val="21"/>
                    </w:rPr>
                  </w:pPr>
                </w:p>
              </w:tc>
              <w:tc>
                <w:tcPr>
                  <w:tcW w:w="1494" w:type="dxa"/>
                  <w:vMerge w:val="continue"/>
                  <w:vAlign w:val="center"/>
                </w:tcPr>
                <w:p w14:paraId="227BD1AF">
                  <w:pPr>
                    <w:snapToGrid w:val="0"/>
                    <w:jc w:val="center"/>
                    <w:rPr>
                      <w:b/>
                      <w:bCs/>
                      <w:color w:val="auto"/>
                      <w:szCs w:val="21"/>
                    </w:rPr>
                  </w:pPr>
                </w:p>
              </w:tc>
              <w:tc>
                <w:tcPr>
                  <w:tcW w:w="1081" w:type="dxa"/>
                  <w:vMerge w:val="continue"/>
                  <w:vAlign w:val="center"/>
                </w:tcPr>
                <w:p w14:paraId="0DCE64D1">
                  <w:pPr>
                    <w:adjustRightInd w:val="0"/>
                    <w:snapToGrid w:val="0"/>
                    <w:jc w:val="center"/>
                    <w:rPr>
                      <w:bCs/>
                      <w:color w:val="auto"/>
                      <w:szCs w:val="21"/>
                    </w:rPr>
                  </w:pPr>
                </w:p>
              </w:tc>
              <w:tc>
                <w:tcPr>
                  <w:tcW w:w="768" w:type="dxa"/>
                  <w:vMerge w:val="continue"/>
                  <w:vAlign w:val="center"/>
                </w:tcPr>
                <w:p w14:paraId="12B3E0BD">
                  <w:pPr>
                    <w:snapToGrid w:val="0"/>
                    <w:jc w:val="center"/>
                    <w:rPr>
                      <w:b/>
                      <w:bCs/>
                      <w:color w:val="auto"/>
                      <w:szCs w:val="21"/>
                    </w:rPr>
                  </w:pPr>
                </w:p>
              </w:tc>
              <w:tc>
                <w:tcPr>
                  <w:tcW w:w="617" w:type="dxa"/>
                  <w:vMerge w:val="continue"/>
                  <w:vAlign w:val="center"/>
                </w:tcPr>
                <w:p w14:paraId="4087EFC0">
                  <w:pPr>
                    <w:snapToGrid w:val="0"/>
                    <w:jc w:val="center"/>
                    <w:rPr>
                      <w:color w:val="auto"/>
                      <w:szCs w:val="21"/>
                    </w:rPr>
                  </w:pPr>
                </w:p>
              </w:tc>
              <w:tc>
                <w:tcPr>
                  <w:tcW w:w="617" w:type="dxa"/>
                  <w:vMerge w:val="continue"/>
                  <w:vAlign w:val="center"/>
                </w:tcPr>
                <w:p w14:paraId="525A824D">
                  <w:pPr>
                    <w:snapToGrid w:val="0"/>
                    <w:jc w:val="center"/>
                    <w:rPr>
                      <w:color w:val="auto"/>
                      <w:szCs w:val="21"/>
                    </w:rPr>
                  </w:pPr>
                </w:p>
              </w:tc>
              <w:tc>
                <w:tcPr>
                  <w:tcW w:w="623" w:type="dxa"/>
                  <w:vMerge w:val="continue"/>
                  <w:vAlign w:val="center"/>
                </w:tcPr>
                <w:p w14:paraId="403A1065">
                  <w:pPr>
                    <w:snapToGrid w:val="0"/>
                    <w:jc w:val="center"/>
                    <w:rPr>
                      <w:color w:val="auto"/>
                      <w:szCs w:val="21"/>
                    </w:rPr>
                  </w:pPr>
                </w:p>
              </w:tc>
              <w:tc>
                <w:tcPr>
                  <w:tcW w:w="1171" w:type="dxa"/>
                  <w:vAlign w:val="center"/>
                </w:tcPr>
                <w:p w14:paraId="7A12A54B">
                  <w:pPr>
                    <w:snapToGrid w:val="0"/>
                    <w:jc w:val="center"/>
                    <w:rPr>
                      <w:color w:val="auto"/>
                      <w:szCs w:val="21"/>
                    </w:rPr>
                  </w:pPr>
                  <w:r>
                    <w:rPr>
                      <w:rFonts w:hint="eastAsia"/>
                      <w:color w:val="auto"/>
                      <w:szCs w:val="21"/>
                    </w:rPr>
                    <w:t>西50</w:t>
                  </w:r>
                </w:p>
              </w:tc>
              <w:tc>
                <w:tcPr>
                  <w:tcW w:w="782" w:type="dxa"/>
                  <w:vAlign w:val="center"/>
                </w:tcPr>
                <w:p w14:paraId="0429D3CB">
                  <w:pPr>
                    <w:widowControl/>
                    <w:jc w:val="center"/>
                    <w:textAlignment w:val="center"/>
                    <w:rPr>
                      <w:color w:val="auto"/>
                      <w:szCs w:val="21"/>
                    </w:rPr>
                  </w:pPr>
                  <w:r>
                    <w:rPr>
                      <w:color w:val="auto"/>
                      <w:kern w:val="0"/>
                      <w:szCs w:val="21"/>
                      <w:lang w:bidi="ar"/>
                    </w:rPr>
                    <w:t>46.0</w:t>
                  </w:r>
                </w:p>
              </w:tc>
              <w:tc>
                <w:tcPr>
                  <w:tcW w:w="741" w:type="dxa"/>
                  <w:vMerge w:val="continue"/>
                  <w:vAlign w:val="center"/>
                </w:tcPr>
                <w:p w14:paraId="5586820D">
                  <w:pPr>
                    <w:snapToGrid w:val="0"/>
                    <w:jc w:val="center"/>
                    <w:rPr>
                      <w:color w:val="auto"/>
                      <w:szCs w:val="21"/>
                    </w:rPr>
                  </w:pPr>
                </w:p>
              </w:tc>
              <w:tc>
                <w:tcPr>
                  <w:tcW w:w="893" w:type="dxa"/>
                  <w:vMerge w:val="continue"/>
                  <w:vAlign w:val="center"/>
                </w:tcPr>
                <w:p w14:paraId="0019A511">
                  <w:pPr>
                    <w:snapToGrid w:val="0"/>
                    <w:jc w:val="center"/>
                    <w:rPr>
                      <w:color w:val="auto"/>
                      <w:szCs w:val="21"/>
                    </w:rPr>
                  </w:pPr>
                </w:p>
              </w:tc>
              <w:tc>
                <w:tcPr>
                  <w:tcW w:w="693" w:type="dxa"/>
                  <w:vAlign w:val="center"/>
                </w:tcPr>
                <w:p w14:paraId="4B2CE1F2">
                  <w:pPr>
                    <w:widowControl/>
                    <w:jc w:val="center"/>
                    <w:textAlignment w:val="center"/>
                    <w:rPr>
                      <w:color w:val="auto"/>
                      <w:szCs w:val="21"/>
                    </w:rPr>
                  </w:pPr>
                  <w:r>
                    <w:rPr>
                      <w:color w:val="auto"/>
                      <w:kern w:val="0"/>
                      <w:szCs w:val="21"/>
                      <w:lang w:bidi="ar"/>
                    </w:rPr>
                    <w:t>26.0</w:t>
                  </w:r>
                </w:p>
              </w:tc>
              <w:tc>
                <w:tcPr>
                  <w:tcW w:w="1260" w:type="dxa"/>
                  <w:vMerge w:val="continue"/>
                  <w:vAlign w:val="center"/>
                </w:tcPr>
                <w:p w14:paraId="749EB0BB">
                  <w:pPr>
                    <w:snapToGrid w:val="0"/>
                    <w:jc w:val="center"/>
                    <w:rPr>
                      <w:color w:val="auto"/>
                      <w:szCs w:val="21"/>
                    </w:rPr>
                  </w:pPr>
                </w:p>
              </w:tc>
            </w:tr>
            <w:tr w14:paraId="31745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vMerge w:val="restart"/>
                  <w:vAlign w:val="center"/>
                </w:tcPr>
                <w:p w14:paraId="36B2C373">
                  <w:pPr>
                    <w:widowControl/>
                    <w:jc w:val="center"/>
                    <w:textAlignment w:val="center"/>
                    <w:rPr>
                      <w:color w:val="auto"/>
                      <w:szCs w:val="21"/>
                    </w:rPr>
                  </w:pPr>
                  <w:r>
                    <w:rPr>
                      <w:color w:val="auto"/>
                      <w:kern w:val="0"/>
                      <w:szCs w:val="21"/>
                      <w:lang w:bidi="ar"/>
                    </w:rPr>
                    <w:t>9</w:t>
                  </w:r>
                </w:p>
              </w:tc>
              <w:tc>
                <w:tcPr>
                  <w:tcW w:w="786" w:type="dxa"/>
                  <w:vMerge w:val="continue"/>
                  <w:vAlign w:val="center"/>
                </w:tcPr>
                <w:p w14:paraId="2EC7D8ED">
                  <w:pPr>
                    <w:snapToGrid w:val="0"/>
                    <w:jc w:val="center"/>
                    <w:rPr>
                      <w:b/>
                      <w:bCs/>
                      <w:color w:val="auto"/>
                      <w:szCs w:val="21"/>
                    </w:rPr>
                  </w:pPr>
                </w:p>
              </w:tc>
              <w:tc>
                <w:tcPr>
                  <w:tcW w:w="1383" w:type="dxa"/>
                  <w:vMerge w:val="restart"/>
                  <w:vAlign w:val="center"/>
                </w:tcPr>
                <w:p w14:paraId="0AB8974A">
                  <w:pPr>
                    <w:autoSpaceDE w:val="0"/>
                    <w:autoSpaceDN w:val="0"/>
                    <w:adjustRightInd w:val="0"/>
                    <w:snapToGrid w:val="0"/>
                    <w:jc w:val="center"/>
                    <w:rPr>
                      <w:color w:val="auto"/>
                      <w:kern w:val="0"/>
                      <w:szCs w:val="21"/>
                    </w:rPr>
                  </w:pPr>
                  <w:r>
                    <w:rPr>
                      <w:rFonts w:hint="eastAsia"/>
                      <w:color w:val="auto"/>
                      <w:kern w:val="0"/>
                      <w:szCs w:val="21"/>
                    </w:rPr>
                    <w:t>立式单轴木工镂铣机</w:t>
                  </w:r>
                </w:p>
              </w:tc>
              <w:tc>
                <w:tcPr>
                  <w:tcW w:w="1494" w:type="dxa"/>
                  <w:vMerge w:val="restart"/>
                  <w:vAlign w:val="center"/>
                </w:tcPr>
                <w:p w14:paraId="08DA180D">
                  <w:pPr>
                    <w:autoSpaceDE w:val="0"/>
                    <w:autoSpaceDN w:val="0"/>
                    <w:adjustRightInd w:val="0"/>
                    <w:snapToGrid w:val="0"/>
                    <w:jc w:val="center"/>
                    <w:rPr>
                      <w:b/>
                      <w:bCs/>
                      <w:color w:val="auto"/>
                      <w:szCs w:val="21"/>
                    </w:rPr>
                  </w:pPr>
                  <w:r>
                    <w:rPr>
                      <w:rFonts w:hint="eastAsia"/>
                      <w:color w:val="auto"/>
                      <w:szCs w:val="21"/>
                    </w:rPr>
                    <w:t>KT-S</w:t>
                  </w:r>
                </w:p>
              </w:tc>
              <w:tc>
                <w:tcPr>
                  <w:tcW w:w="1081" w:type="dxa"/>
                  <w:vMerge w:val="restart"/>
                  <w:vAlign w:val="center"/>
                </w:tcPr>
                <w:p w14:paraId="679E54ED">
                  <w:pPr>
                    <w:widowControl/>
                    <w:jc w:val="center"/>
                    <w:textAlignment w:val="center"/>
                    <w:rPr>
                      <w:bCs/>
                      <w:color w:val="auto"/>
                      <w:szCs w:val="21"/>
                    </w:rPr>
                  </w:pPr>
                  <w:r>
                    <w:rPr>
                      <w:color w:val="auto"/>
                      <w:kern w:val="0"/>
                      <w:szCs w:val="21"/>
                      <w:lang w:bidi="ar"/>
                    </w:rPr>
                    <w:t>75</w:t>
                  </w:r>
                </w:p>
              </w:tc>
              <w:tc>
                <w:tcPr>
                  <w:tcW w:w="768" w:type="dxa"/>
                  <w:vMerge w:val="continue"/>
                  <w:vAlign w:val="center"/>
                </w:tcPr>
                <w:p w14:paraId="6BADDF0A">
                  <w:pPr>
                    <w:snapToGrid w:val="0"/>
                    <w:jc w:val="center"/>
                    <w:rPr>
                      <w:b/>
                      <w:bCs/>
                      <w:color w:val="auto"/>
                      <w:szCs w:val="21"/>
                    </w:rPr>
                  </w:pPr>
                </w:p>
              </w:tc>
              <w:tc>
                <w:tcPr>
                  <w:tcW w:w="617" w:type="dxa"/>
                  <w:vMerge w:val="restart"/>
                  <w:vAlign w:val="center"/>
                </w:tcPr>
                <w:p w14:paraId="65B33ADD">
                  <w:pPr>
                    <w:widowControl/>
                    <w:jc w:val="center"/>
                    <w:textAlignment w:val="center"/>
                    <w:rPr>
                      <w:color w:val="auto"/>
                      <w:szCs w:val="21"/>
                    </w:rPr>
                  </w:pPr>
                  <w:r>
                    <w:rPr>
                      <w:color w:val="auto"/>
                      <w:kern w:val="0"/>
                      <w:szCs w:val="21"/>
                      <w:lang w:bidi="ar"/>
                    </w:rPr>
                    <w:t>7</w:t>
                  </w:r>
                </w:p>
              </w:tc>
              <w:tc>
                <w:tcPr>
                  <w:tcW w:w="617" w:type="dxa"/>
                  <w:vMerge w:val="restart"/>
                  <w:vAlign w:val="center"/>
                </w:tcPr>
                <w:p w14:paraId="24E6585A">
                  <w:pPr>
                    <w:widowControl/>
                    <w:jc w:val="center"/>
                    <w:textAlignment w:val="center"/>
                    <w:rPr>
                      <w:color w:val="auto"/>
                      <w:szCs w:val="21"/>
                    </w:rPr>
                  </w:pPr>
                  <w:r>
                    <w:rPr>
                      <w:color w:val="auto"/>
                      <w:kern w:val="0"/>
                      <w:szCs w:val="21"/>
                      <w:lang w:bidi="ar"/>
                    </w:rPr>
                    <w:t>-46</w:t>
                  </w:r>
                </w:p>
              </w:tc>
              <w:tc>
                <w:tcPr>
                  <w:tcW w:w="623" w:type="dxa"/>
                  <w:vMerge w:val="restart"/>
                  <w:vAlign w:val="center"/>
                </w:tcPr>
                <w:p w14:paraId="683D27CE">
                  <w:pPr>
                    <w:widowControl/>
                    <w:jc w:val="center"/>
                    <w:textAlignment w:val="center"/>
                    <w:rPr>
                      <w:color w:val="auto"/>
                      <w:szCs w:val="21"/>
                    </w:rPr>
                  </w:pPr>
                  <w:r>
                    <w:rPr>
                      <w:color w:val="auto"/>
                      <w:kern w:val="0"/>
                      <w:szCs w:val="21"/>
                      <w:lang w:bidi="ar"/>
                    </w:rPr>
                    <w:t>1.2</w:t>
                  </w:r>
                </w:p>
              </w:tc>
              <w:tc>
                <w:tcPr>
                  <w:tcW w:w="1171" w:type="dxa"/>
                  <w:vAlign w:val="center"/>
                </w:tcPr>
                <w:p w14:paraId="1BE3D937">
                  <w:pPr>
                    <w:snapToGrid w:val="0"/>
                    <w:jc w:val="center"/>
                    <w:rPr>
                      <w:color w:val="auto"/>
                      <w:szCs w:val="21"/>
                    </w:rPr>
                  </w:pPr>
                  <w:r>
                    <w:rPr>
                      <w:rFonts w:hint="eastAsia"/>
                      <w:color w:val="auto"/>
                      <w:szCs w:val="21"/>
                    </w:rPr>
                    <w:t>北30</w:t>
                  </w:r>
                </w:p>
              </w:tc>
              <w:tc>
                <w:tcPr>
                  <w:tcW w:w="782" w:type="dxa"/>
                  <w:vAlign w:val="center"/>
                </w:tcPr>
                <w:p w14:paraId="11C08057">
                  <w:pPr>
                    <w:widowControl/>
                    <w:jc w:val="center"/>
                    <w:textAlignment w:val="center"/>
                    <w:rPr>
                      <w:color w:val="auto"/>
                      <w:szCs w:val="21"/>
                    </w:rPr>
                  </w:pPr>
                  <w:r>
                    <w:rPr>
                      <w:color w:val="auto"/>
                      <w:kern w:val="0"/>
                      <w:szCs w:val="21"/>
                      <w:lang w:bidi="ar"/>
                    </w:rPr>
                    <w:t>45.5</w:t>
                  </w:r>
                </w:p>
              </w:tc>
              <w:tc>
                <w:tcPr>
                  <w:tcW w:w="741" w:type="dxa"/>
                  <w:vMerge w:val="continue"/>
                  <w:vAlign w:val="center"/>
                </w:tcPr>
                <w:p w14:paraId="6D7F679B">
                  <w:pPr>
                    <w:snapToGrid w:val="0"/>
                    <w:jc w:val="center"/>
                    <w:rPr>
                      <w:color w:val="auto"/>
                      <w:szCs w:val="21"/>
                    </w:rPr>
                  </w:pPr>
                </w:p>
              </w:tc>
              <w:tc>
                <w:tcPr>
                  <w:tcW w:w="893" w:type="dxa"/>
                  <w:vMerge w:val="continue"/>
                  <w:vAlign w:val="center"/>
                </w:tcPr>
                <w:p w14:paraId="41CC26F2">
                  <w:pPr>
                    <w:snapToGrid w:val="0"/>
                    <w:jc w:val="center"/>
                    <w:rPr>
                      <w:color w:val="auto"/>
                      <w:szCs w:val="21"/>
                    </w:rPr>
                  </w:pPr>
                </w:p>
              </w:tc>
              <w:tc>
                <w:tcPr>
                  <w:tcW w:w="693" w:type="dxa"/>
                  <w:vAlign w:val="center"/>
                </w:tcPr>
                <w:p w14:paraId="005551B9">
                  <w:pPr>
                    <w:widowControl/>
                    <w:jc w:val="center"/>
                    <w:textAlignment w:val="center"/>
                    <w:rPr>
                      <w:color w:val="auto"/>
                      <w:szCs w:val="21"/>
                    </w:rPr>
                  </w:pPr>
                  <w:r>
                    <w:rPr>
                      <w:color w:val="auto"/>
                      <w:kern w:val="0"/>
                      <w:szCs w:val="21"/>
                      <w:lang w:bidi="ar"/>
                    </w:rPr>
                    <w:t>25.5</w:t>
                  </w:r>
                </w:p>
              </w:tc>
              <w:tc>
                <w:tcPr>
                  <w:tcW w:w="1260" w:type="dxa"/>
                  <w:vMerge w:val="restart"/>
                  <w:vAlign w:val="center"/>
                </w:tcPr>
                <w:p w14:paraId="005129DF">
                  <w:pPr>
                    <w:snapToGrid w:val="0"/>
                    <w:jc w:val="center"/>
                    <w:rPr>
                      <w:color w:val="auto"/>
                      <w:szCs w:val="21"/>
                    </w:rPr>
                  </w:pPr>
                  <w:r>
                    <w:rPr>
                      <w:color w:val="auto"/>
                      <w:szCs w:val="21"/>
                    </w:rPr>
                    <w:t>1</w:t>
                  </w:r>
                </w:p>
              </w:tc>
            </w:tr>
            <w:tr w14:paraId="3D550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vMerge w:val="continue"/>
                  <w:vAlign w:val="center"/>
                </w:tcPr>
                <w:p w14:paraId="131BB9E9">
                  <w:pPr>
                    <w:snapToGrid w:val="0"/>
                    <w:jc w:val="center"/>
                    <w:rPr>
                      <w:color w:val="auto"/>
                      <w:szCs w:val="21"/>
                    </w:rPr>
                  </w:pPr>
                </w:p>
              </w:tc>
              <w:tc>
                <w:tcPr>
                  <w:tcW w:w="786" w:type="dxa"/>
                  <w:vMerge w:val="continue"/>
                  <w:vAlign w:val="center"/>
                </w:tcPr>
                <w:p w14:paraId="2A860472">
                  <w:pPr>
                    <w:snapToGrid w:val="0"/>
                    <w:jc w:val="center"/>
                    <w:rPr>
                      <w:b/>
                      <w:bCs/>
                      <w:color w:val="auto"/>
                      <w:szCs w:val="21"/>
                    </w:rPr>
                  </w:pPr>
                </w:p>
              </w:tc>
              <w:tc>
                <w:tcPr>
                  <w:tcW w:w="1383" w:type="dxa"/>
                  <w:vMerge w:val="continue"/>
                  <w:vAlign w:val="center"/>
                </w:tcPr>
                <w:p w14:paraId="69D18AE9">
                  <w:pPr>
                    <w:adjustRightInd w:val="0"/>
                    <w:snapToGrid w:val="0"/>
                    <w:jc w:val="center"/>
                    <w:rPr>
                      <w:color w:val="auto"/>
                      <w:kern w:val="0"/>
                      <w:szCs w:val="21"/>
                    </w:rPr>
                  </w:pPr>
                </w:p>
              </w:tc>
              <w:tc>
                <w:tcPr>
                  <w:tcW w:w="1494" w:type="dxa"/>
                  <w:vMerge w:val="continue"/>
                  <w:vAlign w:val="center"/>
                </w:tcPr>
                <w:p w14:paraId="611FAFF8">
                  <w:pPr>
                    <w:snapToGrid w:val="0"/>
                    <w:jc w:val="center"/>
                    <w:rPr>
                      <w:b/>
                      <w:bCs/>
                      <w:color w:val="auto"/>
                      <w:szCs w:val="21"/>
                    </w:rPr>
                  </w:pPr>
                </w:p>
              </w:tc>
              <w:tc>
                <w:tcPr>
                  <w:tcW w:w="1081" w:type="dxa"/>
                  <w:vMerge w:val="continue"/>
                  <w:vAlign w:val="center"/>
                </w:tcPr>
                <w:p w14:paraId="0E21269A">
                  <w:pPr>
                    <w:adjustRightInd w:val="0"/>
                    <w:snapToGrid w:val="0"/>
                    <w:jc w:val="center"/>
                    <w:rPr>
                      <w:bCs/>
                      <w:color w:val="auto"/>
                      <w:szCs w:val="21"/>
                    </w:rPr>
                  </w:pPr>
                </w:p>
              </w:tc>
              <w:tc>
                <w:tcPr>
                  <w:tcW w:w="768" w:type="dxa"/>
                  <w:vMerge w:val="continue"/>
                  <w:vAlign w:val="center"/>
                </w:tcPr>
                <w:p w14:paraId="73CEEFF2">
                  <w:pPr>
                    <w:snapToGrid w:val="0"/>
                    <w:jc w:val="center"/>
                    <w:rPr>
                      <w:b/>
                      <w:bCs/>
                      <w:color w:val="auto"/>
                      <w:szCs w:val="21"/>
                    </w:rPr>
                  </w:pPr>
                </w:p>
              </w:tc>
              <w:tc>
                <w:tcPr>
                  <w:tcW w:w="617" w:type="dxa"/>
                  <w:vMerge w:val="continue"/>
                  <w:vAlign w:val="center"/>
                </w:tcPr>
                <w:p w14:paraId="43EB1906">
                  <w:pPr>
                    <w:snapToGrid w:val="0"/>
                    <w:jc w:val="center"/>
                    <w:rPr>
                      <w:color w:val="auto"/>
                      <w:szCs w:val="21"/>
                    </w:rPr>
                  </w:pPr>
                </w:p>
              </w:tc>
              <w:tc>
                <w:tcPr>
                  <w:tcW w:w="617" w:type="dxa"/>
                  <w:vMerge w:val="continue"/>
                  <w:vAlign w:val="center"/>
                </w:tcPr>
                <w:p w14:paraId="302277B1">
                  <w:pPr>
                    <w:snapToGrid w:val="0"/>
                    <w:jc w:val="center"/>
                    <w:rPr>
                      <w:color w:val="auto"/>
                      <w:szCs w:val="21"/>
                    </w:rPr>
                  </w:pPr>
                </w:p>
              </w:tc>
              <w:tc>
                <w:tcPr>
                  <w:tcW w:w="623" w:type="dxa"/>
                  <w:vMerge w:val="continue"/>
                  <w:vAlign w:val="center"/>
                </w:tcPr>
                <w:p w14:paraId="3D9C0D44">
                  <w:pPr>
                    <w:snapToGrid w:val="0"/>
                    <w:jc w:val="center"/>
                    <w:rPr>
                      <w:color w:val="auto"/>
                      <w:szCs w:val="21"/>
                    </w:rPr>
                  </w:pPr>
                </w:p>
              </w:tc>
              <w:tc>
                <w:tcPr>
                  <w:tcW w:w="1171" w:type="dxa"/>
                  <w:vAlign w:val="center"/>
                </w:tcPr>
                <w:p w14:paraId="5539C553">
                  <w:pPr>
                    <w:snapToGrid w:val="0"/>
                    <w:jc w:val="center"/>
                    <w:rPr>
                      <w:color w:val="auto"/>
                      <w:szCs w:val="21"/>
                    </w:rPr>
                  </w:pPr>
                  <w:r>
                    <w:rPr>
                      <w:rFonts w:hint="eastAsia"/>
                      <w:color w:val="auto"/>
                      <w:szCs w:val="21"/>
                    </w:rPr>
                    <w:t>南70</w:t>
                  </w:r>
                </w:p>
              </w:tc>
              <w:tc>
                <w:tcPr>
                  <w:tcW w:w="782" w:type="dxa"/>
                  <w:vAlign w:val="center"/>
                </w:tcPr>
                <w:p w14:paraId="0F0D97C7">
                  <w:pPr>
                    <w:widowControl/>
                    <w:jc w:val="center"/>
                    <w:textAlignment w:val="center"/>
                    <w:rPr>
                      <w:color w:val="auto"/>
                      <w:szCs w:val="21"/>
                    </w:rPr>
                  </w:pPr>
                  <w:r>
                    <w:rPr>
                      <w:color w:val="auto"/>
                      <w:kern w:val="0"/>
                      <w:szCs w:val="21"/>
                      <w:lang w:bidi="ar"/>
                    </w:rPr>
                    <w:t>38.1</w:t>
                  </w:r>
                </w:p>
              </w:tc>
              <w:tc>
                <w:tcPr>
                  <w:tcW w:w="741" w:type="dxa"/>
                  <w:vMerge w:val="continue"/>
                  <w:vAlign w:val="center"/>
                </w:tcPr>
                <w:p w14:paraId="2995AFDB">
                  <w:pPr>
                    <w:snapToGrid w:val="0"/>
                    <w:jc w:val="center"/>
                    <w:rPr>
                      <w:color w:val="auto"/>
                      <w:szCs w:val="21"/>
                    </w:rPr>
                  </w:pPr>
                </w:p>
              </w:tc>
              <w:tc>
                <w:tcPr>
                  <w:tcW w:w="893" w:type="dxa"/>
                  <w:vMerge w:val="continue"/>
                  <w:vAlign w:val="center"/>
                </w:tcPr>
                <w:p w14:paraId="2A9BB48D">
                  <w:pPr>
                    <w:snapToGrid w:val="0"/>
                    <w:jc w:val="center"/>
                    <w:rPr>
                      <w:color w:val="auto"/>
                      <w:szCs w:val="21"/>
                    </w:rPr>
                  </w:pPr>
                </w:p>
              </w:tc>
              <w:tc>
                <w:tcPr>
                  <w:tcW w:w="693" w:type="dxa"/>
                  <w:vAlign w:val="center"/>
                </w:tcPr>
                <w:p w14:paraId="7A351A99">
                  <w:pPr>
                    <w:widowControl/>
                    <w:jc w:val="center"/>
                    <w:textAlignment w:val="center"/>
                    <w:rPr>
                      <w:color w:val="auto"/>
                      <w:szCs w:val="21"/>
                    </w:rPr>
                  </w:pPr>
                  <w:r>
                    <w:rPr>
                      <w:color w:val="auto"/>
                      <w:kern w:val="0"/>
                      <w:szCs w:val="21"/>
                      <w:lang w:bidi="ar"/>
                    </w:rPr>
                    <w:t>18.1</w:t>
                  </w:r>
                </w:p>
              </w:tc>
              <w:tc>
                <w:tcPr>
                  <w:tcW w:w="1260" w:type="dxa"/>
                  <w:vMerge w:val="continue"/>
                  <w:vAlign w:val="center"/>
                </w:tcPr>
                <w:p w14:paraId="76BF21AF">
                  <w:pPr>
                    <w:snapToGrid w:val="0"/>
                    <w:jc w:val="center"/>
                    <w:rPr>
                      <w:color w:val="auto"/>
                      <w:szCs w:val="21"/>
                    </w:rPr>
                  </w:pPr>
                </w:p>
              </w:tc>
            </w:tr>
            <w:tr w14:paraId="2E2D5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vMerge w:val="continue"/>
                  <w:vAlign w:val="center"/>
                </w:tcPr>
                <w:p w14:paraId="4D7B3E39">
                  <w:pPr>
                    <w:snapToGrid w:val="0"/>
                    <w:jc w:val="center"/>
                    <w:rPr>
                      <w:color w:val="auto"/>
                      <w:szCs w:val="21"/>
                    </w:rPr>
                  </w:pPr>
                </w:p>
              </w:tc>
              <w:tc>
                <w:tcPr>
                  <w:tcW w:w="786" w:type="dxa"/>
                  <w:vMerge w:val="continue"/>
                  <w:vAlign w:val="center"/>
                </w:tcPr>
                <w:p w14:paraId="2F3F688F">
                  <w:pPr>
                    <w:snapToGrid w:val="0"/>
                    <w:jc w:val="center"/>
                    <w:rPr>
                      <w:b/>
                      <w:bCs/>
                      <w:color w:val="auto"/>
                      <w:szCs w:val="21"/>
                    </w:rPr>
                  </w:pPr>
                </w:p>
              </w:tc>
              <w:tc>
                <w:tcPr>
                  <w:tcW w:w="1383" w:type="dxa"/>
                  <w:vMerge w:val="continue"/>
                  <w:vAlign w:val="center"/>
                </w:tcPr>
                <w:p w14:paraId="7C343208">
                  <w:pPr>
                    <w:adjustRightInd w:val="0"/>
                    <w:snapToGrid w:val="0"/>
                    <w:jc w:val="center"/>
                    <w:rPr>
                      <w:color w:val="auto"/>
                      <w:kern w:val="0"/>
                      <w:szCs w:val="21"/>
                    </w:rPr>
                  </w:pPr>
                </w:p>
              </w:tc>
              <w:tc>
                <w:tcPr>
                  <w:tcW w:w="1494" w:type="dxa"/>
                  <w:vMerge w:val="continue"/>
                  <w:vAlign w:val="center"/>
                </w:tcPr>
                <w:p w14:paraId="06B74ABA">
                  <w:pPr>
                    <w:snapToGrid w:val="0"/>
                    <w:jc w:val="center"/>
                    <w:rPr>
                      <w:b/>
                      <w:bCs/>
                      <w:color w:val="auto"/>
                      <w:szCs w:val="21"/>
                    </w:rPr>
                  </w:pPr>
                </w:p>
              </w:tc>
              <w:tc>
                <w:tcPr>
                  <w:tcW w:w="1081" w:type="dxa"/>
                  <w:vMerge w:val="continue"/>
                  <w:vAlign w:val="center"/>
                </w:tcPr>
                <w:p w14:paraId="0710F014">
                  <w:pPr>
                    <w:adjustRightInd w:val="0"/>
                    <w:snapToGrid w:val="0"/>
                    <w:jc w:val="center"/>
                    <w:rPr>
                      <w:bCs/>
                      <w:color w:val="auto"/>
                      <w:szCs w:val="21"/>
                    </w:rPr>
                  </w:pPr>
                </w:p>
              </w:tc>
              <w:tc>
                <w:tcPr>
                  <w:tcW w:w="768" w:type="dxa"/>
                  <w:vMerge w:val="continue"/>
                  <w:vAlign w:val="center"/>
                </w:tcPr>
                <w:p w14:paraId="5560D33D">
                  <w:pPr>
                    <w:snapToGrid w:val="0"/>
                    <w:jc w:val="center"/>
                    <w:rPr>
                      <w:b/>
                      <w:bCs/>
                      <w:color w:val="auto"/>
                      <w:szCs w:val="21"/>
                    </w:rPr>
                  </w:pPr>
                </w:p>
              </w:tc>
              <w:tc>
                <w:tcPr>
                  <w:tcW w:w="617" w:type="dxa"/>
                  <w:vMerge w:val="continue"/>
                  <w:vAlign w:val="center"/>
                </w:tcPr>
                <w:p w14:paraId="77CD13BC">
                  <w:pPr>
                    <w:snapToGrid w:val="0"/>
                    <w:jc w:val="center"/>
                    <w:rPr>
                      <w:color w:val="auto"/>
                      <w:szCs w:val="21"/>
                    </w:rPr>
                  </w:pPr>
                </w:p>
              </w:tc>
              <w:tc>
                <w:tcPr>
                  <w:tcW w:w="617" w:type="dxa"/>
                  <w:vMerge w:val="continue"/>
                  <w:vAlign w:val="center"/>
                </w:tcPr>
                <w:p w14:paraId="0ACE4EA4">
                  <w:pPr>
                    <w:snapToGrid w:val="0"/>
                    <w:jc w:val="center"/>
                    <w:rPr>
                      <w:color w:val="auto"/>
                      <w:szCs w:val="21"/>
                    </w:rPr>
                  </w:pPr>
                </w:p>
              </w:tc>
              <w:tc>
                <w:tcPr>
                  <w:tcW w:w="623" w:type="dxa"/>
                  <w:vMerge w:val="continue"/>
                  <w:vAlign w:val="center"/>
                </w:tcPr>
                <w:p w14:paraId="5CBF60C6">
                  <w:pPr>
                    <w:snapToGrid w:val="0"/>
                    <w:jc w:val="center"/>
                    <w:rPr>
                      <w:color w:val="auto"/>
                      <w:szCs w:val="21"/>
                    </w:rPr>
                  </w:pPr>
                </w:p>
              </w:tc>
              <w:tc>
                <w:tcPr>
                  <w:tcW w:w="1171" w:type="dxa"/>
                  <w:vAlign w:val="center"/>
                </w:tcPr>
                <w:p w14:paraId="03524987">
                  <w:pPr>
                    <w:snapToGrid w:val="0"/>
                    <w:jc w:val="center"/>
                    <w:rPr>
                      <w:color w:val="auto"/>
                      <w:szCs w:val="21"/>
                    </w:rPr>
                  </w:pPr>
                  <w:r>
                    <w:rPr>
                      <w:rFonts w:hint="eastAsia"/>
                      <w:color w:val="auto"/>
                      <w:szCs w:val="21"/>
                    </w:rPr>
                    <w:t>东18</w:t>
                  </w:r>
                </w:p>
              </w:tc>
              <w:tc>
                <w:tcPr>
                  <w:tcW w:w="782" w:type="dxa"/>
                  <w:vAlign w:val="center"/>
                </w:tcPr>
                <w:p w14:paraId="01C6117A">
                  <w:pPr>
                    <w:widowControl/>
                    <w:jc w:val="center"/>
                    <w:textAlignment w:val="center"/>
                    <w:rPr>
                      <w:color w:val="auto"/>
                      <w:szCs w:val="21"/>
                    </w:rPr>
                  </w:pPr>
                  <w:r>
                    <w:rPr>
                      <w:color w:val="auto"/>
                      <w:kern w:val="0"/>
                      <w:szCs w:val="21"/>
                      <w:lang w:bidi="ar"/>
                    </w:rPr>
                    <w:t>49.9</w:t>
                  </w:r>
                </w:p>
              </w:tc>
              <w:tc>
                <w:tcPr>
                  <w:tcW w:w="741" w:type="dxa"/>
                  <w:vMerge w:val="continue"/>
                  <w:vAlign w:val="center"/>
                </w:tcPr>
                <w:p w14:paraId="56CD2C80">
                  <w:pPr>
                    <w:snapToGrid w:val="0"/>
                    <w:jc w:val="center"/>
                    <w:rPr>
                      <w:color w:val="auto"/>
                      <w:szCs w:val="21"/>
                    </w:rPr>
                  </w:pPr>
                </w:p>
              </w:tc>
              <w:tc>
                <w:tcPr>
                  <w:tcW w:w="893" w:type="dxa"/>
                  <w:vMerge w:val="continue"/>
                  <w:vAlign w:val="center"/>
                </w:tcPr>
                <w:p w14:paraId="22EF0BBC">
                  <w:pPr>
                    <w:snapToGrid w:val="0"/>
                    <w:jc w:val="center"/>
                    <w:rPr>
                      <w:color w:val="auto"/>
                      <w:szCs w:val="21"/>
                    </w:rPr>
                  </w:pPr>
                </w:p>
              </w:tc>
              <w:tc>
                <w:tcPr>
                  <w:tcW w:w="693" w:type="dxa"/>
                  <w:vAlign w:val="center"/>
                </w:tcPr>
                <w:p w14:paraId="421407FB">
                  <w:pPr>
                    <w:widowControl/>
                    <w:jc w:val="center"/>
                    <w:textAlignment w:val="center"/>
                    <w:rPr>
                      <w:color w:val="auto"/>
                      <w:szCs w:val="21"/>
                    </w:rPr>
                  </w:pPr>
                  <w:r>
                    <w:rPr>
                      <w:color w:val="auto"/>
                      <w:kern w:val="0"/>
                      <w:szCs w:val="21"/>
                      <w:lang w:bidi="ar"/>
                    </w:rPr>
                    <w:t>29.9</w:t>
                  </w:r>
                </w:p>
              </w:tc>
              <w:tc>
                <w:tcPr>
                  <w:tcW w:w="1260" w:type="dxa"/>
                  <w:vMerge w:val="continue"/>
                  <w:vAlign w:val="center"/>
                </w:tcPr>
                <w:p w14:paraId="3DA2E01E">
                  <w:pPr>
                    <w:snapToGrid w:val="0"/>
                    <w:jc w:val="center"/>
                    <w:rPr>
                      <w:color w:val="auto"/>
                      <w:szCs w:val="21"/>
                    </w:rPr>
                  </w:pPr>
                </w:p>
              </w:tc>
            </w:tr>
            <w:tr w14:paraId="62FBC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vMerge w:val="continue"/>
                  <w:vAlign w:val="center"/>
                </w:tcPr>
                <w:p w14:paraId="64758939">
                  <w:pPr>
                    <w:snapToGrid w:val="0"/>
                    <w:jc w:val="center"/>
                    <w:rPr>
                      <w:color w:val="auto"/>
                      <w:szCs w:val="21"/>
                    </w:rPr>
                  </w:pPr>
                </w:p>
              </w:tc>
              <w:tc>
                <w:tcPr>
                  <w:tcW w:w="786" w:type="dxa"/>
                  <w:vMerge w:val="continue"/>
                  <w:vAlign w:val="center"/>
                </w:tcPr>
                <w:p w14:paraId="09BC07D5">
                  <w:pPr>
                    <w:snapToGrid w:val="0"/>
                    <w:jc w:val="center"/>
                    <w:rPr>
                      <w:b/>
                      <w:bCs/>
                      <w:color w:val="auto"/>
                      <w:szCs w:val="21"/>
                    </w:rPr>
                  </w:pPr>
                </w:p>
              </w:tc>
              <w:tc>
                <w:tcPr>
                  <w:tcW w:w="1383" w:type="dxa"/>
                  <w:vMerge w:val="continue"/>
                  <w:vAlign w:val="center"/>
                </w:tcPr>
                <w:p w14:paraId="6A77D2B1">
                  <w:pPr>
                    <w:adjustRightInd w:val="0"/>
                    <w:snapToGrid w:val="0"/>
                    <w:jc w:val="center"/>
                    <w:rPr>
                      <w:color w:val="auto"/>
                      <w:kern w:val="0"/>
                      <w:szCs w:val="21"/>
                    </w:rPr>
                  </w:pPr>
                </w:p>
              </w:tc>
              <w:tc>
                <w:tcPr>
                  <w:tcW w:w="1494" w:type="dxa"/>
                  <w:vMerge w:val="continue"/>
                  <w:vAlign w:val="center"/>
                </w:tcPr>
                <w:p w14:paraId="3B59420F">
                  <w:pPr>
                    <w:snapToGrid w:val="0"/>
                    <w:jc w:val="center"/>
                    <w:rPr>
                      <w:b/>
                      <w:bCs/>
                      <w:color w:val="auto"/>
                      <w:szCs w:val="21"/>
                    </w:rPr>
                  </w:pPr>
                </w:p>
              </w:tc>
              <w:tc>
                <w:tcPr>
                  <w:tcW w:w="1081" w:type="dxa"/>
                  <w:vMerge w:val="continue"/>
                  <w:vAlign w:val="center"/>
                </w:tcPr>
                <w:p w14:paraId="1524975D">
                  <w:pPr>
                    <w:adjustRightInd w:val="0"/>
                    <w:snapToGrid w:val="0"/>
                    <w:jc w:val="center"/>
                    <w:rPr>
                      <w:bCs/>
                      <w:color w:val="auto"/>
                      <w:szCs w:val="21"/>
                    </w:rPr>
                  </w:pPr>
                </w:p>
              </w:tc>
              <w:tc>
                <w:tcPr>
                  <w:tcW w:w="768" w:type="dxa"/>
                  <w:vMerge w:val="continue"/>
                  <w:vAlign w:val="center"/>
                </w:tcPr>
                <w:p w14:paraId="478816A5">
                  <w:pPr>
                    <w:snapToGrid w:val="0"/>
                    <w:jc w:val="center"/>
                    <w:rPr>
                      <w:b/>
                      <w:bCs/>
                      <w:color w:val="auto"/>
                      <w:szCs w:val="21"/>
                    </w:rPr>
                  </w:pPr>
                </w:p>
              </w:tc>
              <w:tc>
                <w:tcPr>
                  <w:tcW w:w="617" w:type="dxa"/>
                  <w:vMerge w:val="continue"/>
                  <w:vAlign w:val="center"/>
                </w:tcPr>
                <w:p w14:paraId="5C4B3D24">
                  <w:pPr>
                    <w:snapToGrid w:val="0"/>
                    <w:jc w:val="center"/>
                    <w:rPr>
                      <w:color w:val="auto"/>
                      <w:szCs w:val="21"/>
                    </w:rPr>
                  </w:pPr>
                </w:p>
              </w:tc>
              <w:tc>
                <w:tcPr>
                  <w:tcW w:w="617" w:type="dxa"/>
                  <w:vMerge w:val="continue"/>
                  <w:vAlign w:val="center"/>
                </w:tcPr>
                <w:p w14:paraId="71578073">
                  <w:pPr>
                    <w:snapToGrid w:val="0"/>
                    <w:jc w:val="center"/>
                    <w:rPr>
                      <w:color w:val="auto"/>
                      <w:szCs w:val="21"/>
                    </w:rPr>
                  </w:pPr>
                </w:p>
              </w:tc>
              <w:tc>
                <w:tcPr>
                  <w:tcW w:w="623" w:type="dxa"/>
                  <w:vMerge w:val="continue"/>
                  <w:vAlign w:val="center"/>
                </w:tcPr>
                <w:p w14:paraId="680E53CC">
                  <w:pPr>
                    <w:snapToGrid w:val="0"/>
                    <w:jc w:val="center"/>
                    <w:rPr>
                      <w:color w:val="auto"/>
                      <w:szCs w:val="21"/>
                    </w:rPr>
                  </w:pPr>
                </w:p>
              </w:tc>
              <w:tc>
                <w:tcPr>
                  <w:tcW w:w="1171" w:type="dxa"/>
                  <w:vAlign w:val="center"/>
                </w:tcPr>
                <w:p w14:paraId="3B064629">
                  <w:pPr>
                    <w:snapToGrid w:val="0"/>
                    <w:jc w:val="center"/>
                    <w:rPr>
                      <w:color w:val="auto"/>
                      <w:szCs w:val="21"/>
                    </w:rPr>
                  </w:pPr>
                  <w:r>
                    <w:rPr>
                      <w:rFonts w:hint="eastAsia"/>
                      <w:color w:val="auto"/>
                      <w:szCs w:val="21"/>
                    </w:rPr>
                    <w:t>西42</w:t>
                  </w:r>
                </w:p>
              </w:tc>
              <w:tc>
                <w:tcPr>
                  <w:tcW w:w="782" w:type="dxa"/>
                  <w:vAlign w:val="center"/>
                </w:tcPr>
                <w:p w14:paraId="0D0BD84E">
                  <w:pPr>
                    <w:widowControl/>
                    <w:jc w:val="center"/>
                    <w:textAlignment w:val="center"/>
                    <w:rPr>
                      <w:color w:val="auto"/>
                      <w:szCs w:val="21"/>
                    </w:rPr>
                  </w:pPr>
                  <w:r>
                    <w:rPr>
                      <w:color w:val="auto"/>
                      <w:kern w:val="0"/>
                      <w:szCs w:val="21"/>
                      <w:lang w:bidi="ar"/>
                    </w:rPr>
                    <w:t>42.5</w:t>
                  </w:r>
                </w:p>
              </w:tc>
              <w:tc>
                <w:tcPr>
                  <w:tcW w:w="741" w:type="dxa"/>
                  <w:vMerge w:val="continue"/>
                  <w:vAlign w:val="center"/>
                </w:tcPr>
                <w:p w14:paraId="46869C69">
                  <w:pPr>
                    <w:snapToGrid w:val="0"/>
                    <w:jc w:val="center"/>
                    <w:rPr>
                      <w:color w:val="auto"/>
                      <w:szCs w:val="21"/>
                    </w:rPr>
                  </w:pPr>
                </w:p>
              </w:tc>
              <w:tc>
                <w:tcPr>
                  <w:tcW w:w="893" w:type="dxa"/>
                  <w:vMerge w:val="continue"/>
                  <w:vAlign w:val="center"/>
                </w:tcPr>
                <w:p w14:paraId="1AAE7132">
                  <w:pPr>
                    <w:snapToGrid w:val="0"/>
                    <w:jc w:val="center"/>
                    <w:rPr>
                      <w:color w:val="auto"/>
                      <w:szCs w:val="21"/>
                    </w:rPr>
                  </w:pPr>
                </w:p>
              </w:tc>
              <w:tc>
                <w:tcPr>
                  <w:tcW w:w="693" w:type="dxa"/>
                  <w:vAlign w:val="center"/>
                </w:tcPr>
                <w:p w14:paraId="2F74CD25">
                  <w:pPr>
                    <w:widowControl/>
                    <w:jc w:val="center"/>
                    <w:textAlignment w:val="center"/>
                    <w:rPr>
                      <w:color w:val="auto"/>
                      <w:szCs w:val="21"/>
                    </w:rPr>
                  </w:pPr>
                  <w:r>
                    <w:rPr>
                      <w:color w:val="auto"/>
                      <w:kern w:val="0"/>
                      <w:szCs w:val="21"/>
                      <w:lang w:bidi="ar"/>
                    </w:rPr>
                    <w:t>22.5</w:t>
                  </w:r>
                </w:p>
              </w:tc>
              <w:tc>
                <w:tcPr>
                  <w:tcW w:w="1260" w:type="dxa"/>
                  <w:vMerge w:val="continue"/>
                  <w:vAlign w:val="center"/>
                </w:tcPr>
                <w:p w14:paraId="75B2E116">
                  <w:pPr>
                    <w:snapToGrid w:val="0"/>
                    <w:jc w:val="center"/>
                    <w:rPr>
                      <w:color w:val="auto"/>
                      <w:szCs w:val="21"/>
                    </w:rPr>
                  </w:pPr>
                </w:p>
              </w:tc>
            </w:tr>
            <w:tr w14:paraId="1D07A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vMerge w:val="restart"/>
                  <w:vAlign w:val="center"/>
                </w:tcPr>
                <w:p w14:paraId="53572ABD">
                  <w:pPr>
                    <w:widowControl/>
                    <w:jc w:val="center"/>
                    <w:textAlignment w:val="center"/>
                    <w:rPr>
                      <w:color w:val="auto"/>
                      <w:szCs w:val="21"/>
                    </w:rPr>
                  </w:pPr>
                  <w:r>
                    <w:rPr>
                      <w:color w:val="auto"/>
                      <w:kern w:val="0"/>
                      <w:szCs w:val="21"/>
                      <w:lang w:bidi="ar"/>
                    </w:rPr>
                    <w:t>10</w:t>
                  </w:r>
                </w:p>
              </w:tc>
              <w:tc>
                <w:tcPr>
                  <w:tcW w:w="786" w:type="dxa"/>
                  <w:vMerge w:val="continue"/>
                  <w:vAlign w:val="center"/>
                </w:tcPr>
                <w:p w14:paraId="2528C164">
                  <w:pPr>
                    <w:snapToGrid w:val="0"/>
                    <w:jc w:val="center"/>
                    <w:rPr>
                      <w:b/>
                      <w:bCs/>
                      <w:color w:val="auto"/>
                      <w:szCs w:val="21"/>
                    </w:rPr>
                  </w:pPr>
                </w:p>
              </w:tc>
              <w:tc>
                <w:tcPr>
                  <w:tcW w:w="1383" w:type="dxa"/>
                  <w:vMerge w:val="restart"/>
                  <w:vAlign w:val="center"/>
                </w:tcPr>
                <w:p w14:paraId="3FDF8C79">
                  <w:pPr>
                    <w:autoSpaceDE w:val="0"/>
                    <w:autoSpaceDN w:val="0"/>
                    <w:adjustRightInd w:val="0"/>
                    <w:snapToGrid w:val="0"/>
                    <w:jc w:val="center"/>
                    <w:rPr>
                      <w:color w:val="auto"/>
                      <w:kern w:val="0"/>
                      <w:szCs w:val="21"/>
                    </w:rPr>
                  </w:pPr>
                  <w:r>
                    <w:rPr>
                      <w:rFonts w:hint="eastAsia"/>
                      <w:color w:val="auto"/>
                      <w:kern w:val="0"/>
                      <w:szCs w:val="21"/>
                    </w:rPr>
                    <w:t>开槽机</w:t>
                  </w:r>
                </w:p>
              </w:tc>
              <w:tc>
                <w:tcPr>
                  <w:tcW w:w="1494" w:type="dxa"/>
                  <w:vMerge w:val="restart"/>
                  <w:vAlign w:val="center"/>
                </w:tcPr>
                <w:p w14:paraId="45DC651F">
                  <w:pPr>
                    <w:autoSpaceDE w:val="0"/>
                    <w:autoSpaceDN w:val="0"/>
                    <w:adjustRightInd w:val="0"/>
                    <w:snapToGrid w:val="0"/>
                    <w:jc w:val="center"/>
                    <w:rPr>
                      <w:b/>
                      <w:bCs/>
                      <w:color w:val="auto"/>
                      <w:szCs w:val="21"/>
                    </w:rPr>
                  </w:pPr>
                  <w:r>
                    <w:rPr>
                      <w:rFonts w:hint="eastAsia"/>
                      <w:color w:val="auto"/>
                      <w:szCs w:val="21"/>
                    </w:rPr>
                    <w:t>/</w:t>
                  </w:r>
                </w:p>
              </w:tc>
              <w:tc>
                <w:tcPr>
                  <w:tcW w:w="1081" w:type="dxa"/>
                  <w:vMerge w:val="restart"/>
                  <w:vAlign w:val="center"/>
                </w:tcPr>
                <w:p w14:paraId="2BC59059">
                  <w:pPr>
                    <w:widowControl/>
                    <w:jc w:val="center"/>
                    <w:textAlignment w:val="center"/>
                    <w:rPr>
                      <w:b/>
                      <w:bCs/>
                      <w:color w:val="auto"/>
                      <w:szCs w:val="21"/>
                    </w:rPr>
                  </w:pPr>
                  <w:r>
                    <w:rPr>
                      <w:rFonts w:hint="eastAsia"/>
                      <w:color w:val="auto"/>
                      <w:kern w:val="0"/>
                      <w:szCs w:val="21"/>
                      <w:lang w:bidi="ar"/>
                    </w:rPr>
                    <w:t>75</w:t>
                  </w:r>
                </w:p>
              </w:tc>
              <w:tc>
                <w:tcPr>
                  <w:tcW w:w="768" w:type="dxa"/>
                  <w:vMerge w:val="continue"/>
                  <w:vAlign w:val="center"/>
                </w:tcPr>
                <w:p w14:paraId="29E8A022">
                  <w:pPr>
                    <w:snapToGrid w:val="0"/>
                    <w:jc w:val="center"/>
                    <w:rPr>
                      <w:b/>
                      <w:bCs/>
                      <w:color w:val="auto"/>
                      <w:szCs w:val="21"/>
                    </w:rPr>
                  </w:pPr>
                </w:p>
              </w:tc>
              <w:tc>
                <w:tcPr>
                  <w:tcW w:w="617" w:type="dxa"/>
                  <w:vMerge w:val="restart"/>
                  <w:vAlign w:val="center"/>
                </w:tcPr>
                <w:p w14:paraId="3CE8A2F2">
                  <w:pPr>
                    <w:widowControl/>
                    <w:jc w:val="center"/>
                    <w:textAlignment w:val="center"/>
                    <w:rPr>
                      <w:color w:val="auto"/>
                      <w:szCs w:val="21"/>
                    </w:rPr>
                  </w:pPr>
                  <w:r>
                    <w:rPr>
                      <w:color w:val="auto"/>
                      <w:kern w:val="0"/>
                      <w:szCs w:val="21"/>
                      <w:lang w:bidi="ar"/>
                    </w:rPr>
                    <w:t>-4</w:t>
                  </w:r>
                </w:p>
              </w:tc>
              <w:tc>
                <w:tcPr>
                  <w:tcW w:w="617" w:type="dxa"/>
                  <w:vMerge w:val="restart"/>
                  <w:vAlign w:val="center"/>
                </w:tcPr>
                <w:p w14:paraId="0B0ABB73">
                  <w:pPr>
                    <w:widowControl/>
                    <w:jc w:val="center"/>
                    <w:textAlignment w:val="center"/>
                    <w:rPr>
                      <w:color w:val="auto"/>
                      <w:szCs w:val="21"/>
                    </w:rPr>
                  </w:pPr>
                  <w:r>
                    <w:rPr>
                      <w:color w:val="auto"/>
                      <w:kern w:val="0"/>
                      <w:szCs w:val="21"/>
                      <w:lang w:bidi="ar"/>
                    </w:rPr>
                    <w:t>-84</w:t>
                  </w:r>
                </w:p>
              </w:tc>
              <w:tc>
                <w:tcPr>
                  <w:tcW w:w="623" w:type="dxa"/>
                  <w:vMerge w:val="restart"/>
                  <w:vAlign w:val="center"/>
                </w:tcPr>
                <w:p w14:paraId="5879D5F3">
                  <w:pPr>
                    <w:widowControl/>
                    <w:jc w:val="center"/>
                    <w:textAlignment w:val="center"/>
                    <w:rPr>
                      <w:color w:val="auto"/>
                      <w:szCs w:val="21"/>
                    </w:rPr>
                  </w:pPr>
                  <w:r>
                    <w:rPr>
                      <w:color w:val="auto"/>
                      <w:kern w:val="0"/>
                      <w:szCs w:val="21"/>
                      <w:lang w:bidi="ar"/>
                    </w:rPr>
                    <w:t>1.2</w:t>
                  </w:r>
                </w:p>
              </w:tc>
              <w:tc>
                <w:tcPr>
                  <w:tcW w:w="1171" w:type="dxa"/>
                  <w:vAlign w:val="center"/>
                </w:tcPr>
                <w:p w14:paraId="53B800E4">
                  <w:pPr>
                    <w:snapToGrid w:val="0"/>
                    <w:jc w:val="center"/>
                    <w:rPr>
                      <w:color w:val="auto"/>
                      <w:szCs w:val="21"/>
                    </w:rPr>
                  </w:pPr>
                  <w:r>
                    <w:rPr>
                      <w:rFonts w:hint="eastAsia"/>
                      <w:color w:val="auto"/>
                    </w:rPr>
                    <w:t>北39</w:t>
                  </w:r>
                </w:p>
              </w:tc>
              <w:tc>
                <w:tcPr>
                  <w:tcW w:w="782" w:type="dxa"/>
                  <w:vAlign w:val="center"/>
                </w:tcPr>
                <w:p w14:paraId="3C1FF50A">
                  <w:pPr>
                    <w:widowControl/>
                    <w:jc w:val="center"/>
                    <w:textAlignment w:val="center"/>
                    <w:rPr>
                      <w:color w:val="auto"/>
                      <w:szCs w:val="21"/>
                    </w:rPr>
                  </w:pPr>
                  <w:r>
                    <w:rPr>
                      <w:color w:val="auto"/>
                      <w:kern w:val="0"/>
                      <w:szCs w:val="21"/>
                      <w:lang w:bidi="ar"/>
                    </w:rPr>
                    <w:t>43.2</w:t>
                  </w:r>
                </w:p>
              </w:tc>
              <w:tc>
                <w:tcPr>
                  <w:tcW w:w="741" w:type="dxa"/>
                  <w:vMerge w:val="continue"/>
                  <w:vAlign w:val="center"/>
                </w:tcPr>
                <w:p w14:paraId="00B35A93">
                  <w:pPr>
                    <w:snapToGrid w:val="0"/>
                    <w:jc w:val="center"/>
                    <w:rPr>
                      <w:color w:val="auto"/>
                      <w:szCs w:val="21"/>
                    </w:rPr>
                  </w:pPr>
                </w:p>
              </w:tc>
              <w:tc>
                <w:tcPr>
                  <w:tcW w:w="893" w:type="dxa"/>
                  <w:vMerge w:val="continue"/>
                  <w:vAlign w:val="center"/>
                </w:tcPr>
                <w:p w14:paraId="1E6D797D">
                  <w:pPr>
                    <w:snapToGrid w:val="0"/>
                    <w:jc w:val="center"/>
                    <w:rPr>
                      <w:color w:val="auto"/>
                      <w:szCs w:val="21"/>
                    </w:rPr>
                  </w:pPr>
                </w:p>
              </w:tc>
              <w:tc>
                <w:tcPr>
                  <w:tcW w:w="693" w:type="dxa"/>
                  <w:vAlign w:val="center"/>
                </w:tcPr>
                <w:p w14:paraId="501F5B83">
                  <w:pPr>
                    <w:widowControl/>
                    <w:jc w:val="center"/>
                    <w:textAlignment w:val="center"/>
                    <w:rPr>
                      <w:color w:val="auto"/>
                      <w:szCs w:val="21"/>
                    </w:rPr>
                  </w:pPr>
                  <w:r>
                    <w:rPr>
                      <w:color w:val="auto"/>
                      <w:kern w:val="0"/>
                      <w:szCs w:val="21"/>
                      <w:lang w:bidi="ar"/>
                    </w:rPr>
                    <w:t>23.2</w:t>
                  </w:r>
                </w:p>
              </w:tc>
              <w:tc>
                <w:tcPr>
                  <w:tcW w:w="1260" w:type="dxa"/>
                  <w:vMerge w:val="restart"/>
                  <w:vAlign w:val="center"/>
                </w:tcPr>
                <w:p w14:paraId="107D6941">
                  <w:pPr>
                    <w:snapToGrid w:val="0"/>
                    <w:jc w:val="center"/>
                    <w:rPr>
                      <w:color w:val="auto"/>
                      <w:szCs w:val="21"/>
                    </w:rPr>
                  </w:pPr>
                  <w:r>
                    <w:rPr>
                      <w:color w:val="auto"/>
                      <w:szCs w:val="21"/>
                    </w:rPr>
                    <w:t>1</w:t>
                  </w:r>
                </w:p>
              </w:tc>
            </w:tr>
            <w:tr w14:paraId="5126E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vMerge w:val="continue"/>
                  <w:vAlign w:val="center"/>
                </w:tcPr>
                <w:p w14:paraId="62052FB8">
                  <w:pPr>
                    <w:snapToGrid w:val="0"/>
                    <w:jc w:val="center"/>
                    <w:rPr>
                      <w:color w:val="auto"/>
                      <w:szCs w:val="21"/>
                    </w:rPr>
                  </w:pPr>
                </w:p>
              </w:tc>
              <w:tc>
                <w:tcPr>
                  <w:tcW w:w="786" w:type="dxa"/>
                  <w:vMerge w:val="continue"/>
                  <w:vAlign w:val="center"/>
                </w:tcPr>
                <w:p w14:paraId="6DCCE349">
                  <w:pPr>
                    <w:snapToGrid w:val="0"/>
                    <w:jc w:val="center"/>
                    <w:rPr>
                      <w:b/>
                      <w:bCs/>
                      <w:color w:val="auto"/>
                      <w:szCs w:val="21"/>
                    </w:rPr>
                  </w:pPr>
                </w:p>
              </w:tc>
              <w:tc>
                <w:tcPr>
                  <w:tcW w:w="1383" w:type="dxa"/>
                  <w:vMerge w:val="continue"/>
                  <w:vAlign w:val="center"/>
                </w:tcPr>
                <w:p w14:paraId="69B2DBC4">
                  <w:pPr>
                    <w:adjustRightInd w:val="0"/>
                    <w:snapToGrid w:val="0"/>
                    <w:jc w:val="center"/>
                    <w:rPr>
                      <w:color w:val="auto"/>
                      <w:kern w:val="0"/>
                      <w:szCs w:val="21"/>
                    </w:rPr>
                  </w:pPr>
                </w:p>
              </w:tc>
              <w:tc>
                <w:tcPr>
                  <w:tcW w:w="1494" w:type="dxa"/>
                  <w:vMerge w:val="continue"/>
                  <w:vAlign w:val="center"/>
                </w:tcPr>
                <w:p w14:paraId="7660E5B2">
                  <w:pPr>
                    <w:snapToGrid w:val="0"/>
                    <w:jc w:val="center"/>
                    <w:rPr>
                      <w:b/>
                      <w:bCs/>
                      <w:color w:val="auto"/>
                      <w:szCs w:val="21"/>
                    </w:rPr>
                  </w:pPr>
                </w:p>
              </w:tc>
              <w:tc>
                <w:tcPr>
                  <w:tcW w:w="1081" w:type="dxa"/>
                  <w:vMerge w:val="continue"/>
                  <w:vAlign w:val="center"/>
                </w:tcPr>
                <w:p w14:paraId="1C5633F1">
                  <w:pPr>
                    <w:adjustRightInd w:val="0"/>
                    <w:snapToGrid w:val="0"/>
                    <w:jc w:val="center"/>
                    <w:rPr>
                      <w:b/>
                      <w:bCs/>
                      <w:color w:val="auto"/>
                      <w:szCs w:val="21"/>
                    </w:rPr>
                  </w:pPr>
                </w:p>
              </w:tc>
              <w:tc>
                <w:tcPr>
                  <w:tcW w:w="768" w:type="dxa"/>
                  <w:vMerge w:val="continue"/>
                  <w:vAlign w:val="center"/>
                </w:tcPr>
                <w:p w14:paraId="53CA3A0A">
                  <w:pPr>
                    <w:snapToGrid w:val="0"/>
                    <w:jc w:val="center"/>
                    <w:rPr>
                      <w:b/>
                      <w:bCs/>
                      <w:color w:val="auto"/>
                      <w:szCs w:val="21"/>
                    </w:rPr>
                  </w:pPr>
                </w:p>
              </w:tc>
              <w:tc>
                <w:tcPr>
                  <w:tcW w:w="617" w:type="dxa"/>
                  <w:vMerge w:val="continue"/>
                  <w:vAlign w:val="center"/>
                </w:tcPr>
                <w:p w14:paraId="1091E2D2">
                  <w:pPr>
                    <w:snapToGrid w:val="0"/>
                    <w:jc w:val="center"/>
                    <w:rPr>
                      <w:color w:val="auto"/>
                      <w:szCs w:val="21"/>
                    </w:rPr>
                  </w:pPr>
                </w:p>
              </w:tc>
              <w:tc>
                <w:tcPr>
                  <w:tcW w:w="617" w:type="dxa"/>
                  <w:vMerge w:val="continue"/>
                  <w:vAlign w:val="center"/>
                </w:tcPr>
                <w:p w14:paraId="59A70966">
                  <w:pPr>
                    <w:snapToGrid w:val="0"/>
                    <w:jc w:val="center"/>
                    <w:rPr>
                      <w:color w:val="auto"/>
                      <w:szCs w:val="21"/>
                    </w:rPr>
                  </w:pPr>
                </w:p>
              </w:tc>
              <w:tc>
                <w:tcPr>
                  <w:tcW w:w="623" w:type="dxa"/>
                  <w:vMerge w:val="continue"/>
                  <w:vAlign w:val="center"/>
                </w:tcPr>
                <w:p w14:paraId="6013E212">
                  <w:pPr>
                    <w:snapToGrid w:val="0"/>
                    <w:jc w:val="center"/>
                    <w:rPr>
                      <w:color w:val="auto"/>
                      <w:szCs w:val="21"/>
                    </w:rPr>
                  </w:pPr>
                </w:p>
              </w:tc>
              <w:tc>
                <w:tcPr>
                  <w:tcW w:w="1171" w:type="dxa"/>
                  <w:vAlign w:val="center"/>
                </w:tcPr>
                <w:p w14:paraId="5D99CD39">
                  <w:pPr>
                    <w:snapToGrid w:val="0"/>
                    <w:jc w:val="center"/>
                    <w:rPr>
                      <w:color w:val="auto"/>
                      <w:szCs w:val="21"/>
                    </w:rPr>
                  </w:pPr>
                  <w:r>
                    <w:rPr>
                      <w:rFonts w:hint="eastAsia"/>
                      <w:color w:val="auto"/>
                    </w:rPr>
                    <w:t>南61</w:t>
                  </w:r>
                </w:p>
              </w:tc>
              <w:tc>
                <w:tcPr>
                  <w:tcW w:w="782" w:type="dxa"/>
                  <w:vAlign w:val="center"/>
                </w:tcPr>
                <w:p w14:paraId="34B02F64">
                  <w:pPr>
                    <w:widowControl/>
                    <w:jc w:val="center"/>
                    <w:textAlignment w:val="center"/>
                    <w:rPr>
                      <w:color w:val="auto"/>
                      <w:szCs w:val="21"/>
                    </w:rPr>
                  </w:pPr>
                  <w:r>
                    <w:rPr>
                      <w:color w:val="auto"/>
                      <w:kern w:val="0"/>
                      <w:szCs w:val="21"/>
                      <w:lang w:bidi="ar"/>
                    </w:rPr>
                    <w:t>39.3</w:t>
                  </w:r>
                </w:p>
              </w:tc>
              <w:tc>
                <w:tcPr>
                  <w:tcW w:w="741" w:type="dxa"/>
                  <w:vMerge w:val="continue"/>
                  <w:vAlign w:val="center"/>
                </w:tcPr>
                <w:p w14:paraId="04D8B297">
                  <w:pPr>
                    <w:snapToGrid w:val="0"/>
                    <w:jc w:val="center"/>
                    <w:rPr>
                      <w:color w:val="auto"/>
                      <w:szCs w:val="21"/>
                    </w:rPr>
                  </w:pPr>
                </w:p>
              </w:tc>
              <w:tc>
                <w:tcPr>
                  <w:tcW w:w="893" w:type="dxa"/>
                  <w:vMerge w:val="continue"/>
                  <w:vAlign w:val="center"/>
                </w:tcPr>
                <w:p w14:paraId="5AEAA28C">
                  <w:pPr>
                    <w:snapToGrid w:val="0"/>
                    <w:jc w:val="center"/>
                    <w:rPr>
                      <w:color w:val="auto"/>
                      <w:szCs w:val="21"/>
                    </w:rPr>
                  </w:pPr>
                </w:p>
              </w:tc>
              <w:tc>
                <w:tcPr>
                  <w:tcW w:w="693" w:type="dxa"/>
                  <w:vAlign w:val="center"/>
                </w:tcPr>
                <w:p w14:paraId="49865A22">
                  <w:pPr>
                    <w:widowControl/>
                    <w:jc w:val="center"/>
                    <w:textAlignment w:val="center"/>
                    <w:rPr>
                      <w:color w:val="auto"/>
                      <w:szCs w:val="21"/>
                    </w:rPr>
                  </w:pPr>
                  <w:r>
                    <w:rPr>
                      <w:color w:val="auto"/>
                      <w:kern w:val="0"/>
                      <w:szCs w:val="21"/>
                      <w:lang w:bidi="ar"/>
                    </w:rPr>
                    <w:t>19.3</w:t>
                  </w:r>
                </w:p>
              </w:tc>
              <w:tc>
                <w:tcPr>
                  <w:tcW w:w="1260" w:type="dxa"/>
                  <w:vMerge w:val="continue"/>
                  <w:vAlign w:val="center"/>
                </w:tcPr>
                <w:p w14:paraId="6AFAEA01">
                  <w:pPr>
                    <w:snapToGrid w:val="0"/>
                    <w:jc w:val="center"/>
                    <w:rPr>
                      <w:color w:val="auto"/>
                      <w:szCs w:val="21"/>
                    </w:rPr>
                  </w:pPr>
                </w:p>
              </w:tc>
            </w:tr>
            <w:tr w14:paraId="77ED1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vMerge w:val="continue"/>
                  <w:vAlign w:val="center"/>
                </w:tcPr>
                <w:p w14:paraId="047E4E3A">
                  <w:pPr>
                    <w:snapToGrid w:val="0"/>
                    <w:jc w:val="center"/>
                    <w:rPr>
                      <w:color w:val="auto"/>
                      <w:szCs w:val="21"/>
                    </w:rPr>
                  </w:pPr>
                </w:p>
              </w:tc>
              <w:tc>
                <w:tcPr>
                  <w:tcW w:w="786" w:type="dxa"/>
                  <w:vMerge w:val="continue"/>
                  <w:vAlign w:val="center"/>
                </w:tcPr>
                <w:p w14:paraId="1C78D8AA">
                  <w:pPr>
                    <w:snapToGrid w:val="0"/>
                    <w:jc w:val="center"/>
                    <w:rPr>
                      <w:b/>
                      <w:bCs/>
                      <w:color w:val="auto"/>
                      <w:szCs w:val="21"/>
                    </w:rPr>
                  </w:pPr>
                </w:p>
              </w:tc>
              <w:tc>
                <w:tcPr>
                  <w:tcW w:w="1383" w:type="dxa"/>
                  <w:vMerge w:val="continue"/>
                  <w:vAlign w:val="center"/>
                </w:tcPr>
                <w:p w14:paraId="758FC861">
                  <w:pPr>
                    <w:adjustRightInd w:val="0"/>
                    <w:snapToGrid w:val="0"/>
                    <w:jc w:val="center"/>
                    <w:rPr>
                      <w:color w:val="auto"/>
                      <w:kern w:val="0"/>
                      <w:szCs w:val="21"/>
                    </w:rPr>
                  </w:pPr>
                </w:p>
              </w:tc>
              <w:tc>
                <w:tcPr>
                  <w:tcW w:w="1494" w:type="dxa"/>
                  <w:vMerge w:val="continue"/>
                  <w:vAlign w:val="center"/>
                </w:tcPr>
                <w:p w14:paraId="1818736A">
                  <w:pPr>
                    <w:snapToGrid w:val="0"/>
                    <w:jc w:val="center"/>
                    <w:rPr>
                      <w:b/>
                      <w:bCs/>
                      <w:color w:val="auto"/>
                      <w:szCs w:val="21"/>
                    </w:rPr>
                  </w:pPr>
                </w:p>
              </w:tc>
              <w:tc>
                <w:tcPr>
                  <w:tcW w:w="1081" w:type="dxa"/>
                  <w:vMerge w:val="continue"/>
                  <w:vAlign w:val="center"/>
                </w:tcPr>
                <w:p w14:paraId="3152C90D">
                  <w:pPr>
                    <w:adjustRightInd w:val="0"/>
                    <w:snapToGrid w:val="0"/>
                    <w:jc w:val="center"/>
                    <w:rPr>
                      <w:bCs/>
                      <w:color w:val="auto"/>
                      <w:szCs w:val="21"/>
                    </w:rPr>
                  </w:pPr>
                </w:p>
              </w:tc>
              <w:tc>
                <w:tcPr>
                  <w:tcW w:w="768" w:type="dxa"/>
                  <w:vMerge w:val="continue"/>
                  <w:vAlign w:val="center"/>
                </w:tcPr>
                <w:p w14:paraId="2522A68A">
                  <w:pPr>
                    <w:snapToGrid w:val="0"/>
                    <w:jc w:val="center"/>
                    <w:rPr>
                      <w:b/>
                      <w:bCs/>
                      <w:color w:val="auto"/>
                      <w:szCs w:val="21"/>
                    </w:rPr>
                  </w:pPr>
                </w:p>
              </w:tc>
              <w:tc>
                <w:tcPr>
                  <w:tcW w:w="617" w:type="dxa"/>
                  <w:vMerge w:val="continue"/>
                  <w:vAlign w:val="center"/>
                </w:tcPr>
                <w:p w14:paraId="0FF0129A">
                  <w:pPr>
                    <w:snapToGrid w:val="0"/>
                    <w:jc w:val="center"/>
                    <w:rPr>
                      <w:color w:val="auto"/>
                      <w:szCs w:val="21"/>
                    </w:rPr>
                  </w:pPr>
                </w:p>
              </w:tc>
              <w:tc>
                <w:tcPr>
                  <w:tcW w:w="617" w:type="dxa"/>
                  <w:vMerge w:val="continue"/>
                  <w:vAlign w:val="center"/>
                </w:tcPr>
                <w:p w14:paraId="1B72EA41">
                  <w:pPr>
                    <w:snapToGrid w:val="0"/>
                    <w:jc w:val="center"/>
                    <w:rPr>
                      <w:color w:val="auto"/>
                      <w:szCs w:val="21"/>
                    </w:rPr>
                  </w:pPr>
                </w:p>
              </w:tc>
              <w:tc>
                <w:tcPr>
                  <w:tcW w:w="623" w:type="dxa"/>
                  <w:vMerge w:val="continue"/>
                  <w:vAlign w:val="center"/>
                </w:tcPr>
                <w:p w14:paraId="15D43993">
                  <w:pPr>
                    <w:snapToGrid w:val="0"/>
                    <w:jc w:val="center"/>
                    <w:rPr>
                      <w:color w:val="auto"/>
                      <w:szCs w:val="21"/>
                    </w:rPr>
                  </w:pPr>
                </w:p>
              </w:tc>
              <w:tc>
                <w:tcPr>
                  <w:tcW w:w="1171" w:type="dxa"/>
                  <w:vAlign w:val="center"/>
                </w:tcPr>
                <w:p w14:paraId="5896D280">
                  <w:pPr>
                    <w:snapToGrid w:val="0"/>
                    <w:jc w:val="center"/>
                    <w:rPr>
                      <w:color w:val="auto"/>
                      <w:szCs w:val="21"/>
                    </w:rPr>
                  </w:pPr>
                  <w:r>
                    <w:rPr>
                      <w:rFonts w:hint="eastAsia"/>
                      <w:color w:val="auto"/>
                    </w:rPr>
                    <w:t>东13</w:t>
                  </w:r>
                </w:p>
              </w:tc>
              <w:tc>
                <w:tcPr>
                  <w:tcW w:w="782" w:type="dxa"/>
                  <w:vAlign w:val="center"/>
                </w:tcPr>
                <w:p w14:paraId="34984A5C">
                  <w:pPr>
                    <w:widowControl/>
                    <w:jc w:val="center"/>
                    <w:textAlignment w:val="center"/>
                    <w:rPr>
                      <w:color w:val="auto"/>
                      <w:szCs w:val="21"/>
                    </w:rPr>
                  </w:pPr>
                  <w:r>
                    <w:rPr>
                      <w:color w:val="auto"/>
                      <w:kern w:val="0"/>
                      <w:szCs w:val="21"/>
                      <w:lang w:bidi="ar"/>
                    </w:rPr>
                    <w:t>52.7</w:t>
                  </w:r>
                </w:p>
              </w:tc>
              <w:tc>
                <w:tcPr>
                  <w:tcW w:w="741" w:type="dxa"/>
                  <w:vMerge w:val="continue"/>
                  <w:vAlign w:val="center"/>
                </w:tcPr>
                <w:p w14:paraId="0FBA6F40">
                  <w:pPr>
                    <w:snapToGrid w:val="0"/>
                    <w:jc w:val="center"/>
                    <w:rPr>
                      <w:color w:val="auto"/>
                      <w:szCs w:val="21"/>
                    </w:rPr>
                  </w:pPr>
                </w:p>
              </w:tc>
              <w:tc>
                <w:tcPr>
                  <w:tcW w:w="893" w:type="dxa"/>
                  <w:vMerge w:val="continue"/>
                  <w:vAlign w:val="center"/>
                </w:tcPr>
                <w:p w14:paraId="7DC2244A">
                  <w:pPr>
                    <w:snapToGrid w:val="0"/>
                    <w:jc w:val="center"/>
                    <w:rPr>
                      <w:color w:val="auto"/>
                      <w:szCs w:val="21"/>
                    </w:rPr>
                  </w:pPr>
                </w:p>
              </w:tc>
              <w:tc>
                <w:tcPr>
                  <w:tcW w:w="693" w:type="dxa"/>
                  <w:vAlign w:val="center"/>
                </w:tcPr>
                <w:p w14:paraId="5ADE06C4">
                  <w:pPr>
                    <w:widowControl/>
                    <w:jc w:val="center"/>
                    <w:textAlignment w:val="center"/>
                    <w:rPr>
                      <w:color w:val="auto"/>
                      <w:szCs w:val="21"/>
                    </w:rPr>
                  </w:pPr>
                  <w:r>
                    <w:rPr>
                      <w:color w:val="auto"/>
                      <w:kern w:val="0"/>
                      <w:szCs w:val="21"/>
                      <w:lang w:bidi="ar"/>
                    </w:rPr>
                    <w:t>32.7</w:t>
                  </w:r>
                </w:p>
              </w:tc>
              <w:tc>
                <w:tcPr>
                  <w:tcW w:w="1260" w:type="dxa"/>
                  <w:vMerge w:val="continue"/>
                  <w:vAlign w:val="center"/>
                </w:tcPr>
                <w:p w14:paraId="34E7DE7E">
                  <w:pPr>
                    <w:snapToGrid w:val="0"/>
                    <w:jc w:val="center"/>
                    <w:rPr>
                      <w:color w:val="auto"/>
                      <w:szCs w:val="21"/>
                    </w:rPr>
                  </w:pPr>
                </w:p>
              </w:tc>
            </w:tr>
            <w:tr w14:paraId="53907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vMerge w:val="continue"/>
                  <w:vAlign w:val="center"/>
                </w:tcPr>
                <w:p w14:paraId="1C18C8D4">
                  <w:pPr>
                    <w:snapToGrid w:val="0"/>
                    <w:jc w:val="center"/>
                    <w:rPr>
                      <w:color w:val="auto"/>
                      <w:szCs w:val="21"/>
                    </w:rPr>
                  </w:pPr>
                </w:p>
              </w:tc>
              <w:tc>
                <w:tcPr>
                  <w:tcW w:w="786" w:type="dxa"/>
                  <w:vMerge w:val="continue"/>
                  <w:vAlign w:val="center"/>
                </w:tcPr>
                <w:p w14:paraId="5EEBAEC9">
                  <w:pPr>
                    <w:snapToGrid w:val="0"/>
                    <w:jc w:val="center"/>
                    <w:rPr>
                      <w:b/>
                      <w:bCs/>
                      <w:color w:val="auto"/>
                      <w:szCs w:val="21"/>
                    </w:rPr>
                  </w:pPr>
                </w:p>
              </w:tc>
              <w:tc>
                <w:tcPr>
                  <w:tcW w:w="1383" w:type="dxa"/>
                  <w:vMerge w:val="continue"/>
                  <w:vAlign w:val="center"/>
                </w:tcPr>
                <w:p w14:paraId="604BFFE8">
                  <w:pPr>
                    <w:adjustRightInd w:val="0"/>
                    <w:snapToGrid w:val="0"/>
                    <w:jc w:val="center"/>
                    <w:rPr>
                      <w:color w:val="auto"/>
                      <w:kern w:val="0"/>
                      <w:szCs w:val="21"/>
                    </w:rPr>
                  </w:pPr>
                </w:p>
              </w:tc>
              <w:tc>
                <w:tcPr>
                  <w:tcW w:w="1494" w:type="dxa"/>
                  <w:vMerge w:val="continue"/>
                  <w:vAlign w:val="center"/>
                </w:tcPr>
                <w:p w14:paraId="0DA64302">
                  <w:pPr>
                    <w:snapToGrid w:val="0"/>
                    <w:jc w:val="center"/>
                    <w:rPr>
                      <w:b/>
                      <w:bCs/>
                      <w:color w:val="auto"/>
                      <w:szCs w:val="21"/>
                    </w:rPr>
                  </w:pPr>
                </w:p>
              </w:tc>
              <w:tc>
                <w:tcPr>
                  <w:tcW w:w="1081" w:type="dxa"/>
                  <w:vMerge w:val="continue"/>
                  <w:vAlign w:val="center"/>
                </w:tcPr>
                <w:p w14:paraId="1BEFEA8A">
                  <w:pPr>
                    <w:adjustRightInd w:val="0"/>
                    <w:snapToGrid w:val="0"/>
                    <w:jc w:val="center"/>
                    <w:rPr>
                      <w:bCs/>
                      <w:color w:val="auto"/>
                      <w:szCs w:val="21"/>
                    </w:rPr>
                  </w:pPr>
                </w:p>
              </w:tc>
              <w:tc>
                <w:tcPr>
                  <w:tcW w:w="768" w:type="dxa"/>
                  <w:vMerge w:val="continue"/>
                  <w:vAlign w:val="center"/>
                </w:tcPr>
                <w:p w14:paraId="1B20FF88">
                  <w:pPr>
                    <w:snapToGrid w:val="0"/>
                    <w:jc w:val="center"/>
                    <w:rPr>
                      <w:b/>
                      <w:bCs/>
                      <w:color w:val="auto"/>
                      <w:szCs w:val="21"/>
                    </w:rPr>
                  </w:pPr>
                </w:p>
              </w:tc>
              <w:tc>
                <w:tcPr>
                  <w:tcW w:w="617" w:type="dxa"/>
                  <w:vMerge w:val="continue"/>
                  <w:vAlign w:val="center"/>
                </w:tcPr>
                <w:p w14:paraId="21BE1B9C">
                  <w:pPr>
                    <w:snapToGrid w:val="0"/>
                    <w:jc w:val="center"/>
                    <w:rPr>
                      <w:color w:val="auto"/>
                      <w:szCs w:val="21"/>
                    </w:rPr>
                  </w:pPr>
                </w:p>
              </w:tc>
              <w:tc>
                <w:tcPr>
                  <w:tcW w:w="617" w:type="dxa"/>
                  <w:vMerge w:val="continue"/>
                  <w:vAlign w:val="center"/>
                </w:tcPr>
                <w:p w14:paraId="263130BC">
                  <w:pPr>
                    <w:snapToGrid w:val="0"/>
                    <w:jc w:val="center"/>
                    <w:rPr>
                      <w:color w:val="auto"/>
                      <w:szCs w:val="21"/>
                    </w:rPr>
                  </w:pPr>
                </w:p>
              </w:tc>
              <w:tc>
                <w:tcPr>
                  <w:tcW w:w="623" w:type="dxa"/>
                  <w:vMerge w:val="continue"/>
                  <w:vAlign w:val="center"/>
                </w:tcPr>
                <w:p w14:paraId="06FF6F1E">
                  <w:pPr>
                    <w:snapToGrid w:val="0"/>
                    <w:jc w:val="center"/>
                    <w:rPr>
                      <w:color w:val="auto"/>
                      <w:szCs w:val="21"/>
                    </w:rPr>
                  </w:pPr>
                </w:p>
              </w:tc>
              <w:tc>
                <w:tcPr>
                  <w:tcW w:w="1171" w:type="dxa"/>
                  <w:vAlign w:val="center"/>
                </w:tcPr>
                <w:p w14:paraId="7E8FCE7D">
                  <w:pPr>
                    <w:snapToGrid w:val="0"/>
                    <w:jc w:val="center"/>
                    <w:rPr>
                      <w:color w:val="auto"/>
                      <w:szCs w:val="21"/>
                    </w:rPr>
                  </w:pPr>
                  <w:r>
                    <w:rPr>
                      <w:rFonts w:hint="eastAsia"/>
                      <w:color w:val="auto"/>
                    </w:rPr>
                    <w:t>西47</w:t>
                  </w:r>
                </w:p>
              </w:tc>
              <w:tc>
                <w:tcPr>
                  <w:tcW w:w="782" w:type="dxa"/>
                  <w:vAlign w:val="center"/>
                </w:tcPr>
                <w:p w14:paraId="76CA130E">
                  <w:pPr>
                    <w:widowControl/>
                    <w:jc w:val="center"/>
                    <w:textAlignment w:val="center"/>
                    <w:rPr>
                      <w:color w:val="auto"/>
                      <w:szCs w:val="21"/>
                    </w:rPr>
                  </w:pPr>
                  <w:r>
                    <w:rPr>
                      <w:color w:val="auto"/>
                      <w:kern w:val="0"/>
                      <w:szCs w:val="21"/>
                      <w:lang w:bidi="ar"/>
                    </w:rPr>
                    <w:t>41.6</w:t>
                  </w:r>
                </w:p>
              </w:tc>
              <w:tc>
                <w:tcPr>
                  <w:tcW w:w="741" w:type="dxa"/>
                  <w:vMerge w:val="continue"/>
                  <w:vAlign w:val="center"/>
                </w:tcPr>
                <w:p w14:paraId="090E6510">
                  <w:pPr>
                    <w:snapToGrid w:val="0"/>
                    <w:jc w:val="center"/>
                    <w:rPr>
                      <w:color w:val="auto"/>
                      <w:szCs w:val="21"/>
                    </w:rPr>
                  </w:pPr>
                </w:p>
              </w:tc>
              <w:tc>
                <w:tcPr>
                  <w:tcW w:w="893" w:type="dxa"/>
                  <w:vMerge w:val="continue"/>
                  <w:vAlign w:val="center"/>
                </w:tcPr>
                <w:p w14:paraId="0808E6A6">
                  <w:pPr>
                    <w:snapToGrid w:val="0"/>
                    <w:jc w:val="center"/>
                    <w:rPr>
                      <w:color w:val="auto"/>
                      <w:szCs w:val="21"/>
                    </w:rPr>
                  </w:pPr>
                </w:p>
              </w:tc>
              <w:tc>
                <w:tcPr>
                  <w:tcW w:w="693" w:type="dxa"/>
                  <w:vAlign w:val="center"/>
                </w:tcPr>
                <w:p w14:paraId="0044D79E">
                  <w:pPr>
                    <w:widowControl/>
                    <w:jc w:val="center"/>
                    <w:textAlignment w:val="center"/>
                    <w:rPr>
                      <w:color w:val="auto"/>
                      <w:szCs w:val="21"/>
                    </w:rPr>
                  </w:pPr>
                  <w:r>
                    <w:rPr>
                      <w:color w:val="auto"/>
                      <w:kern w:val="0"/>
                      <w:szCs w:val="21"/>
                      <w:lang w:bidi="ar"/>
                    </w:rPr>
                    <w:t>21.6</w:t>
                  </w:r>
                </w:p>
              </w:tc>
              <w:tc>
                <w:tcPr>
                  <w:tcW w:w="1260" w:type="dxa"/>
                  <w:vMerge w:val="continue"/>
                  <w:vAlign w:val="center"/>
                </w:tcPr>
                <w:p w14:paraId="79D3A790">
                  <w:pPr>
                    <w:snapToGrid w:val="0"/>
                    <w:jc w:val="center"/>
                    <w:rPr>
                      <w:color w:val="auto"/>
                      <w:szCs w:val="21"/>
                    </w:rPr>
                  </w:pPr>
                </w:p>
              </w:tc>
            </w:tr>
            <w:tr w14:paraId="14C1A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vMerge w:val="restart"/>
                  <w:vAlign w:val="center"/>
                </w:tcPr>
                <w:p w14:paraId="6508EDF3">
                  <w:pPr>
                    <w:widowControl/>
                    <w:jc w:val="center"/>
                    <w:textAlignment w:val="center"/>
                    <w:rPr>
                      <w:color w:val="auto"/>
                      <w:szCs w:val="21"/>
                    </w:rPr>
                  </w:pPr>
                  <w:r>
                    <w:rPr>
                      <w:color w:val="auto"/>
                      <w:kern w:val="0"/>
                      <w:szCs w:val="21"/>
                      <w:lang w:bidi="ar"/>
                    </w:rPr>
                    <w:t>11</w:t>
                  </w:r>
                </w:p>
              </w:tc>
              <w:tc>
                <w:tcPr>
                  <w:tcW w:w="786" w:type="dxa"/>
                  <w:vMerge w:val="continue"/>
                  <w:vAlign w:val="center"/>
                </w:tcPr>
                <w:p w14:paraId="00C06989">
                  <w:pPr>
                    <w:snapToGrid w:val="0"/>
                    <w:jc w:val="center"/>
                    <w:rPr>
                      <w:b/>
                      <w:bCs/>
                      <w:color w:val="auto"/>
                      <w:szCs w:val="21"/>
                    </w:rPr>
                  </w:pPr>
                </w:p>
              </w:tc>
              <w:tc>
                <w:tcPr>
                  <w:tcW w:w="1383" w:type="dxa"/>
                  <w:vMerge w:val="restart"/>
                  <w:vAlign w:val="center"/>
                </w:tcPr>
                <w:p w14:paraId="1CB9248F">
                  <w:pPr>
                    <w:autoSpaceDE w:val="0"/>
                    <w:autoSpaceDN w:val="0"/>
                    <w:adjustRightInd w:val="0"/>
                    <w:snapToGrid w:val="0"/>
                    <w:jc w:val="center"/>
                    <w:rPr>
                      <w:color w:val="auto"/>
                      <w:kern w:val="0"/>
                      <w:szCs w:val="21"/>
                    </w:rPr>
                  </w:pPr>
                  <w:r>
                    <w:rPr>
                      <w:rFonts w:hint="eastAsia"/>
                      <w:color w:val="auto"/>
                      <w:kern w:val="0"/>
                      <w:szCs w:val="21"/>
                    </w:rPr>
                    <w:t>单边锯</w:t>
                  </w:r>
                </w:p>
              </w:tc>
              <w:tc>
                <w:tcPr>
                  <w:tcW w:w="1494" w:type="dxa"/>
                  <w:vMerge w:val="restart"/>
                  <w:vAlign w:val="center"/>
                </w:tcPr>
                <w:p w14:paraId="4253EC77">
                  <w:pPr>
                    <w:autoSpaceDE w:val="0"/>
                    <w:autoSpaceDN w:val="0"/>
                    <w:adjustRightInd w:val="0"/>
                    <w:snapToGrid w:val="0"/>
                    <w:jc w:val="center"/>
                    <w:rPr>
                      <w:b/>
                      <w:bCs/>
                      <w:color w:val="auto"/>
                      <w:szCs w:val="21"/>
                    </w:rPr>
                  </w:pPr>
                  <w:r>
                    <w:rPr>
                      <w:rFonts w:hint="eastAsia"/>
                      <w:color w:val="auto"/>
                      <w:szCs w:val="21"/>
                    </w:rPr>
                    <w:t>/</w:t>
                  </w:r>
                </w:p>
              </w:tc>
              <w:tc>
                <w:tcPr>
                  <w:tcW w:w="1081" w:type="dxa"/>
                  <w:vMerge w:val="restart"/>
                  <w:vAlign w:val="center"/>
                </w:tcPr>
                <w:p w14:paraId="13552A8B">
                  <w:pPr>
                    <w:widowControl/>
                    <w:jc w:val="center"/>
                    <w:textAlignment w:val="center"/>
                    <w:rPr>
                      <w:bCs/>
                      <w:color w:val="auto"/>
                      <w:szCs w:val="21"/>
                    </w:rPr>
                  </w:pPr>
                  <w:r>
                    <w:rPr>
                      <w:color w:val="auto"/>
                      <w:kern w:val="0"/>
                      <w:szCs w:val="21"/>
                      <w:lang w:bidi="ar"/>
                    </w:rPr>
                    <w:t>75</w:t>
                  </w:r>
                </w:p>
              </w:tc>
              <w:tc>
                <w:tcPr>
                  <w:tcW w:w="768" w:type="dxa"/>
                  <w:vMerge w:val="continue"/>
                  <w:vAlign w:val="center"/>
                </w:tcPr>
                <w:p w14:paraId="71EF6A65">
                  <w:pPr>
                    <w:snapToGrid w:val="0"/>
                    <w:jc w:val="center"/>
                    <w:rPr>
                      <w:b/>
                      <w:bCs/>
                      <w:color w:val="auto"/>
                      <w:szCs w:val="21"/>
                    </w:rPr>
                  </w:pPr>
                </w:p>
              </w:tc>
              <w:tc>
                <w:tcPr>
                  <w:tcW w:w="617" w:type="dxa"/>
                  <w:vMerge w:val="restart"/>
                  <w:vAlign w:val="center"/>
                </w:tcPr>
                <w:p w14:paraId="53FDA4DE">
                  <w:pPr>
                    <w:widowControl/>
                    <w:jc w:val="center"/>
                    <w:textAlignment w:val="center"/>
                    <w:rPr>
                      <w:color w:val="auto"/>
                      <w:szCs w:val="21"/>
                    </w:rPr>
                  </w:pPr>
                  <w:r>
                    <w:rPr>
                      <w:color w:val="auto"/>
                      <w:kern w:val="0"/>
                      <w:szCs w:val="21"/>
                      <w:lang w:bidi="ar"/>
                    </w:rPr>
                    <w:t>7</w:t>
                  </w:r>
                </w:p>
              </w:tc>
              <w:tc>
                <w:tcPr>
                  <w:tcW w:w="617" w:type="dxa"/>
                  <w:vMerge w:val="restart"/>
                  <w:vAlign w:val="center"/>
                </w:tcPr>
                <w:p w14:paraId="23BF5E55">
                  <w:pPr>
                    <w:widowControl/>
                    <w:jc w:val="center"/>
                    <w:textAlignment w:val="center"/>
                    <w:rPr>
                      <w:color w:val="auto"/>
                      <w:szCs w:val="21"/>
                    </w:rPr>
                  </w:pPr>
                  <w:r>
                    <w:rPr>
                      <w:color w:val="auto"/>
                      <w:kern w:val="0"/>
                      <w:szCs w:val="21"/>
                      <w:lang w:bidi="ar"/>
                    </w:rPr>
                    <w:t>-88</w:t>
                  </w:r>
                </w:p>
              </w:tc>
              <w:tc>
                <w:tcPr>
                  <w:tcW w:w="623" w:type="dxa"/>
                  <w:vMerge w:val="restart"/>
                  <w:vAlign w:val="center"/>
                </w:tcPr>
                <w:p w14:paraId="7B3156AD">
                  <w:pPr>
                    <w:widowControl/>
                    <w:jc w:val="center"/>
                    <w:textAlignment w:val="center"/>
                    <w:rPr>
                      <w:b/>
                      <w:bCs/>
                      <w:color w:val="auto"/>
                      <w:szCs w:val="21"/>
                    </w:rPr>
                  </w:pPr>
                  <w:r>
                    <w:rPr>
                      <w:color w:val="auto"/>
                      <w:kern w:val="0"/>
                      <w:szCs w:val="21"/>
                      <w:lang w:bidi="ar"/>
                    </w:rPr>
                    <w:t>1.2</w:t>
                  </w:r>
                </w:p>
              </w:tc>
              <w:tc>
                <w:tcPr>
                  <w:tcW w:w="1171" w:type="dxa"/>
                  <w:vAlign w:val="center"/>
                </w:tcPr>
                <w:p w14:paraId="78501ED2">
                  <w:pPr>
                    <w:snapToGrid w:val="0"/>
                    <w:jc w:val="center"/>
                    <w:rPr>
                      <w:color w:val="auto"/>
                      <w:szCs w:val="21"/>
                    </w:rPr>
                  </w:pPr>
                  <w:r>
                    <w:rPr>
                      <w:rFonts w:hint="eastAsia"/>
                      <w:color w:val="auto"/>
                      <w:szCs w:val="21"/>
                    </w:rPr>
                    <w:t>北82</w:t>
                  </w:r>
                </w:p>
              </w:tc>
              <w:tc>
                <w:tcPr>
                  <w:tcW w:w="782" w:type="dxa"/>
                  <w:vAlign w:val="center"/>
                </w:tcPr>
                <w:p w14:paraId="0C104F29">
                  <w:pPr>
                    <w:widowControl/>
                    <w:jc w:val="center"/>
                    <w:textAlignment w:val="center"/>
                    <w:rPr>
                      <w:color w:val="auto"/>
                      <w:szCs w:val="21"/>
                    </w:rPr>
                  </w:pPr>
                  <w:r>
                    <w:rPr>
                      <w:color w:val="auto"/>
                      <w:kern w:val="0"/>
                      <w:szCs w:val="21"/>
                      <w:lang w:bidi="ar"/>
                    </w:rPr>
                    <w:t>36.7</w:t>
                  </w:r>
                </w:p>
              </w:tc>
              <w:tc>
                <w:tcPr>
                  <w:tcW w:w="741" w:type="dxa"/>
                  <w:vMerge w:val="continue"/>
                  <w:vAlign w:val="center"/>
                </w:tcPr>
                <w:p w14:paraId="7A7E9D5D">
                  <w:pPr>
                    <w:snapToGrid w:val="0"/>
                    <w:jc w:val="center"/>
                    <w:rPr>
                      <w:color w:val="auto"/>
                      <w:szCs w:val="21"/>
                    </w:rPr>
                  </w:pPr>
                </w:p>
              </w:tc>
              <w:tc>
                <w:tcPr>
                  <w:tcW w:w="893" w:type="dxa"/>
                  <w:vMerge w:val="continue"/>
                  <w:vAlign w:val="center"/>
                </w:tcPr>
                <w:p w14:paraId="6FE9F8A2">
                  <w:pPr>
                    <w:snapToGrid w:val="0"/>
                    <w:jc w:val="center"/>
                    <w:rPr>
                      <w:color w:val="auto"/>
                      <w:szCs w:val="21"/>
                    </w:rPr>
                  </w:pPr>
                </w:p>
              </w:tc>
              <w:tc>
                <w:tcPr>
                  <w:tcW w:w="693" w:type="dxa"/>
                  <w:vAlign w:val="center"/>
                </w:tcPr>
                <w:p w14:paraId="5F73DAD9">
                  <w:pPr>
                    <w:widowControl/>
                    <w:jc w:val="center"/>
                    <w:textAlignment w:val="center"/>
                    <w:rPr>
                      <w:color w:val="auto"/>
                      <w:szCs w:val="21"/>
                    </w:rPr>
                  </w:pPr>
                  <w:r>
                    <w:rPr>
                      <w:color w:val="auto"/>
                      <w:kern w:val="0"/>
                      <w:szCs w:val="21"/>
                      <w:lang w:bidi="ar"/>
                    </w:rPr>
                    <w:t>16.7</w:t>
                  </w:r>
                </w:p>
              </w:tc>
              <w:tc>
                <w:tcPr>
                  <w:tcW w:w="1260" w:type="dxa"/>
                  <w:vMerge w:val="restart"/>
                  <w:vAlign w:val="center"/>
                </w:tcPr>
                <w:p w14:paraId="01BC1C15">
                  <w:pPr>
                    <w:snapToGrid w:val="0"/>
                    <w:jc w:val="center"/>
                    <w:rPr>
                      <w:color w:val="auto"/>
                      <w:szCs w:val="21"/>
                    </w:rPr>
                  </w:pPr>
                  <w:r>
                    <w:rPr>
                      <w:color w:val="auto"/>
                      <w:szCs w:val="21"/>
                    </w:rPr>
                    <w:t>1</w:t>
                  </w:r>
                </w:p>
              </w:tc>
            </w:tr>
            <w:tr w14:paraId="313C5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vMerge w:val="continue"/>
                  <w:vAlign w:val="center"/>
                </w:tcPr>
                <w:p w14:paraId="7FB570A2">
                  <w:pPr>
                    <w:snapToGrid w:val="0"/>
                    <w:jc w:val="center"/>
                    <w:rPr>
                      <w:color w:val="auto"/>
                      <w:szCs w:val="21"/>
                    </w:rPr>
                  </w:pPr>
                </w:p>
              </w:tc>
              <w:tc>
                <w:tcPr>
                  <w:tcW w:w="786" w:type="dxa"/>
                  <w:vMerge w:val="continue"/>
                  <w:vAlign w:val="center"/>
                </w:tcPr>
                <w:p w14:paraId="33214EE2">
                  <w:pPr>
                    <w:snapToGrid w:val="0"/>
                    <w:jc w:val="center"/>
                    <w:rPr>
                      <w:b/>
                      <w:bCs/>
                      <w:color w:val="auto"/>
                      <w:szCs w:val="21"/>
                    </w:rPr>
                  </w:pPr>
                </w:p>
              </w:tc>
              <w:tc>
                <w:tcPr>
                  <w:tcW w:w="1383" w:type="dxa"/>
                  <w:vMerge w:val="continue"/>
                  <w:vAlign w:val="center"/>
                </w:tcPr>
                <w:p w14:paraId="34671351">
                  <w:pPr>
                    <w:adjustRightInd w:val="0"/>
                    <w:snapToGrid w:val="0"/>
                    <w:jc w:val="center"/>
                    <w:rPr>
                      <w:color w:val="auto"/>
                      <w:kern w:val="0"/>
                      <w:szCs w:val="21"/>
                    </w:rPr>
                  </w:pPr>
                </w:p>
              </w:tc>
              <w:tc>
                <w:tcPr>
                  <w:tcW w:w="1494" w:type="dxa"/>
                  <w:vMerge w:val="continue"/>
                  <w:vAlign w:val="center"/>
                </w:tcPr>
                <w:p w14:paraId="37AB1DE3">
                  <w:pPr>
                    <w:snapToGrid w:val="0"/>
                    <w:jc w:val="center"/>
                    <w:rPr>
                      <w:b/>
                      <w:bCs/>
                      <w:color w:val="auto"/>
                      <w:szCs w:val="21"/>
                    </w:rPr>
                  </w:pPr>
                </w:p>
              </w:tc>
              <w:tc>
                <w:tcPr>
                  <w:tcW w:w="1081" w:type="dxa"/>
                  <w:vMerge w:val="continue"/>
                  <w:vAlign w:val="center"/>
                </w:tcPr>
                <w:p w14:paraId="2229C26A">
                  <w:pPr>
                    <w:adjustRightInd w:val="0"/>
                    <w:snapToGrid w:val="0"/>
                    <w:jc w:val="center"/>
                    <w:rPr>
                      <w:bCs/>
                      <w:color w:val="auto"/>
                      <w:szCs w:val="21"/>
                    </w:rPr>
                  </w:pPr>
                </w:p>
              </w:tc>
              <w:tc>
                <w:tcPr>
                  <w:tcW w:w="768" w:type="dxa"/>
                  <w:vMerge w:val="continue"/>
                  <w:vAlign w:val="center"/>
                </w:tcPr>
                <w:p w14:paraId="158A37C3">
                  <w:pPr>
                    <w:snapToGrid w:val="0"/>
                    <w:jc w:val="center"/>
                    <w:rPr>
                      <w:b/>
                      <w:bCs/>
                      <w:color w:val="auto"/>
                      <w:szCs w:val="21"/>
                    </w:rPr>
                  </w:pPr>
                </w:p>
              </w:tc>
              <w:tc>
                <w:tcPr>
                  <w:tcW w:w="617" w:type="dxa"/>
                  <w:vMerge w:val="continue"/>
                  <w:vAlign w:val="center"/>
                </w:tcPr>
                <w:p w14:paraId="756D4B7A">
                  <w:pPr>
                    <w:snapToGrid w:val="0"/>
                    <w:jc w:val="center"/>
                    <w:rPr>
                      <w:color w:val="auto"/>
                      <w:szCs w:val="21"/>
                    </w:rPr>
                  </w:pPr>
                </w:p>
              </w:tc>
              <w:tc>
                <w:tcPr>
                  <w:tcW w:w="617" w:type="dxa"/>
                  <w:vMerge w:val="continue"/>
                  <w:vAlign w:val="center"/>
                </w:tcPr>
                <w:p w14:paraId="1E224922">
                  <w:pPr>
                    <w:snapToGrid w:val="0"/>
                    <w:jc w:val="center"/>
                    <w:rPr>
                      <w:color w:val="auto"/>
                      <w:szCs w:val="21"/>
                    </w:rPr>
                  </w:pPr>
                </w:p>
              </w:tc>
              <w:tc>
                <w:tcPr>
                  <w:tcW w:w="623" w:type="dxa"/>
                  <w:vMerge w:val="continue"/>
                  <w:vAlign w:val="center"/>
                </w:tcPr>
                <w:p w14:paraId="7AA9C91F">
                  <w:pPr>
                    <w:snapToGrid w:val="0"/>
                    <w:jc w:val="center"/>
                    <w:rPr>
                      <w:color w:val="auto"/>
                      <w:szCs w:val="21"/>
                    </w:rPr>
                  </w:pPr>
                </w:p>
              </w:tc>
              <w:tc>
                <w:tcPr>
                  <w:tcW w:w="1171" w:type="dxa"/>
                  <w:vAlign w:val="center"/>
                </w:tcPr>
                <w:p w14:paraId="6848D581">
                  <w:pPr>
                    <w:snapToGrid w:val="0"/>
                    <w:jc w:val="center"/>
                    <w:rPr>
                      <w:color w:val="auto"/>
                      <w:szCs w:val="21"/>
                    </w:rPr>
                  </w:pPr>
                  <w:r>
                    <w:rPr>
                      <w:rFonts w:hint="eastAsia"/>
                      <w:color w:val="auto"/>
                      <w:szCs w:val="21"/>
                    </w:rPr>
                    <w:t>南18</w:t>
                  </w:r>
                </w:p>
              </w:tc>
              <w:tc>
                <w:tcPr>
                  <w:tcW w:w="782" w:type="dxa"/>
                  <w:vAlign w:val="center"/>
                </w:tcPr>
                <w:p w14:paraId="612BC57C">
                  <w:pPr>
                    <w:widowControl/>
                    <w:jc w:val="center"/>
                    <w:textAlignment w:val="center"/>
                    <w:rPr>
                      <w:color w:val="auto"/>
                      <w:szCs w:val="21"/>
                    </w:rPr>
                  </w:pPr>
                  <w:r>
                    <w:rPr>
                      <w:color w:val="auto"/>
                      <w:kern w:val="0"/>
                      <w:szCs w:val="21"/>
                      <w:lang w:bidi="ar"/>
                    </w:rPr>
                    <w:t>49.9</w:t>
                  </w:r>
                </w:p>
              </w:tc>
              <w:tc>
                <w:tcPr>
                  <w:tcW w:w="741" w:type="dxa"/>
                  <w:vMerge w:val="continue"/>
                  <w:vAlign w:val="center"/>
                </w:tcPr>
                <w:p w14:paraId="5182B745">
                  <w:pPr>
                    <w:snapToGrid w:val="0"/>
                    <w:jc w:val="center"/>
                    <w:rPr>
                      <w:color w:val="auto"/>
                      <w:szCs w:val="21"/>
                    </w:rPr>
                  </w:pPr>
                </w:p>
              </w:tc>
              <w:tc>
                <w:tcPr>
                  <w:tcW w:w="893" w:type="dxa"/>
                  <w:vMerge w:val="continue"/>
                  <w:vAlign w:val="center"/>
                </w:tcPr>
                <w:p w14:paraId="5CE7ED1A">
                  <w:pPr>
                    <w:snapToGrid w:val="0"/>
                    <w:jc w:val="center"/>
                    <w:rPr>
                      <w:color w:val="auto"/>
                      <w:szCs w:val="21"/>
                    </w:rPr>
                  </w:pPr>
                </w:p>
              </w:tc>
              <w:tc>
                <w:tcPr>
                  <w:tcW w:w="693" w:type="dxa"/>
                  <w:vAlign w:val="center"/>
                </w:tcPr>
                <w:p w14:paraId="4A4DB1B2">
                  <w:pPr>
                    <w:widowControl/>
                    <w:jc w:val="center"/>
                    <w:textAlignment w:val="center"/>
                    <w:rPr>
                      <w:color w:val="auto"/>
                      <w:szCs w:val="21"/>
                    </w:rPr>
                  </w:pPr>
                  <w:r>
                    <w:rPr>
                      <w:color w:val="auto"/>
                      <w:kern w:val="0"/>
                      <w:szCs w:val="21"/>
                      <w:lang w:bidi="ar"/>
                    </w:rPr>
                    <w:t>29.9</w:t>
                  </w:r>
                </w:p>
              </w:tc>
              <w:tc>
                <w:tcPr>
                  <w:tcW w:w="1260" w:type="dxa"/>
                  <w:vMerge w:val="continue"/>
                  <w:vAlign w:val="center"/>
                </w:tcPr>
                <w:p w14:paraId="7B1DB448">
                  <w:pPr>
                    <w:snapToGrid w:val="0"/>
                    <w:jc w:val="center"/>
                    <w:rPr>
                      <w:color w:val="auto"/>
                      <w:szCs w:val="21"/>
                    </w:rPr>
                  </w:pPr>
                </w:p>
              </w:tc>
            </w:tr>
            <w:tr w14:paraId="7D54B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vMerge w:val="continue"/>
                  <w:vAlign w:val="center"/>
                </w:tcPr>
                <w:p w14:paraId="03F63FAF">
                  <w:pPr>
                    <w:snapToGrid w:val="0"/>
                    <w:jc w:val="center"/>
                    <w:rPr>
                      <w:color w:val="auto"/>
                      <w:szCs w:val="21"/>
                    </w:rPr>
                  </w:pPr>
                </w:p>
              </w:tc>
              <w:tc>
                <w:tcPr>
                  <w:tcW w:w="786" w:type="dxa"/>
                  <w:vMerge w:val="continue"/>
                  <w:vAlign w:val="center"/>
                </w:tcPr>
                <w:p w14:paraId="2AAF474D">
                  <w:pPr>
                    <w:snapToGrid w:val="0"/>
                    <w:jc w:val="center"/>
                    <w:rPr>
                      <w:b/>
                      <w:bCs/>
                      <w:color w:val="auto"/>
                      <w:szCs w:val="21"/>
                    </w:rPr>
                  </w:pPr>
                </w:p>
              </w:tc>
              <w:tc>
                <w:tcPr>
                  <w:tcW w:w="1383" w:type="dxa"/>
                  <w:vMerge w:val="continue"/>
                  <w:vAlign w:val="center"/>
                </w:tcPr>
                <w:p w14:paraId="71502F70">
                  <w:pPr>
                    <w:adjustRightInd w:val="0"/>
                    <w:snapToGrid w:val="0"/>
                    <w:jc w:val="center"/>
                    <w:rPr>
                      <w:color w:val="auto"/>
                      <w:kern w:val="0"/>
                      <w:szCs w:val="21"/>
                    </w:rPr>
                  </w:pPr>
                </w:p>
              </w:tc>
              <w:tc>
                <w:tcPr>
                  <w:tcW w:w="1494" w:type="dxa"/>
                  <w:vMerge w:val="continue"/>
                  <w:vAlign w:val="center"/>
                </w:tcPr>
                <w:p w14:paraId="0E45A408">
                  <w:pPr>
                    <w:snapToGrid w:val="0"/>
                    <w:jc w:val="center"/>
                    <w:rPr>
                      <w:b/>
                      <w:bCs/>
                      <w:color w:val="auto"/>
                      <w:szCs w:val="21"/>
                    </w:rPr>
                  </w:pPr>
                </w:p>
              </w:tc>
              <w:tc>
                <w:tcPr>
                  <w:tcW w:w="1081" w:type="dxa"/>
                  <w:vMerge w:val="continue"/>
                  <w:vAlign w:val="center"/>
                </w:tcPr>
                <w:p w14:paraId="1CD4C2E1">
                  <w:pPr>
                    <w:adjustRightInd w:val="0"/>
                    <w:snapToGrid w:val="0"/>
                    <w:jc w:val="center"/>
                    <w:rPr>
                      <w:bCs/>
                      <w:color w:val="auto"/>
                      <w:szCs w:val="21"/>
                    </w:rPr>
                  </w:pPr>
                </w:p>
              </w:tc>
              <w:tc>
                <w:tcPr>
                  <w:tcW w:w="768" w:type="dxa"/>
                  <w:vMerge w:val="continue"/>
                  <w:vAlign w:val="center"/>
                </w:tcPr>
                <w:p w14:paraId="0B7FE338">
                  <w:pPr>
                    <w:snapToGrid w:val="0"/>
                    <w:jc w:val="center"/>
                    <w:rPr>
                      <w:b/>
                      <w:bCs/>
                      <w:color w:val="auto"/>
                      <w:szCs w:val="21"/>
                    </w:rPr>
                  </w:pPr>
                </w:p>
              </w:tc>
              <w:tc>
                <w:tcPr>
                  <w:tcW w:w="617" w:type="dxa"/>
                  <w:vMerge w:val="continue"/>
                  <w:vAlign w:val="center"/>
                </w:tcPr>
                <w:p w14:paraId="48F626DE">
                  <w:pPr>
                    <w:snapToGrid w:val="0"/>
                    <w:jc w:val="center"/>
                    <w:rPr>
                      <w:color w:val="auto"/>
                      <w:szCs w:val="21"/>
                    </w:rPr>
                  </w:pPr>
                </w:p>
              </w:tc>
              <w:tc>
                <w:tcPr>
                  <w:tcW w:w="617" w:type="dxa"/>
                  <w:vMerge w:val="continue"/>
                  <w:vAlign w:val="center"/>
                </w:tcPr>
                <w:p w14:paraId="3B07F0A5">
                  <w:pPr>
                    <w:snapToGrid w:val="0"/>
                    <w:jc w:val="center"/>
                    <w:rPr>
                      <w:color w:val="auto"/>
                      <w:szCs w:val="21"/>
                    </w:rPr>
                  </w:pPr>
                </w:p>
              </w:tc>
              <w:tc>
                <w:tcPr>
                  <w:tcW w:w="623" w:type="dxa"/>
                  <w:vMerge w:val="continue"/>
                  <w:vAlign w:val="center"/>
                </w:tcPr>
                <w:p w14:paraId="08A4DB5F">
                  <w:pPr>
                    <w:snapToGrid w:val="0"/>
                    <w:jc w:val="center"/>
                    <w:rPr>
                      <w:color w:val="auto"/>
                      <w:szCs w:val="21"/>
                    </w:rPr>
                  </w:pPr>
                </w:p>
              </w:tc>
              <w:tc>
                <w:tcPr>
                  <w:tcW w:w="1171" w:type="dxa"/>
                  <w:vAlign w:val="center"/>
                </w:tcPr>
                <w:p w14:paraId="7809EBE3">
                  <w:pPr>
                    <w:snapToGrid w:val="0"/>
                    <w:jc w:val="center"/>
                    <w:rPr>
                      <w:color w:val="auto"/>
                      <w:szCs w:val="21"/>
                    </w:rPr>
                  </w:pPr>
                  <w:r>
                    <w:rPr>
                      <w:rFonts w:hint="eastAsia"/>
                      <w:color w:val="auto"/>
                      <w:szCs w:val="21"/>
                    </w:rPr>
                    <w:t>东6</w:t>
                  </w:r>
                </w:p>
              </w:tc>
              <w:tc>
                <w:tcPr>
                  <w:tcW w:w="782" w:type="dxa"/>
                  <w:vAlign w:val="center"/>
                </w:tcPr>
                <w:p w14:paraId="4BF5A400">
                  <w:pPr>
                    <w:widowControl/>
                    <w:jc w:val="center"/>
                    <w:textAlignment w:val="center"/>
                    <w:rPr>
                      <w:color w:val="auto"/>
                      <w:szCs w:val="21"/>
                    </w:rPr>
                  </w:pPr>
                  <w:r>
                    <w:rPr>
                      <w:color w:val="auto"/>
                      <w:kern w:val="0"/>
                      <w:szCs w:val="21"/>
                      <w:lang w:bidi="ar"/>
                    </w:rPr>
                    <w:t>59.4</w:t>
                  </w:r>
                </w:p>
              </w:tc>
              <w:tc>
                <w:tcPr>
                  <w:tcW w:w="741" w:type="dxa"/>
                  <w:vMerge w:val="continue"/>
                  <w:vAlign w:val="center"/>
                </w:tcPr>
                <w:p w14:paraId="70098FC0">
                  <w:pPr>
                    <w:snapToGrid w:val="0"/>
                    <w:jc w:val="center"/>
                    <w:rPr>
                      <w:color w:val="auto"/>
                      <w:szCs w:val="21"/>
                    </w:rPr>
                  </w:pPr>
                </w:p>
              </w:tc>
              <w:tc>
                <w:tcPr>
                  <w:tcW w:w="893" w:type="dxa"/>
                  <w:vMerge w:val="continue"/>
                  <w:vAlign w:val="center"/>
                </w:tcPr>
                <w:p w14:paraId="4181D26C">
                  <w:pPr>
                    <w:snapToGrid w:val="0"/>
                    <w:jc w:val="center"/>
                    <w:rPr>
                      <w:color w:val="auto"/>
                      <w:szCs w:val="21"/>
                    </w:rPr>
                  </w:pPr>
                </w:p>
              </w:tc>
              <w:tc>
                <w:tcPr>
                  <w:tcW w:w="693" w:type="dxa"/>
                  <w:vAlign w:val="center"/>
                </w:tcPr>
                <w:p w14:paraId="095BAEDC">
                  <w:pPr>
                    <w:widowControl/>
                    <w:jc w:val="center"/>
                    <w:textAlignment w:val="center"/>
                    <w:rPr>
                      <w:color w:val="auto"/>
                      <w:szCs w:val="21"/>
                    </w:rPr>
                  </w:pPr>
                  <w:r>
                    <w:rPr>
                      <w:color w:val="auto"/>
                      <w:kern w:val="0"/>
                      <w:szCs w:val="21"/>
                      <w:lang w:bidi="ar"/>
                    </w:rPr>
                    <w:t>39.4</w:t>
                  </w:r>
                </w:p>
              </w:tc>
              <w:tc>
                <w:tcPr>
                  <w:tcW w:w="1260" w:type="dxa"/>
                  <w:vMerge w:val="continue"/>
                  <w:vAlign w:val="center"/>
                </w:tcPr>
                <w:p w14:paraId="63DA89EF">
                  <w:pPr>
                    <w:snapToGrid w:val="0"/>
                    <w:jc w:val="center"/>
                    <w:rPr>
                      <w:color w:val="auto"/>
                      <w:szCs w:val="21"/>
                    </w:rPr>
                  </w:pPr>
                </w:p>
              </w:tc>
            </w:tr>
            <w:tr w14:paraId="6A7EC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vMerge w:val="continue"/>
                  <w:vAlign w:val="center"/>
                </w:tcPr>
                <w:p w14:paraId="475A8EC0">
                  <w:pPr>
                    <w:snapToGrid w:val="0"/>
                    <w:jc w:val="center"/>
                    <w:rPr>
                      <w:color w:val="auto"/>
                      <w:szCs w:val="21"/>
                    </w:rPr>
                  </w:pPr>
                </w:p>
              </w:tc>
              <w:tc>
                <w:tcPr>
                  <w:tcW w:w="786" w:type="dxa"/>
                  <w:vMerge w:val="continue"/>
                  <w:vAlign w:val="center"/>
                </w:tcPr>
                <w:p w14:paraId="2AD0A4B7">
                  <w:pPr>
                    <w:snapToGrid w:val="0"/>
                    <w:jc w:val="center"/>
                    <w:rPr>
                      <w:b/>
                      <w:bCs/>
                      <w:color w:val="auto"/>
                      <w:szCs w:val="21"/>
                    </w:rPr>
                  </w:pPr>
                </w:p>
              </w:tc>
              <w:tc>
                <w:tcPr>
                  <w:tcW w:w="1383" w:type="dxa"/>
                  <w:vMerge w:val="continue"/>
                  <w:vAlign w:val="center"/>
                </w:tcPr>
                <w:p w14:paraId="05949B3D">
                  <w:pPr>
                    <w:adjustRightInd w:val="0"/>
                    <w:snapToGrid w:val="0"/>
                    <w:jc w:val="center"/>
                    <w:rPr>
                      <w:color w:val="auto"/>
                      <w:kern w:val="0"/>
                      <w:szCs w:val="21"/>
                    </w:rPr>
                  </w:pPr>
                </w:p>
              </w:tc>
              <w:tc>
                <w:tcPr>
                  <w:tcW w:w="1494" w:type="dxa"/>
                  <w:vMerge w:val="continue"/>
                  <w:vAlign w:val="center"/>
                </w:tcPr>
                <w:p w14:paraId="0765750B">
                  <w:pPr>
                    <w:snapToGrid w:val="0"/>
                    <w:jc w:val="center"/>
                    <w:rPr>
                      <w:b/>
                      <w:bCs/>
                      <w:color w:val="auto"/>
                      <w:szCs w:val="21"/>
                    </w:rPr>
                  </w:pPr>
                </w:p>
              </w:tc>
              <w:tc>
                <w:tcPr>
                  <w:tcW w:w="1081" w:type="dxa"/>
                  <w:vMerge w:val="continue"/>
                  <w:vAlign w:val="center"/>
                </w:tcPr>
                <w:p w14:paraId="215B1BA9">
                  <w:pPr>
                    <w:adjustRightInd w:val="0"/>
                    <w:snapToGrid w:val="0"/>
                    <w:jc w:val="center"/>
                    <w:rPr>
                      <w:bCs/>
                      <w:color w:val="auto"/>
                      <w:szCs w:val="21"/>
                    </w:rPr>
                  </w:pPr>
                </w:p>
              </w:tc>
              <w:tc>
                <w:tcPr>
                  <w:tcW w:w="768" w:type="dxa"/>
                  <w:vMerge w:val="continue"/>
                  <w:vAlign w:val="center"/>
                </w:tcPr>
                <w:p w14:paraId="1BFAB0BB">
                  <w:pPr>
                    <w:snapToGrid w:val="0"/>
                    <w:jc w:val="center"/>
                    <w:rPr>
                      <w:b/>
                      <w:bCs/>
                      <w:color w:val="auto"/>
                      <w:szCs w:val="21"/>
                    </w:rPr>
                  </w:pPr>
                </w:p>
              </w:tc>
              <w:tc>
                <w:tcPr>
                  <w:tcW w:w="617" w:type="dxa"/>
                  <w:vMerge w:val="continue"/>
                  <w:vAlign w:val="center"/>
                </w:tcPr>
                <w:p w14:paraId="131065EF">
                  <w:pPr>
                    <w:snapToGrid w:val="0"/>
                    <w:jc w:val="center"/>
                    <w:rPr>
                      <w:color w:val="auto"/>
                      <w:szCs w:val="21"/>
                    </w:rPr>
                  </w:pPr>
                </w:p>
              </w:tc>
              <w:tc>
                <w:tcPr>
                  <w:tcW w:w="617" w:type="dxa"/>
                  <w:vMerge w:val="continue"/>
                  <w:vAlign w:val="center"/>
                </w:tcPr>
                <w:p w14:paraId="68FDE1A7">
                  <w:pPr>
                    <w:snapToGrid w:val="0"/>
                    <w:jc w:val="center"/>
                    <w:rPr>
                      <w:color w:val="auto"/>
                      <w:szCs w:val="21"/>
                    </w:rPr>
                  </w:pPr>
                </w:p>
              </w:tc>
              <w:tc>
                <w:tcPr>
                  <w:tcW w:w="623" w:type="dxa"/>
                  <w:vMerge w:val="continue"/>
                  <w:vAlign w:val="center"/>
                </w:tcPr>
                <w:p w14:paraId="6D65B9D6">
                  <w:pPr>
                    <w:snapToGrid w:val="0"/>
                    <w:jc w:val="center"/>
                    <w:rPr>
                      <w:color w:val="auto"/>
                      <w:szCs w:val="21"/>
                    </w:rPr>
                  </w:pPr>
                </w:p>
              </w:tc>
              <w:tc>
                <w:tcPr>
                  <w:tcW w:w="1171" w:type="dxa"/>
                  <w:vAlign w:val="center"/>
                </w:tcPr>
                <w:p w14:paraId="49B28356">
                  <w:pPr>
                    <w:snapToGrid w:val="0"/>
                    <w:jc w:val="center"/>
                    <w:rPr>
                      <w:color w:val="auto"/>
                      <w:szCs w:val="21"/>
                    </w:rPr>
                  </w:pPr>
                  <w:r>
                    <w:rPr>
                      <w:rFonts w:hint="eastAsia"/>
                      <w:color w:val="auto"/>
                      <w:szCs w:val="21"/>
                    </w:rPr>
                    <w:t>西54</w:t>
                  </w:r>
                </w:p>
              </w:tc>
              <w:tc>
                <w:tcPr>
                  <w:tcW w:w="782" w:type="dxa"/>
                  <w:vAlign w:val="center"/>
                </w:tcPr>
                <w:p w14:paraId="2C82795D">
                  <w:pPr>
                    <w:widowControl/>
                    <w:jc w:val="center"/>
                    <w:textAlignment w:val="center"/>
                    <w:rPr>
                      <w:color w:val="auto"/>
                      <w:szCs w:val="21"/>
                    </w:rPr>
                  </w:pPr>
                  <w:r>
                    <w:rPr>
                      <w:color w:val="auto"/>
                      <w:kern w:val="0"/>
                      <w:szCs w:val="21"/>
                      <w:lang w:bidi="ar"/>
                    </w:rPr>
                    <w:t>40.4</w:t>
                  </w:r>
                </w:p>
              </w:tc>
              <w:tc>
                <w:tcPr>
                  <w:tcW w:w="741" w:type="dxa"/>
                  <w:vMerge w:val="continue"/>
                  <w:vAlign w:val="center"/>
                </w:tcPr>
                <w:p w14:paraId="4463D95E">
                  <w:pPr>
                    <w:snapToGrid w:val="0"/>
                    <w:jc w:val="center"/>
                    <w:rPr>
                      <w:color w:val="auto"/>
                      <w:szCs w:val="21"/>
                    </w:rPr>
                  </w:pPr>
                </w:p>
              </w:tc>
              <w:tc>
                <w:tcPr>
                  <w:tcW w:w="893" w:type="dxa"/>
                  <w:vMerge w:val="continue"/>
                  <w:vAlign w:val="center"/>
                </w:tcPr>
                <w:p w14:paraId="6B79B056">
                  <w:pPr>
                    <w:snapToGrid w:val="0"/>
                    <w:jc w:val="center"/>
                    <w:rPr>
                      <w:color w:val="auto"/>
                      <w:szCs w:val="21"/>
                    </w:rPr>
                  </w:pPr>
                </w:p>
              </w:tc>
              <w:tc>
                <w:tcPr>
                  <w:tcW w:w="693" w:type="dxa"/>
                  <w:vAlign w:val="center"/>
                </w:tcPr>
                <w:p w14:paraId="576560C8">
                  <w:pPr>
                    <w:widowControl/>
                    <w:jc w:val="center"/>
                    <w:textAlignment w:val="center"/>
                    <w:rPr>
                      <w:color w:val="auto"/>
                      <w:szCs w:val="21"/>
                    </w:rPr>
                  </w:pPr>
                  <w:r>
                    <w:rPr>
                      <w:color w:val="auto"/>
                      <w:kern w:val="0"/>
                      <w:szCs w:val="21"/>
                      <w:lang w:bidi="ar"/>
                    </w:rPr>
                    <w:t>20.4</w:t>
                  </w:r>
                </w:p>
              </w:tc>
              <w:tc>
                <w:tcPr>
                  <w:tcW w:w="1260" w:type="dxa"/>
                  <w:vMerge w:val="continue"/>
                  <w:vAlign w:val="center"/>
                </w:tcPr>
                <w:p w14:paraId="3CBB2307">
                  <w:pPr>
                    <w:snapToGrid w:val="0"/>
                    <w:jc w:val="center"/>
                    <w:rPr>
                      <w:color w:val="auto"/>
                      <w:szCs w:val="21"/>
                    </w:rPr>
                  </w:pPr>
                </w:p>
              </w:tc>
            </w:tr>
            <w:tr w14:paraId="0BC44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vMerge w:val="restart"/>
                  <w:vAlign w:val="center"/>
                </w:tcPr>
                <w:p w14:paraId="08C61A31">
                  <w:pPr>
                    <w:widowControl/>
                    <w:jc w:val="center"/>
                    <w:textAlignment w:val="center"/>
                    <w:rPr>
                      <w:color w:val="auto"/>
                      <w:szCs w:val="21"/>
                    </w:rPr>
                  </w:pPr>
                  <w:r>
                    <w:rPr>
                      <w:color w:val="auto"/>
                      <w:kern w:val="0"/>
                      <w:szCs w:val="21"/>
                      <w:lang w:bidi="ar"/>
                    </w:rPr>
                    <w:t>12</w:t>
                  </w:r>
                </w:p>
              </w:tc>
              <w:tc>
                <w:tcPr>
                  <w:tcW w:w="786" w:type="dxa"/>
                  <w:vMerge w:val="continue"/>
                  <w:vAlign w:val="center"/>
                </w:tcPr>
                <w:p w14:paraId="314B47D6">
                  <w:pPr>
                    <w:snapToGrid w:val="0"/>
                    <w:jc w:val="center"/>
                    <w:rPr>
                      <w:b/>
                      <w:bCs/>
                      <w:color w:val="auto"/>
                      <w:szCs w:val="21"/>
                    </w:rPr>
                  </w:pPr>
                </w:p>
              </w:tc>
              <w:tc>
                <w:tcPr>
                  <w:tcW w:w="1383" w:type="dxa"/>
                  <w:vMerge w:val="restart"/>
                  <w:vAlign w:val="center"/>
                </w:tcPr>
                <w:p w14:paraId="297DEA66">
                  <w:pPr>
                    <w:autoSpaceDE w:val="0"/>
                    <w:autoSpaceDN w:val="0"/>
                    <w:adjustRightInd w:val="0"/>
                    <w:snapToGrid w:val="0"/>
                    <w:jc w:val="center"/>
                    <w:rPr>
                      <w:color w:val="auto"/>
                      <w:kern w:val="0"/>
                      <w:szCs w:val="21"/>
                    </w:rPr>
                  </w:pPr>
                  <w:r>
                    <w:rPr>
                      <w:rFonts w:hint="eastAsia"/>
                      <w:color w:val="auto"/>
                      <w:kern w:val="0"/>
                      <w:szCs w:val="21"/>
                    </w:rPr>
                    <w:t>多边锯</w:t>
                  </w:r>
                </w:p>
              </w:tc>
              <w:tc>
                <w:tcPr>
                  <w:tcW w:w="1494" w:type="dxa"/>
                  <w:vMerge w:val="restart"/>
                  <w:vAlign w:val="center"/>
                </w:tcPr>
                <w:p w14:paraId="50810B64">
                  <w:pPr>
                    <w:autoSpaceDE w:val="0"/>
                    <w:autoSpaceDN w:val="0"/>
                    <w:adjustRightInd w:val="0"/>
                    <w:snapToGrid w:val="0"/>
                    <w:jc w:val="center"/>
                    <w:rPr>
                      <w:b/>
                      <w:bCs/>
                      <w:color w:val="auto"/>
                      <w:szCs w:val="21"/>
                    </w:rPr>
                  </w:pPr>
                  <w:r>
                    <w:rPr>
                      <w:rFonts w:hint="eastAsia"/>
                      <w:color w:val="auto"/>
                      <w:szCs w:val="21"/>
                    </w:rPr>
                    <w:t>/</w:t>
                  </w:r>
                </w:p>
              </w:tc>
              <w:tc>
                <w:tcPr>
                  <w:tcW w:w="1081" w:type="dxa"/>
                  <w:vMerge w:val="restart"/>
                  <w:vAlign w:val="center"/>
                </w:tcPr>
                <w:p w14:paraId="189A287E">
                  <w:pPr>
                    <w:widowControl/>
                    <w:jc w:val="center"/>
                    <w:textAlignment w:val="center"/>
                    <w:rPr>
                      <w:bCs/>
                      <w:color w:val="auto"/>
                      <w:szCs w:val="21"/>
                    </w:rPr>
                  </w:pPr>
                  <w:r>
                    <w:rPr>
                      <w:color w:val="auto"/>
                      <w:kern w:val="0"/>
                      <w:szCs w:val="21"/>
                      <w:lang w:bidi="ar"/>
                    </w:rPr>
                    <w:t>75</w:t>
                  </w:r>
                </w:p>
              </w:tc>
              <w:tc>
                <w:tcPr>
                  <w:tcW w:w="768" w:type="dxa"/>
                  <w:vMerge w:val="continue"/>
                  <w:vAlign w:val="center"/>
                </w:tcPr>
                <w:p w14:paraId="561F07BF">
                  <w:pPr>
                    <w:snapToGrid w:val="0"/>
                    <w:jc w:val="center"/>
                    <w:rPr>
                      <w:b/>
                      <w:bCs/>
                      <w:color w:val="auto"/>
                      <w:szCs w:val="21"/>
                    </w:rPr>
                  </w:pPr>
                </w:p>
              </w:tc>
              <w:tc>
                <w:tcPr>
                  <w:tcW w:w="617" w:type="dxa"/>
                  <w:vMerge w:val="restart"/>
                  <w:vAlign w:val="center"/>
                </w:tcPr>
                <w:p w14:paraId="41ABEE31">
                  <w:pPr>
                    <w:widowControl/>
                    <w:jc w:val="center"/>
                    <w:textAlignment w:val="center"/>
                    <w:rPr>
                      <w:color w:val="auto"/>
                      <w:szCs w:val="21"/>
                    </w:rPr>
                  </w:pPr>
                  <w:r>
                    <w:rPr>
                      <w:color w:val="auto"/>
                      <w:kern w:val="0"/>
                      <w:szCs w:val="21"/>
                      <w:lang w:bidi="ar"/>
                    </w:rPr>
                    <w:t>7</w:t>
                  </w:r>
                </w:p>
              </w:tc>
              <w:tc>
                <w:tcPr>
                  <w:tcW w:w="617" w:type="dxa"/>
                  <w:vMerge w:val="restart"/>
                  <w:vAlign w:val="center"/>
                </w:tcPr>
                <w:p w14:paraId="00FCAE40">
                  <w:pPr>
                    <w:widowControl/>
                    <w:jc w:val="center"/>
                    <w:textAlignment w:val="center"/>
                    <w:rPr>
                      <w:color w:val="auto"/>
                      <w:szCs w:val="21"/>
                    </w:rPr>
                  </w:pPr>
                  <w:r>
                    <w:rPr>
                      <w:color w:val="auto"/>
                      <w:kern w:val="0"/>
                      <w:szCs w:val="21"/>
                      <w:lang w:bidi="ar"/>
                    </w:rPr>
                    <w:t>-82</w:t>
                  </w:r>
                </w:p>
              </w:tc>
              <w:tc>
                <w:tcPr>
                  <w:tcW w:w="623" w:type="dxa"/>
                  <w:vMerge w:val="restart"/>
                  <w:vAlign w:val="center"/>
                </w:tcPr>
                <w:p w14:paraId="22FCD0C8">
                  <w:pPr>
                    <w:widowControl/>
                    <w:jc w:val="center"/>
                    <w:textAlignment w:val="center"/>
                    <w:rPr>
                      <w:color w:val="auto"/>
                      <w:szCs w:val="21"/>
                    </w:rPr>
                  </w:pPr>
                  <w:r>
                    <w:rPr>
                      <w:color w:val="auto"/>
                      <w:kern w:val="0"/>
                      <w:szCs w:val="21"/>
                      <w:lang w:bidi="ar"/>
                    </w:rPr>
                    <w:t>1.2</w:t>
                  </w:r>
                </w:p>
              </w:tc>
              <w:tc>
                <w:tcPr>
                  <w:tcW w:w="1171" w:type="dxa"/>
                  <w:vAlign w:val="center"/>
                </w:tcPr>
                <w:p w14:paraId="6AAEC370">
                  <w:pPr>
                    <w:snapToGrid w:val="0"/>
                    <w:jc w:val="center"/>
                    <w:rPr>
                      <w:color w:val="auto"/>
                      <w:szCs w:val="21"/>
                    </w:rPr>
                  </w:pPr>
                  <w:r>
                    <w:rPr>
                      <w:rFonts w:hint="eastAsia"/>
                      <w:color w:val="auto"/>
                      <w:szCs w:val="21"/>
                    </w:rPr>
                    <w:t>北80</w:t>
                  </w:r>
                </w:p>
              </w:tc>
              <w:tc>
                <w:tcPr>
                  <w:tcW w:w="782" w:type="dxa"/>
                  <w:vAlign w:val="center"/>
                </w:tcPr>
                <w:p w14:paraId="2E001956">
                  <w:pPr>
                    <w:widowControl/>
                    <w:jc w:val="center"/>
                    <w:textAlignment w:val="center"/>
                    <w:rPr>
                      <w:color w:val="auto"/>
                      <w:szCs w:val="21"/>
                    </w:rPr>
                  </w:pPr>
                  <w:r>
                    <w:rPr>
                      <w:color w:val="auto"/>
                      <w:kern w:val="0"/>
                      <w:szCs w:val="21"/>
                      <w:lang w:bidi="ar"/>
                    </w:rPr>
                    <w:t>36.9</w:t>
                  </w:r>
                </w:p>
              </w:tc>
              <w:tc>
                <w:tcPr>
                  <w:tcW w:w="741" w:type="dxa"/>
                  <w:vMerge w:val="continue"/>
                  <w:vAlign w:val="center"/>
                </w:tcPr>
                <w:p w14:paraId="30E53ED2">
                  <w:pPr>
                    <w:snapToGrid w:val="0"/>
                    <w:jc w:val="center"/>
                    <w:rPr>
                      <w:color w:val="auto"/>
                      <w:szCs w:val="21"/>
                    </w:rPr>
                  </w:pPr>
                </w:p>
              </w:tc>
              <w:tc>
                <w:tcPr>
                  <w:tcW w:w="893" w:type="dxa"/>
                  <w:vMerge w:val="continue"/>
                  <w:vAlign w:val="center"/>
                </w:tcPr>
                <w:p w14:paraId="50F08C4B">
                  <w:pPr>
                    <w:snapToGrid w:val="0"/>
                    <w:jc w:val="center"/>
                    <w:rPr>
                      <w:color w:val="auto"/>
                      <w:szCs w:val="21"/>
                    </w:rPr>
                  </w:pPr>
                </w:p>
              </w:tc>
              <w:tc>
                <w:tcPr>
                  <w:tcW w:w="693" w:type="dxa"/>
                  <w:vAlign w:val="center"/>
                </w:tcPr>
                <w:p w14:paraId="46639169">
                  <w:pPr>
                    <w:widowControl/>
                    <w:jc w:val="center"/>
                    <w:textAlignment w:val="center"/>
                    <w:rPr>
                      <w:color w:val="auto"/>
                      <w:szCs w:val="21"/>
                    </w:rPr>
                  </w:pPr>
                  <w:r>
                    <w:rPr>
                      <w:color w:val="auto"/>
                      <w:kern w:val="0"/>
                      <w:szCs w:val="21"/>
                      <w:lang w:bidi="ar"/>
                    </w:rPr>
                    <w:t>16.9</w:t>
                  </w:r>
                </w:p>
              </w:tc>
              <w:tc>
                <w:tcPr>
                  <w:tcW w:w="1260" w:type="dxa"/>
                  <w:vMerge w:val="restart"/>
                  <w:vAlign w:val="center"/>
                </w:tcPr>
                <w:p w14:paraId="1D924A7E">
                  <w:pPr>
                    <w:snapToGrid w:val="0"/>
                    <w:jc w:val="center"/>
                    <w:rPr>
                      <w:color w:val="auto"/>
                      <w:szCs w:val="21"/>
                    </w:rPr>
                  </w:pPr>
                  <w:r>
                    <w:rPr>
                      <w:color w:val="auto"/>
                      <w:szCs w:val="21"/>
                    </w:rPr>
                    <w:t>1</w:t>
                  </w:r>
                </w:p>
              </w:tc>
            </w:tr>
            <w:tr w14:paraId="28052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vMerge w:val="continue"/>
                  <w:vAlign w:val="center"/>
                </w:tcPr>
                <w:p w14:paraId="193331DE">
                  <w:pPr>
                    <w:snapToGrid w:val="0"/>
                    <w:jc w:val="center"/>
                    <w:rPr>
                      <w:color w:val="auto"/>
                      <w:szCs w:val="21"/>
                    </w:rPr>
                  </w:pPr>
                </w:p>
              </w:tc>
              <w:tc>
                <w:tcPr>
                  <w:tcW w:w="786" w:type="dxa"/>
                  <w:vMerge w:val="continue"/>
                  <w:vAlign w:val="center"/>
                </w:tcPr>
                <w:p w14:paraId="1BAA27FC">
                  <w:pPr>
                    <w:snapToGrid w:val="0"/>
                    <w:jc w:val="center"/>
                    <w:rPr>
                      <w:b/>
                      <w:bCs/>
                      <w:color w:val="auto"/>
                      <w:szCs w:val="21"/>
                    </w:rPr>
                  </w:pPr>
                </w:p>
              </w:tc>
              <w:tc>
                <w:tcPr>
                  <w:tcW w:w="1383" w:type="dxa"/>
                  <w:vMerge w:val="continue"/>
                  <w:vAlign w:val="center"/>
                </w:tcPr>
                <w:p w14:paraId="3AEC746C">
                  <w:pPr>
                    <w:adjustRightInd w:val="0"/>
                    <w:snapToGrid w:val="0"/>
                    <w:jc w:val="center"/>
                    <w:rPr>
                      <w:color w:val="auto"/>
                      <w:kern w:val="0"/>
                      <w:szCs w:val="21"/>
                    </w:rPr>
                  </w:pPr>
                </w:p>
              </w:tc>
              <w:tc>
                <w:tcPr>
                  <w:tcW w:w="1494" w:type="dxa"/>
                  <w:vMerge w:val="continue"/>
                  <w:vAlign w:val="center"/>
                </w:tcPr>
                <w:p w14:paraId="00672E43">
                  <w:pPr>
                    <w:snapToGrid w:val="0"/>
                    <w:jc w:val="center"/>
                    <w:rPr>
                      <w:b/>
                      <w:bCs/>
                      <w:color w:val="auto"/>
                      <w:szCs w:val="21"/>
                    </w:rPr>
                  </w:pPr>
                </w:p>
              </w:tc>
              <w:tc>
                <w:tcPr>
                  <w:tcW w:w="1081" w:type="dxa"/>
                  <w:vMerge w:val="continue"/>
                  <w:vAlign w:val="center"/>
                </w:tcPr>
                <w:p w14:paraId="424A1754">
                  <w:pPr>
                    <w:adjustRightInd w:val="0"/>
                    <w:snapToGrid w:val="0"/>
                    <w:jc w:val="center"/>
                    <w:rPr>
                      <w:bCs/>
                      <w:color w:val="auto"/>
                      <w:szCs w:val="21"/>
                    </w:rPr>
                  </w:pPr>
                </w:p>
              </w:tc>
              <w:tc>
                <w:tcPr>
                  <w:tcW w:w="768" w:type="dxa"/>
                  <w:vMerge w:val="continue"/>
                  <w:vAlign w:val="center"/>
                </w:tcPr>
                <w:p w14:paraId="6AB4A580">
                  <w:pPr>
                    <w:snapToGrid w:val="0"/>
                    <w:jc w:val="center"/>
                    <w:rPr>
                      <w:b/>
                      <w:bCs/>
                      <w:color w:val="auto"/>
                      <w:szCs w:val="21"/>
                    </w:rPr>
                  </w:pPr>
                </w:p>
              </w:tc>
              <w:tc>
                <w:tcPr>
                  <w:tcW w:w="617" w:type="dxa"/>
                  <w:vMerge w:val="continue"/>
                  <w:vAlign w:val="center"/>
                </w:tcPr>
                <w:p w14:paraId="206569F3">
                  <w:pPr>
                    <w:snapToGrid w:val="0"/>
                    <w:jc w:val="center"/>
                    <w:rPr>
                      <w:color w:val="auto"/>
                      <w:szCs w:val="21"/>
                    </w:rPr>
                  </w:pPr>
                </w:p>
              </w:tc>
              <w:tc>
                <w:tcPr>
                  <w:tcW w:w="617" w:type="dxa"/>
                  <w:vMerge w:val="continue"/>
                  <w:vAlign w:val="center"/>
                </w:tcPr>
                <w:p w14:paraId="0ADDFC3E">
                  <w:pPr>
                    <w:snapToGrid w:val="0"/>
                    <w:jc w:val="center"/>
                    <w:rPr>
                      <w:color w:val="auto"/>
                      <w:szCs w:val="21"/>
                    </w:rPr>
                  </w:pPr>
                </w:p>
              </w:tc>
              <w:tc>
                <w:tcPr>
                  <w:tcW w:w="623" w:type="dxa"/>
                  <w:vMerge w:val="continue"/>
                  <w:vAlign w:val="center"/>
                </w:tcPr>
                <w:p w14:paraId="38A43B57">
                  <w:pPr>
                    <w:snapToGrid w:val="0"/>
                    <w:jc w:val="center"/>
                    <w:rPr>
                      <w:color w:val="auto"/>
                      <w:szCs w:val="21"/>
                    </w:rPr>
                  </w:pPr>
                </w:p>
              </w:tc>
              <w:tc>
                <w:tcPr>
                  <w:tcW w:w="1171" w:type="dxa"/>
                  <w:vAlign w:val="center"/>
                </w:tcPr>
                <w:p w14:paraId="44BEB9E9">
                  <w:pPr>
                    <w:snapToGrid w:val="0"/>
                    <w:jc w:val="center"/>
                    <w:rPr>
                      <w:color w:val="auto"/>
                      <w:szCs w:val="21"/>
                    </w:rPr>
                  </w:pPr>
                  <w:r>
                    <w:rPr>
                      <w:rFonts w:hint="eastAsia"/>
                      <w:color w:val="auto"/>
                      <w:szCs w:val="21"/>
                    </w:rPr>
                    <w:t>南20</w:t>
                  </w:r>
                </w:p>
              </w:tc>
              <w:tc>
                <w:tcPr>
                  <w:tcW w:w="782" w:type="dxa"/>
                  <w:vAlign w:val="center"/>
                </w:tcPr>
                <w:p w14:paraId="7B2E3E8F">
                  <w:pPr>
                    <w:widowControl/>
                    <w:jc w:val="center"/>
                    <w:textAlignment w:val="center"/>
                    <w:rPr>
                      <w:color w:val="auto"/>
                      <w:szCs w:val="21"/>
                    </w:rPr>
                  </w:pPr>
                  <w:r>
                    <w:rPr>
                      <w:color w:val="auto"/>
                      <w:kern w:val="0"/>
                      <w:szCs w:val="21"/>
                      <w:lang w:bidi="ar"/>
                    </w:rPr>
                    <w:t>49.0</w:t>
                  </w:r>
                </w:p>
              </w:tc>
              <w:tc>
                <w:tcPr>
                  <w:tcW w:w="741" w:type="dxa"/>
                  <w:vMerge w:val="continue"/>
                  <w:vAlign w:val="center"/>
                </w:tcPr>
                <w:p w14:paraId="24F4CBFF">
                  <w:pPr>
                    <w:snapToGrid w:val="0"/>
                    <w:jc w:val="center"/>
                    <w:rPr>
                      <w:color w:val="auto"/>
                      <w:szCs w:val="21"/>
                    </w:rPr>
                  </w:pPr>
                </w:p>
              </w:tc>
              <w:tc>
                <w:tcPr>
                  <w:tcW w:w="893" w:type="dxa"/>
                  <w:vMerge w:val="continue"/>
                  <w:vAlign w:val="center"/>
                </w:tcPr>
                <w:p w14:paraId="2F67C881">
                  <w:pPr>
                    <w:snapToGrid w:val="0"/>
                    <w:jc w:val="center"/>
                    <w:rPr>
                      <w:color w:val="auto"/>
                      <w:szCs w:val="21"/>
                    </w:rPr>
                  </w:pPr>
                </w:p>
              </w:tc>
              <w:tc>
                <w:tcPr>
                  <w:tcW w:w="693" w:type="dxa"/>
                  <w:vAlign w:val="center"/>
                </w:tcPr>
                <w:p w14:paraId="6F389FFD">
                  <w:pPr>
                    <w:widowControl/>
                    <w:jc w:val="center"/>
                    <w:textAlignment w:val="center"/>
                    <w:rPr>
                      <w:color w:val="auto"/>
                      <w:szCs w:val="21"/>
                    </w:rPr>
                  </w:pPr>
                  <w:r>
                    <w:rPr>
                      <w:color w:val="auto"/>
                      <w:kern w:val="0"/>
                      <w:szCs w:val="21"/>
                      <w:lang w:bidi="ar"/>
                    </w:rPr>
                    <w:t>29.0</w:t>
                  </w:r>
                </w:p>
              </w:tc>
              <w:tc>
                <w:tcPr>
                  <w:tcW w:w="1260" w:type="dxa"/>
                  <w:vMerge w:val="continue"/>
                  <w:vAlign w:val="center"/>
                </w:tcPr>
                <w:p w14:paraId="4EF06982">
                  <w:pPr>
                    <w:snapToGrid w:val="0"/>
                    <w:jc w:val="center"/>
                    <w:rPr>
                      <w:color w:val="auto"/>
                      <w:szCs w:val="21"/>
                    </w:rPr>
                  </w:pPr>
                </w:p>
              </w:tc>
            </w:tr>
            <w:tr w14:paraId="736B1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vMerge w:val="continue"/>
                  <w:vAlign w:val="center"/>
                </w:tcPr>
                <w:p w14:paraId="4866B156">
                  <w:pPr>
                    <w:snapToGrid w:val="0"/>
                    <w:jc w:val="center"/>
                    <w:rPr>
                      <w:color w:val="auto"/>
                      <w:szCs w:val="21"/>
                    </w:rPr>
                  </w:pPr>
                </w:p>
              </w:tc>
              <w:tc>
                <w:tcPr>
                  <w:tcW w:w="786" w:type="dxa"/>
                  <w:vMerge w:val="continue"/>
                  <w:vAlign w:val="center"/>
                </w:tcPr>
                <w:p w14:paraId="7846263B">
                  <w:pPr>
                    <w:snapToGrid w:val="0"/>
                    <w:jc w:val="center"/>
                    <w:rPr>
                      <w:b/>
                      <w:bCs/>
                      <w:color w:val="auto"/>
                      <w:szCs w:val="21"/>
                    </w:rPr>
                  </w:pPr>
                </w:p>
              </w:tc>
              <w:tc>
                <w:tcPr>
                  <w:tcW w:w="1383" w:type="dxa"/>
                  <w:vMerge w:val="continue"/>
                  <w:vAlign w:val="center"/>
                </w:tcPr>
                <w:p w14:paraId="0DF70DEC">
                  <w:pPr>
                    <w:adjustRightInd w:val="0"/>
                    <w:snapToGrid w:val="0"/>
                    <w:jc w:val="center"/>
                    <w:rPr>
                      <w:color w:val="auto"/>
                      <w:kern w:val="0"/>
                      <w:szCs w:val="21"/>
                    </w:rPr>
                  </w:pPr>
                </w:p>
              </w:tc>
              <w:tc>
                <w:tcPr>
                  <w:tcW w:w="1494" w:type="dxa"/>
                  <w:vMerge w:val="continue"/>
                  <w:vAlign w:val="center"/>
                </w:tcPr>
                <w:p w14:paraId="3C88B97E">
                  <w:pPr>
                    <w:snapToGrid w:val="0"/>
                    <w:jc w:val="center"/>
                    <w:rPr>
                      <w:b/>
                      <w:bCs/>
                      <w:color w:val="auto"/>
                      <w:szCs w:val="21"/>
                    </w:rPr>
                  </w:pPr>
                </w:p>
              </w:tc>
              <w:tc>
                <w:tcPr>
                  <w:tcW w:w="1081" w:type="dxa"/>
                  <w:vMerge w:val="continue"/>
                  <w:vAlign w:val="center"/>
                </w:tcPr>
                <w:p w14:paraId="62B6D434">
                  <w:pPr>
                    <w:adjustRightInd w:val="0"/>
                    <w:snapToGrid w:val="0"/>
                    <w:jc w:val="center"/>
                    <w:rPr>
                      <w:bCs/>
                      <w:color w:val="auto"/>
                      <w:szCs w:val="21"/>
                    </w:rPr>
                  </w:pPr>
                </w:p>
              </w:tc>
              <w:tc>
                <w:tcPr>
                  <w:tcW w:w="768" w:type="dxa"/>
                  <w:vMerge w:val="continue"/>
                  <w:vAlign w:val="center"/>
                </w:tcPr>
                <w:p w14:paraId="19DDAA32">
                  <w:pPr>
                    <w:snapToGrid w:val="0"/>
                    <w:jc w:val="center"/>
                    <w:rPr>
                      <w:b/>
                      <w:bCs/>
                      <w:color w:val="auto"/>
                      <w:szCs w:val="21"/>
                    </w:rPr>
                  </w:pPr>
                </w:p>
              </w:tc>
              <w:tc>
                <w:tcPr>
                  <w:tcW w:w="617" w:type="dxa"/>
                  <w:vMerge w:val="continue"/>
                  <w:vAlign w:val="center"/>
                </w:tcPr>
                <w:p w14:paraId="64CD6D1A">
                  <w:pPr>
                    <w:snapToGrid w:val="0"/>
                    <w:jc w:val="center"/>
                    <w:rPr>
                      <w:color w:val="auto"/>
                      <w:szCs w:val="21"/>
                    </w:rPr>
                  </w:pPr>
                </w:p>
              </w:tc>
              <w:tc>
                <w:tcPr>
                  <w:tcW w:w="617" w:type="dxa"/>
                  <w:vMerge w:val="continue"/>
                  <w:vAlign w:val="center"/>
                </w:tcPr>
                <w:p w14:paraId="4B117D6D">
                  <w:pPr>
                    <w:snapToGrid w:val="0"/>
                    <w:jc w:val="center"/>
                    <w:rPr>
                      <w:color w:val="auto"/>
                      <w:szCs w:val="21"/>
                    </w:rPr>
                  </w:pPr>
                </w:p>
              </w:tc>
              <w:tc>
                <w:tcPr>
                  <w:tcW w:w="623" w:type="dxa"/>
                  <w:vMerge w:val="continue"/>
                  <w:vAlign w:val="center"/>
                </w:tcPr>
                <w:p w14:paraId="31B81A59">
                  <w:pPr>
                    <w:snapToGrid w:val="0"/>
                    <w:jc w:val="center"/>
                    <w:rPr>
                      <w:color w:val="auto"/>
                      <w:szCs w:val="21"/>
                    </w:rPr>
                  </w:pPr>
                </w:p>
              </w:tc>
              <w:tc>
                <w:tcPr>
                  <w:tcW w:w="1171" w:type="dxa"/>
                  <w:vAlign w:val="center"/>
                </w:tcPr>
                <w:p w14:paraId="6C94432C">
                  <w:pPr>
                    <w:snapToGrid w:val="0"/>
                    <w:jc w:val="center"/>
                    <w:rPr>
                      <w:color w:val="auto"/>
                      <w:szCs w:val="21"/>
                    </w:rPr>
                  </w:pPr>
                  <w:r>
                    <w:rPr>
                      <w:rFonts w:hint="eastAsia"/>
                      <w:color w:val="auto"/>
                      <w:szCs w:val="21"/>
                    </w:rPr>
                    <w:t>东6</w:t>
                  </w:r>
                </w:p>
              </w:tc>
              <w:tc>
                <w:tcPr>
                  <w:tcW w:w="782" w:type="dxa"/>
                  <w:vAlign w:val="center"/>
                </w:tcPr>
                <w:p w14:paraId="3EE6B394">
                  <w:pPr>
                    <w:widowControl/>
                    <w:jc w:val="center"/>
                    <w:textAlignment w:val="center"/>
                    <w:rPr>
                      <w:color w:val="auto"/>
                      <w:szCs w:val="21"/>
                    </w:rPr>
                  </w:pPr>
                  <w:r>
                    <w:rPr>
                      <w:color w:val="auto"/>
                      <w:kern w:val="0"/>
                      <w:szCs w:val="21"/>
                      <w:lang w:bidi="ar"/>
                    </w:rPr>
                    <w:t>59.4</w:t>
                  </w:r>
                </w:p>
              </w:tc>
              <w:tc>
                <w:tcPr>
                  <w:tcW w:w="741" w:type="dxa"/>
                  <w:vMerge w:val="continue"/>
                  <w:vAlign w:val="center"/>
                </w:tcPr>
                <w:p w14:paraId="52FA699C">
                  <w:pPr>
                    <w:snapToGrid w:val="0"/>
                    <w:jc w:val="center"/>
                    <w:rPr>
                      <w:color w:val="auto"/>
                      <w:szCs w:val="21"/>
                    </w:rPr>
                  </w:pPr>
                </w:p>
              </w:tc>
              <w:tc>
                <w:tcPr>
                  <w:tcW w:w="893" w:type="dxa"/>
                  <w:vMerge w:val="continue"/>
                  <w:vAlign w:val="center"/>
                </w:tcPr>
                <w:p w14:paraId="352BFE33">
                  <w:pPr>
                    <w:snapToGrid w:val="0"/>
                    <w:jc w:val="center"/>
                    <w:rPr>
                      <w:color w:val="auto"/>
                      <w:szCs w:val="21"/>
                    </w:rPr>
                  </w:pPr>
                </w:p>
              </w:tc>
              <w:tc>
                <w:tcPr>
                  <w:tcW w:w="693" w:type="dxa"/>
                  <w:vAlign w:val="center"/>
                </w:tcPr>
                <w:p w14:paraId="13C7DFB4">
                  <w:pPr>
                    <w:widowControl/>
                    <w:jc w:val="center"/>
                    <w:textAlignment w:val="center"/>
                    <w:rPr>
                      <w:color w:val="auto"/>
                      <w:szCs w:val="21"/>
                    </w:rPr>
                  </w:pPr>
                  <w:r>
                    <w:rPr>
                      <w:color w:val="auto"/>
                      <w:kern w:val="0"/>
                      <w:szCs w:val="21"/>
                      <w:lang w:bidi="ar"/>
                    </w:rPr>
                    <w:t>39.4</w:t>
                  </w:r>
                </w:p>
              </w:tc>
              <w:tc>
                <w:tcPr>
                  <w:tcW w:w="1260" w:type="dxa"/>
                  <w:vMerge w:val="continue"/>
                  <w:vAlign w:val="center"/>
                </w:tcPr>
                <w:p w14:paraId="61E3E1E0">
                  <w:pPr>
                    <w:snapToGrid w:val="0"/>
                    <w:jc w:val="center"/>
                    <w:rPr>
                      <w:color w:val="auto"/>
                      <w:szCs w:val="21"/>
                    </w:rPr>
                  </w:pPr>
                </w:p>
              </w:tc>
            </w:tr>
            <w:tr w14:paraId="76916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vMerge w:val="continue"/>
                  <w:vAlign w:val="center"/>
                </w:tcPr>
                <w:p w14:paraId="7B3BC7D1">
                  <w:pPr>
                    <w:snapToGrid w:val="0"/>
                    <w:jc w:val="center"/>
                    <w:rPr>
                      <w:color w:val="auto"/>
                      <w:szCs w:val="21"/>
                    </w:rPr>
                  </w:pPr>
                </w:p>
              </w:tc>
              <w:tc>
                <w:tcPr>
                  <w:tcW w:w="786" w:type="dxa"/>
                  <w:vMerge w:val="continue"/>
                  <w:vAlign w:val="center"/>
                </w:tcPr>
                <w:p w14:paraId="133E78F9">
                  <w:pPr>
                    <w:snapToGrid w:val="0"/>
                    <w:jc w:val="center"/>
                    <w:rPr>
                      <w:b/>
                      <w:bCs/>
                      <w:color w:val="auto"/>
                      <w:szCs w:val="21"/>
                    </w:rPr>
                  </w:pPr>
                </w:p>
              </w:tc>
              <w:tc>
                <w:tcPr>
                  <w:tcW w:w="1383" w:type="dxa"/>
                  <w:vMerge w:val="continue"/>
                  <w:vAlign w:val="center"/>
                </w:tcPr>
                <w:p w14:paraId="0F5EB5DA">
                  <w:pPr>
                    <w:adjustRightInd w:val="0"/>
                    <w:snapToGrid w:val="0"/>
                    <w:jc w:val="center"/>
                    <w:rPr>
                      <w:color w:val="auto"/>
                      <w:kern w:val="0"/>
                      <w:szCs w:val="21"/>
                    </w:rPr>
                  </w:pPr>
                </w:p>
              </w:tc>
              <w:tc>
                <w:tcPr>
                  <w:tcW w:w="1494" w:type="dxa"/>
                  <w:vMerge w:val="continue"/>
                  <w:vAlign w:val="center"/>
                </w:tcPr>
                <w:p w14:paraId="1228B59C">
                  <w:pPr>
                    <w:snapToGrid w:val="0"/>
                    <w:jc w:val="center"/>
                    <w:rPr>
                      <w:b/>
                      <w:bCs/>
                      <w:color w:val="auto"/>
                      <w:szCs w:val="21"/>
                    </w:rPr>
                  </w:pPr>
                </w:p>
              </w:tc>
              <w:tc>
                <w:tcPr>
                  <w:tcW w:w="1081" w:type="dxa"/>
                  <w:vMerge w:val="continue"/>
                  <w:vAlign w:val="center"/>
                </w:tcPr>
                <w:p w14:paraId="467BDD94">
                  <w:pPr>
                    <w:adjustRightInd w:val="0"/>
                    <w:snapToGrid w:val="0"/>
                    <w:jc w:val="center"/>
                    <w:rPr>
                      <w:bCs/>
                      <w:color w:val="auto"/>
                      <w:szCs w:val="21"/>
                    </w:rPr>
                  </w:pPr>
                </w:p>
              </w:tc>
              <w:tc>
                <w:tcPr>
                  <w:tcW w:w="768" w:type="dxa"/>
                  <w:vMerge w:val="continue"/>
                  <w:vAlign w:val="center"/>
                </w:tcPr>
                <w:p w14:paraId="5A42BB45">
                  <w:pPr>
                    <w:snapToGrid w:val="0"/>
                    <w:jc w:val="center"/>
                    <w:rPr>
                      <w:b/>
                      <w:bCs/>
                      <w:color w:val="auto"/>
                      <w:szCs w:val="21"/>
                    </w:rPr>
                  </w:pPr>
                </w:p>
              </w:tc>
              <w:tc>
                <w:tcPr>
                  <w:tcW w:w="617" w:type="dxa"/>
                  <w:vMerge w:val="continue"/>
                  <w:vAlign w:val="center"/>
                </w:tcPr>
                <w:p w14:paraId="0AC56E27">
                  <w:pPr>
                    <w:snapToGrid w:val="0"/>
                    <w:jc w:val="center"/>
                    <w:rPr>
                      <w:color w:val="auto"/>
                      <w:szCs w:val="21"/>
                    </w:rPr>
                  </w:pPr>
                </w:p>
              </w:tc>
              <w:tc>
                <w:tcPr>
                  <w:tcW w:w="617" w:type="dxa"/>
                  <w:vMerge w:val="continue"/>
                  <w:vAlign w:val="center"/>
                </w:tcPr>
                <w:p w14:paraId="79F18FE4">
                  <w:pPr>
                    <w:snapToGrid w:val="0"/>
                    <w:jc w:val="center"/>
                    <w:rPr>
                      <w:color w:val="auto"/>
                      <w:szCs w:val="21"/>
                    </w:rPr>
                  </w:pPr>
                </w:p>
              </w:tc>
              <w:tc>
                <w:tcPr>
                  <w:tcW w:w="623" w:type="dxa"/>
                  <w:vMerge w:val="continue"/>
                  <w:vAlign w:val="center"/>
                </w:tcPr>
                <w:p w14:paraId="5E4E61D8">
                  <w:pPr>
                    <w:snapToGrid w:val="0"/>
                    <w:jc w:val="center"/>
                    <w:rPr>
                      <w:color w:val="auto"/>
                      <w:szCs w:val="21"/>
                    </w:rPr>
                  </w:pPr>
                </w:p>
              </w:tc>
              <w:tc>
                <w:tcPr>
                  <w:tcW w:w="1171" w:type="dxa"/>
                  <w:vAlign w:val="center"/>
                </w:tcPr>
                <w:p w14:paraId="5F048C1E">
                  <w:pPr>
                    <w:snapToGrid w:val="0"/>
                    <w:jc w:val="center"/>
                    <w:rPr>
                      <w:color w:val="auto"/>
                      <w:szCs w:val="21"/>
                    </w:rPr>
                  </w:pPr>
                  <w:r>
                    <w:rPr>
                      <w:rFonts w:hint="eastAsia"/>
                      <w:color w:val="auto"/>
                      <w:szCs w:val="21"/>
                    </w:rPr>
                    <w:t>西54</w:t>
                  </w:r>
                </w:p>
              </w:tc>
              <w:tc>
                <w:tcPr>
                  <w:tcW w:w="782" w:type="dxa"/>
                  <w:vAlign w:val="center"/>
                </w:tcPr>
                <w:p w14:paraId="075FD437">
                  <w:pPr>
                    <w:widowControl/>
                    <w:jc w:val="center"/>
                    <w:textAlignment w:val="center"/>
                    <w:rPr>
                      <w:color w:val="auto"/>
                      <w:szCs w:val="21"/>
                    </w:rPr>
                  </w:pPr>
                  <w:r>
                    <w:rPr>
                      <w:color w:val="auto"/>
                      <w:kern w:val="0"/>
                      <w:szCs w:val="21"/>
                      <w:lang w:bidi="ar"/>
                    </w:rPr>
                    <w:t>40.4</w:t>
                  </w:r>
                </w:p>
              </w:tc>
              <w:tc>
                <w:tcPr>
                  <w:tcW w:w="741" w:type="dxa"/>
                  <w:vMerge w:val="continue"/>
                  <w:vAlign w:val="center"/>
                </w:tcPr>
                <w:p w14:paraId="143C6C8B">
                  <w:pPr>
                    <w:snapToGrid w:val="0"/>
                    <w:jc w:val="center"/>
                    <w:rPr>
                      <w:color w:val="auto"/>
                      <w:szCs w:val="21"/>
                    </w:rPr>
                  </w:pPr>
                </w:p>
              </w:tc>
              <w:tc>
                <w:tcPr>
                  <w:tcW w:w="893" w:type="dxa"/>
                  <w:vMerge w:val="continue"/>
                  <w:vAlign w:val="center"/>
                </w:tcPr>
                <w:p w14:paraId="0943E788">
                  <w:pPr>
                    <w:snapToGrid w:val="0"/>
                    <w:jc w:val="center"/>
                    <w:rPr>
                      <w:color w:val="auto"/>
                      <w:szCs w:val="21"/>
                    </w:rPr>
                  </w:pPr>
                </w:p>
              </w:tc>
              <w:tc>
                <w:tcPr>
                  <w:tcW w:w="693" w:type="dxa"/>
                  <w:vAlign w:val="center"/>
                </w:tcPr>
                <w:p w14:paraId="5183ECF5">
                  <w:pPr>
                    <w:widowControl/>
                    <w:jc w:val="center"/>
                    <w:textAlignment w:val="center"/>
                    <w:rPr>
                      <w:color w:val="auto"/>
                      <w:szCs w:val="21"/>
                    </w:rPr>
                  </w:pPr>
                  <w:r>
                    <w:rPr>
                      <w:color w:val="auto"/>
                      <w:kern w:val="0"/>
                      <w:szCs w:val="21"/>
                      <w:lang w:bidi="ar"/>
                    </w:rPr>
                    <w:t>20.4</w:t>
                  </w:r>
                </w:p>
              </w:tc>
              <w:tc>
                <w:tcPr>
                  <w:tcW w:w="1260" w:type="dxa"/>
                  <w:vMerge w:val="continue"/>
                  <w:vAlign w:val="center"/>
                </w:tcPr>
                <w:p w14:paraId="2181D250">
                  <w:pPr>
                    <w:snapToGrid w:val="0"/>
                    <w:jc w:val="center"/>
                    <w:rPr>
                      <w:color w:val="auto"/>
                      <w:szCs w:val="21"/>
                    </w:rPr>
                  </w:pPr>
                </w:p>
              </w:tc>
            </w:tr>
            <w:tr w14:paraId="052E2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vMerge w:val="restart"/>
                  <w:vAlign w:val="center"/>
                </w:tcPr>
                <w:p w14:paraId="521F99AE">
                  <w:pPr>
                    <w:widowControl/>
                    <w:jc w:val="center"/>
                    <w:textAlignment w:val="center"/>
                    <w:rPr>
                      <w:color w:val="auto"/>
                      <w:szCs w:val="21"/>
                    </w:rPr>
                  </w:pPr>
                  <w:r>
                    <w:rPr>
                      <w:color w:val="auto"/>
                      <w:kern w:val="0"/>
                      <w:szCs w:val="21"/>
                      <w:lang w:bidi="ar"/>
                    </w:rPr>
                    <w:t>13</w:t>
                  </w:r>
                </w:p>
              </w:tc>
              <w:tc>
                <w:tcPr>
                  <w:tcW w:w="786" w:type="dxa"/>
                  <w:vMerge w:val="continue"/>
                  <w:vAlign w:val="center"/>
                </w:tcPr>
                <w:p w14:paraId="27988558">
                  <w:pPr>
                    <w:snapToGrid w:val="0"/>
                    <w:jc w:val="center"/>
                    <w:rPr>
                      <w:b/>
                      <w:bCs/>
                      <w:color w:val="auto"/>
                      <w:szCs w:val="21"/>
                    </w:rPr>
                  </w:pPr>
                </w:p>
              </w:tc>
              <w:tc>
                <w:tcPr>
                  <w:tcW w:w="1383" w:type="dxa"/>
                  <w:vMerge w:val="restart"/>
                  <w:vAlign w:val="center"/>
                </w:tcPr>
                <w:p w14:paraId="59D75D73">
                  <w:pPr>
                    <w:autoSpaceDE w:val="0"/>
                    <w:autoSpaceDN w:val="0"/>
                    <w:adjustRightInd w:val="0"/>
                    <w:snapToGrid w:val="0"/>
                    <w:jc w:val="center"/>
                    <w:rPr>
                      <w:color w:val="auto"/>
                      <w:kern w:val="0"/>
                      <w:szCs w:val="21"/>
                    </w:rPr>
                  </w:pPr>
                  <w:r>
                    <w:rPr>
                      <w:rFonts w:hint="eastAsia"/>
                      <w:color w:val="auto"/>
                      <w:kern w:val="0"/>
                      <w:szCs w:val="21"/>
                    </w:rPr>
                    <w:t>立锯</w:t>
                  </w:r>
                </w:p>
              </w:tc>
              <w:tc>
                <w:tcPr>
                  <w:tcW w:w="1494" w:type="dxa"/>
                  <w:vMerge w:val="restart"/>
                  <w:vAlign w:val="center"/>
                </w:tcPr>
                <w:p w14:paraId="7E2459AC">
                  <w:pPr>
                    <w:autoSpaceDE w:val="0"/>
                    <w:autoSpaceDN w:val="0"/>
                    <w:adjustRightInd w:val="0"/>
                    <w:snapToGrid w:val="0"/>
                    <w:jc w:val="center"/>
                    <w:rPr>
                      <w:b/>
                      <w:bCs/>
                      <w:color w:val="auto"/>
                      <w:szCs w:val="21"/>
                    </w:rPr>
                  </w:pPr>
                  <w:r>
                    <w:rPr>
                      <w:rFonts w:hint="eastAsia"/>
                      <w:color w:val="auto"/>
                      <w:szCs w:val="21"/>
                    </w:rPr>
                    <w:t>/</w:t>
                  </w:r>
                </w:p>
              </w:tc>
              <w:tc>
                <w:tcPr>
                  <w:tcW w:w="1081" w:type="dxa"/>
                  <w:vMerge w:val="restart"/>
                  <w:vAlign w:val="center"/>
                </w:tcPr>
                <w:p w14:paraId="4843E6AC">
                  <w:pPr>
                    <w:widowControl/>
                    <w:jc w:val="center"/>
                    <w:textAlignment w:val="center"/>
                    <w:rPr>
                      <w:bCs/>
                      <w:color w:val="auto"/>
                      <w:kern w:val="0"/>
                      <w:szCs w:val="21"/>
                    </w:rPr>
                  </w:pPr>
                  <w:r>
                    <w:rPr>
                      <w:rFonts w:hint="eastAsia"/>
                      <w:color w:val="auto"/>
                      <w:kern w:val="0"/>
                      <w:szCs w:val="21"/>
                      <w:lang w:bidi="ar"/>
                    </w:rPr>
                    <w:t>75</w:t>
                  </w:r>
                </w:p>
              </w:tc>
              <w:tc>
                <w:tcPr>
                  <w:tcW w:w="768" w:type="dxa"/>
                  <w:vMerge w:val="continue"/>
                  <w:vAlign w:val="center"/>
                </w:tcPr>
                <w:p w14:paraId="29AE8440">
                  <w:pPr>
                    <w:snapToGrid w:val="0"/>
                    <w:jc w:val="center"/>
                    <w:rPr>
                      <w:b/>
                      <w:bCs/>
                      <w:color w:val="auto"/>
                      <w:szCs w:val="21"/>
                    </w:rPr>
                  </w:pPr>
                </w:p>
              </w:tc>
              <w:tc>
                <w:tcPr>
                  <w:tcW w:w="617" w:type="dxa"/>
                  <w:vMerge w:val="restart"/>
                  <w:vAlign w:val="center"/>
                </w:tcPr>
                <w:p w14:paraId="20F08722">
                  <w:pPr>
                    <w:widowControl/>
                    <w:jc w:val="center"/>
                    <w:textAlignment w:val="center"/>
                    <w:rPr>
                      <w:color w:val="auto"/>
                      <w:szCs w:val="21"/>
                    </w:rPr>
                  </w:pPr>
                  <w:r>
                    <w:rPr>
                      <w:color w:val="auto"/>
                      <w:kern w:val="0"/>
                      <w:szCs w:val="21"/>
                      <w:lang w:bidi="ar"/>
                    </w:rPr>
                    <w:t>8</w:t>
                  </w:r>
                </w:p>
              </w:tc>
              <w:tc>
                <w:tcPr>
                  <w:tcW w:w="617" w:type="dxa"/>
                  <w:vMerge w:val="restart"/>
                  <w:vAlign w:val="center"/>
                </w:tcPr>
                <w:p w14:paraId="1C62B593">
                  <w:pPr>
                    <w:widowControl/>
                    <w:jc w:val="center"/>
                    <w:textAlignment w:val="center"/>
                    <w:rPr>
                      <w:color w:val="auto"/>
                      <w:szCs w:val="21"/>
                    </w:rPr>
                  </w:pPr>
                  <w:r>
                    <w:rPr>
                      <w:color w:val="auto"/>
                      <w:kern w:val="0"/>
                      <w:szCs w:val="21"/>
                      <w:lang w:bidi="ar"/>
                    </w:rPr>
                    <w:t>-65</w:t>
                  </w:r>
                </w:p>
              </w:tc>
              <w:tc>
                <w:tcPr>
                  <w:tcW w:w="623" w:type="dxa"/>
                  <w:vMerge w:val="restart"/>
                  <w:vAlign w:val="center"/>
                </w:tcPr>
                <w:p w14:paraId="69DF14A7">
                  <w:pPr>
                    <w:widowControl/>
                    <w:jc w:val="center"/>
                    <w:textAlignment w:val="center"/>
                    <w:rPr>
                      <w:color w:val="auto"/>
                      <w:szCs w:val="21"/>
                    </w:rPr>
                  </w:pPr>
                  <w:r>
                    <w:rPr>
                      <w:color w:val="auto"/>
                      <w:kern w:val="0"/>
                      <w:szCs w:val="21"/>
                      <w:lang w:bidi="ar"/>
                    </w:rPr>
                    <w:t>1.2</w:t>
                  </w:r>
                </w:p>
              </w:tc>
              <w:tc>
                <w:tcPr>
                  <w:tcW w:w="1171" w:type="dxa"/>
                  <w:vAlign w:val="center"/>
                </w:tcPr>
                <w:p w14:paraId="5FAB2D5D">
                  <w:pPr>
                    <w:snapToGrid w:val="0"/>
                    <w:jc w:val="center"/>
                    <w:rPr>
                      <w:color w:val="auto"/>
                      <w:szCs w:val="21"/>
                    </w:rPr>
                  </w:pPr>
                  <w:r>
                    <w:rPr>
                      <w:rFonts w:hint="eastAsia"/>
                      <w:color w:val="auto"/>
                      <w:szCs w:val="21"/>
                    </w:rPr>
                    <w:t>北44</w:t>
                  </w:r>
                </w:p>
              </w:tc>
              <w:tc>
                <w:tcPr>
                  <w:tcW w:w="782" w:type="dxa"/>
                  <w:vAlign w:val="center"/>
                </w:tcPr>
                <w:p w14:paraId="486FEC7F">
                  <w:pPr>
                    <w:widowControl/>
                    <w:jc w:val="center"/>
                    <w:textAlignment w:val="center"/>
                    <w:rPr>
                      <w:color w:val="auto"/>
                      <w:szCs w:val="21"/>
                    </w:rPr>
                  </w:pPr>
                  <w:r>
                    <w:rPr>
                      <w:color w:val="auto"/>
                      <w:kern w:val="0"/>
                      <w:szCs w:val="21"/>
                      <w:lang w:bidi="ar"/>
                    </w:rPr>
                    <w:t>42.1</w:t>
                  </w:r>
                </w:p>
              </w:tc>
              <w:tc>
                <w:tcPr>
                  <w:tcW w:w="741" w:type="dxa"/>
                  <w:vMerge w:val="continue"/>
                  <w:vAlign w:val="center"/>
                </w:tcPr>
                <w:p w14:paraId="5E9902C2">
                  <w:pPr>
                    <w:snapToGrid w:val="0"/>
                    <w:jc w:val="center"/>
                    <w:rPr>
                      <w:color w:val="auto"/>
                      <w:szCs w:val="21"/>
                    </w:rPr>
                  </w:pPr>
                </w:p>
              </w:tc>
              <w:tc>
                <w:tcPr>
                  <w:tcW w:w="893" w:type="dxa"/>
                  <w:vMerge w:val="continue"/>
                  <w:vAlign w:val="center"/>
                </w:tcPr>
                <w:p w14:paraId="439B7A15">
                  <w:pPr>
                    <w:snapToGrid w:val="0"/>
                    <w:jc w:val="center"/>
                    <w:rPr>
                      <w:color w:val="auto"/>
                      <w:szCs w:val="21"/>
                    </w:rPr>
                  </w:pPr>
                </w:p>
              </w:tc>
              <w:tc>
                <w:tcPr>
                  <w:tcW w:w="693" w:type="dxa"/>
                  <w:vAlign w:val="center"/>
                </w:tcPr>
                <w:p w14:paraId="49CDB272">
                  <w:pPr>
                    <w:widowControl/>
                    <w:jc w:val="center"/>
                    <w:textAlignment w:val="center"/>
                    <w:rPr>
                      <w:color w:val="auto"/>
                      <w:szCs w:val="21"/>
                    </w:rPr>
                  </w:pPr>
                  <w:r>
                    <w:rPr>
                      <w:color w:val="auto"/>
                      <w:kern w:val="0"/>
                      <w:szCs w:val="21"/>
                      <w:lang w:bidi="ar"/>
                    </w:rPr>
                    <w:t>22.1</w:t>
                  </w:r>
                </w:p>
              </w:tc>
              <w:tc>
                <w:tcPr>
                  <w:tcW w:w="1260" w:type="dxa"/>
                  <w:vMerge w:val="restart"/>
                  <w:vAlign w:val="center"/>
                </w:tcPr>
                <w:p w14:paraId="5A2167EF">
                  <w:pPr>
                    <w:snapToGrid w:val="0"/>
                    <w:jc w:val="center"/>
                    <w:rPr>
                      <w:color w:val="auto"/>
                      <w:szCs w:val="21"/>
                    </w:rPr>
                  </w:pPr>
                  <w:r>
                    <w:rPr>
                      <w:rFonts w:hint="eastAsia"/>
                      <w:color w:val="auto"/>
                      <w:szCs w:val="21"/>
                    </w:rPr>
                    <w:t>1</w:t>
                  </w:r>
                </w:p>
              </w:tc>
            </w:tr>
            <w:tr w14:paraId="154C4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vMerge w:val="continue"/>
                  <w:vAlign w:val="center"/>
                </w:tcPr>
                <w:p w14:paraId="7926B95F">
                  <w:pPr>
                    <w:snapToGrid w:val="0"/>
                    <w:jc w:val="center"/>
                    <w:rPr>
                      <w:color w:val="auto"/>
                      <w:szCs w:val="21"/>
                    </w:rPr>
                  </w:pPr>
                </w:p>
              </w:tc>
              <w:tc>
                <w:tcPr>
                  <w:tcW w:w="786" w:type="dxa"/>
                  <w:vMerge w:val="continue"/>
                  <w:vAlign w:val="center"/>
                </w:tcPr>
                <w:p w14:paraId="288DC39E">
                  <w:pPr>
                    <w:snapToGrid w:val="0"/>
                    <w:jc w:val="center"/>
                    <w:rPr>
                      <w:b/>
                      <w:bCs/>
                      <w:color w:val="auto"/>
                      <w:szCs w:val="21"/>
                    </w:rPr>
                  </w:pPr>
                </w:p>
              </w:tc>
              <w:tc>
                <w:tcPr>
                  <w:tcW w:w="1383" w:type="dxa"/>
                  <w:vMerge w:val="continue"/>
                  <w:vAlign w:val="top"/>
                </w:tcPr>
                <w:p w14:paraId="145F5234">
                  <w:pPr>
                    <w:adjustRightInd w:val="0"/>
                    <w:snapToGrid w:val="0"/>
                    <w:jc w:val="left"/>
                    <w:rPr>
                      <w:color w:val="auto"/>
                      <w:kern w:val="0"/>
                      <w:szCs w:val="21"/>
                    </w:rPr>
                  </w:pPr>
                </w:p>
              </w:tc>
              <w:tc>
                <w:tcPr>
                  <w:tcW w:w="1494" w:type="dxa"/>
                  <w:vMerge w:val="continue"/>
                  <w:vAlign w:val="center"/>
                </w:tcPr>
                <w:p w14:paraId="55E88E1C">
                  <w:pPr>
                    <w:adjustRightInd w:val="0"/>
                    <w:snapToGrid w:val="0"/>
                    <w:jc w:val="center"/>
                    <w:rPr>
                      <w:bCs/>
                      <w:color w:val="auto"/>
                      <w:szCs w:val="21"/>
                    </w:rPr>
                  </w:pPr>
                </w:p>
              </w:tc>
              <w:tc>
                <w:tcPr>
                  <w:tcW w:w="1081" w:type="dxa"/>
                  <w:vMerge w:val="continue"/>
                  <w:vAlign w:val="center"/>
                </w:tcPr>
                <w:p w14:paraId="11D9BD96">
                  <w:pPr>
                    <w:adjustRightInd w:val="0"/>
                    <w:snapToGrid w:val="0"/>
                    <w:jc w:val="center"/>
                    <w:rPr>
                      <w:bCs/>
                      <w:color w:val="auto"/>
                      <w:szCs w:val="21"/>
                    </w:rPr>
                  </w:pPr>
                </w:p>
              </w:tc>
              <w:tc>
                <w:tcPr>
                  <w:tcW w:w="768" w:type="dxa"/>
                  <w:vMerge w:val="continue"/>
                  <w:vAlign w:val="center"/>
                </w:tcPr>
                <w:p w14:paraId="14F9DA37">
                  <w:pPr>
                    <w:snapToGrid w:val="0"/>
                    <w:jc w:val="center"/>
                    <w:rPr>
                      <w:b/>
                      <w:bCs/>
                      <w:color w:val="auto"/>
                      <w:szCs w:val="21"/>
                    </w:rPr>
                  </w:pPr>
                </w:p>
              </w:tc>
              <w:tc>
                <w:tcPr>
                  <w:tcW w:w="617" w:type="dxa"/>
                  <w:vMerge w:val="continue"/>
                  <w:vAlign w:val="center"/>
                </w:tcPr>
                <w:p w14:paraId="239EC605">
                  <w:pPr>
                    <w:snapToGrid w:val="0"/>
                    <w:jc w:val="center"/>
                    <w:rPr>
                      <w:color w:val="auto"/>
                      <w:szCs w:val="21"/>
                    </w:rPr>
                  </w:pPr>
                </w:p>
              </w:tc>
              <w:tc>
                <w:tcPr>
                  <w:tcW w:w="617" w:type="dxa"/>
                  <w:vMerge w:val="continue"/>
                  <w:vAlign w:val="center"/>
                </w:tcPr>
                <w:p w14:paraId="2EB9E0EB">
                  <w:pPr>
                    <w:snapToGrid w:val="0"/>
                    <w:jc w:val="center"/>
                    <w:rPr>
                      <w:color w:val="auto"/>
                      <w:szCs w:val="21"/>
                    </w:rPr>
                  </w:pPr>
                </w:p>
              </w:tc>
              <w:tc>
                <w:tcPr>
                  <w:tcW w:w="623" w:type="dxa"/>
                  <w:vMerge w:val="continue"/>
                  <w:vAlign w:val="center"/>
                </w:tcPr>
                <w:p w14:paraId="1BD634CA">
                  <w:pPr>
                    <w:snapToGrid w:val="0"/>
                    <w:jc w:val="center"/>
                    <w:rPr>
                      <w:color w:val="auto"/>
                      <w:szCs w:val="21"/>
                    </w:rPr>
                  </w:pPr>
                </w:p>
              </w:tc>
              <w:tc>
                <w:tcPr>
                  <w:tcW w:w="1171" w:type="dxa"/>
                  <w:vAlign w:val="center"/>
                </w:tcPr>
                <w:p w14:paraId="7034046D">
                  <w:pPr>
                    <w:snapToGrid w:val="0"/>
                    <w:jc w:val="center"/>
                    <w:rPr>
                      <w:color w:val="auto"/>
                      <w:szCs w:val="21"/>
                    </w:rPr>
                  </w:pPr>
                  <w:r>
                    <w:rPr>
                      <w:rFonts w:hint="eastAsia"/>
                      <w:color w:val="auto"/>
                      <w:szCs w:val="21"/>
                    </w:rPr>
                    <w:t>南56</w:t>
                  </w:r>
                </w:p>
              </w:tc>
              <w:tc>
                <w:tcPr>
                  <w:tcW w:w="782" w:type="dxa"/>
                  <w:vAlign w:val="center"/>
                </w:tcPr>
                <w:p w14:paraId="078A24E7">
                  <w:pPr>
                    <w:widowControl/>
                    <w:jc w:val="center"/>
                    <w:textAlignment w:val="center"/>
                    <w:rPr>
                      <w:color w:val="auto"/>
                      <w:szCs w:val="21"/>
                    </w:rPr>
                  </w:pPr>
                  <w:r>
                    <w:rPr>
                      <w:color w:val="auto"/>
                      <w:kern w:val="0"/>
                      <w:szCs w:val="21"/>
                      <w:lang w:bidi="ar"/>
                    </w:rPr>
                    <w:t>40.0</w:t>
                  </w:r>
                </w:p>
              </w:tc>
              <w:tc>
                <w:tcPr>
                  <w:tcW w:w="741" w:type="dxa"/>
                  <w:vMerge w:val="continue"/>
                  <w:vAlign w:val="center"/>
                </w:tcPr>
                <w:p w14:paraId="030CA02C">
                  <w:pPr>
                    <w:snapToGrid w:val="0"/>
                    <w:jc w:val="center"/>
                    <w:rPr>
                      <w:color w:val="auto"/>
                      <w:szCs w:val="21"/>
                    </w:rPr>
                  </w:pPr>
                </w:p>
              </w:tc>
              <w:tc>
                <w:tcPr>
                  <w:tcW w:w="893" w:type="dxa"/>
                  <w:vMerge w:val="continue"/>
                  <w:vAlign w:val="center"/>
                </w:tcPr>
                <w:p w14:paraId="153DB103">
                  <w:pPr>
                    <w:snapToGrid w:val="0"/>
                    <w:jc w:val="center"/>
                    <w:rPr>
                      <w:color w:val="auto"/>
                      <w:szCs w:val="21"/>
                    </w:rPr>
                  </w:pPr>
                </w:p>
              </w:tc>
              <w:tc>
                <w:tcPr>
                  <w:tcW w:w="693" w:type="dxa"/>
                  <w:vAlign w:val="center"/>
                </w:tcPr>
                <w:p w14:paraId="65CF7789">
                  <w:pPr>
                    <w:widowControl/>
                    <w:jc w:val="center"/>
                    <w:textAlignment w:val="center"/>
                    <w:rPr>
                      <w:color w:val="auto"/>
                      <w:szCs w:val="21"/>
                    </w:rPr>
                  </w:pPr>
                  <w:r>
                    <w:rPr>
                      <w:color w:val="auto"/>
                      <w:kern w:val="0"/>
                      <w:szCs w:val="21"/>
                      <w:lang w:bidi="ar"/>
                    </w:rPr>
                    <w:t>20.0</w:t>
                  </w:r>
                </w:p>
              </w:tc>
              <w:tc>
                <w:tcPr>
                  <w:tcW w:w="1260" w:type="dxa"/>
                  <w:vMerge w:val="continue"/>
                  <w:vAlign w:val="center"/>
                </w:tcPr>
                <w:p w14:paraId="308AD4D6">
                  <w:pPr>
                    <w:snapToGrid w:val="0"/>
                    <w:jc w:val="center"/>
                    <w:rPr>
                      <w:color w:val="auto"/>
                      <w:szCs w:val="21"/>
                    </w:rPr>
                  </w:pPr>
                </w:p>
              </w:tc>
            </w:tr>
            <w:tr w14:paraId="3F1BE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vMerge w:val="continue"/>
                  <w:vAlign w:val="center"/>
                </w:tcPr>
                <w:p w14:paraId="51087389">
                  <w:pPr>
                    <w:snapToGrid w:val="0"/>
                    <w:jc w:val="center"/>
                    <w:rPr>
                      <w:color w:val="auto"/>
                      <w:szCs w:val="21"/>
                    </w:rPr>
                  </w:pPr>
                </w:p>
              </w:tc>
              <w:tc>
                <w:tcPr>
                  <w:tcW w:w="786" w:type="dxa"/>
                  <w:vMerge w:val="continue"/>
                  <w:vAlign w:val="center"/>
                </w:tcPr>
                <w:p w14:paraId="413475A5">
                  <w:pPr>
                    <w:snapToGrid w:val="0"/>
                    <w:jc w:val="center"/>
                    <w:rPr>
                      <w:b/>
                      <w:bCs/>
                      <w:color w:val="auto"/>
                      <w:szCs w:val="21"/>
                    </w:rPr>
                  </w:pPr>
                </w:p>
              </w:tc>
              <w:tc>
                <w:tcPr>
                  <w:tcW w:w="1383" w:type="dxa"/>
                  <w:vMerge w:val="continue"/>
                  <w:vAlign w:val="top"/>
                </w:tcPr>
                <w:p w14:paraId="54575B5B">
                  <w:pPr>
                    <w:adjustRightInd w:val="0"/>
                    <w:snapToGrid w:val="0"/>
                    <w:jc w:val="left"/>
                    <w:rPr>
                      <w:color w:val="auto"/>
                      <w:kern w:val="0"/>
                      <w:szCs w:val="21"/>
                    </w:rPr>
                  </w:pPr>
                </w:p>
              </w:tc>
              <w:tc>
                <w:tcPr>
                  <w:tcW w:w="1494" w:type="dxa"/>
                  <w:vMerge w:val="continue"/>
                  <w:vAlign w:val="center"/>
                </w:tcPr>
                <w:p w14:paraId="05093163">
                  <w:pPr>
                    <w:adjustRightInd w:val="0"/>
                    <w:snapToGrid w:val="0"/>
                    <w:jc w:val="center"/>
                    <w:rPr>
                      <w:bCs/>
                      <w:color w:val="auto"/>
                      <w:szCs w:val="21"/>
                    </w:rPr>
                  </w:pPr>
                </w:p>
              </w:tc>
              <w:tc>
                <w:tcPr>
                  <w:tcW w:w="1081" w:type="dxa"/>
                  <w:vMerge w:val="continue"/>
                  <w:vAlign w:val="center"/>
                </w:tcPr>
                <w:p w14:paraId="59E6EF7F">
                  <w:pPr>
                    <w:adjustRightInd w:val="0"/>
                    <w:snapToGrid w:val="0"/>
                    <w:jc w:val="center"/>
                    <w:rPr>
                      <w:bCs/>
                      <w:color w:val="auto"/>
                      <w:szCs w:val="21"/>
                    </w:rPr>
                  </w:pPr>
                </w:p>
              </w:tc>
              <w:tc>
                <w:tcPr>
                  <w:tcW w:w="768" w:type="dxa"/>
                  <w:vMerge w:val="continue"/>
                  <w:vAlign w:val="center"/>
                </w:tcPr>
                <w:p w14:paraId="1475ED51">
                  <w:pPr>
                    <w:snapToGrid w:val="0"/>
                    <w:jc w:val="center"/>
                    <w:rPr>
                      <w:b/>
                      <w:bCs/>
                      <w:color w:val="auto"/>
                      <w:szCs w:val="21"/>
                    </w:rPr>
                  </w:pPr>
                </w:p>
              </w:tc>
              <w:tc>
                <w:tcPr>
                  <w:tcW w:w="617" w:type="dxa"/>
                  <w:vMerge w:val="continue"/>
                  <w:vAlign w:val="center"/>
                </w:tcPr>
                <w:p w14:paraId="2F505883">
                  <w:pPr>
                    <w:snapToGrid w:val="0"/>
                    <w:jc w:val="center"/>
                    <w:rPr>
                      <w:color w:val="auto"/>
                      <w:szCs w:val="21"/>
                    </w:rPr>
                  </w:pPr>
                </w:p>
              </w:tc>
              <w:tc>
                <w:tcPr>
                  <w:tcW w:w="617" w:type="dxa"/>
                  <w:vMerge w:val="continue"/>
                  <w:vAlign w:val="center"/>
                </w:tcPr>
                <w:p w14:paraId="0D25A415">
                  <w:pPr>
                    <w:snapToGrid w:val="0"/>
                    <w:jc w:val="center"/>
                    <w:rPr>
                      <w:color w:val="auto"/>
                      <w:szCs w:val="21"/>
                    </w:rPr>
                  </w:pPr>
                </w:p>
              </w:tc>
              <w:tc>
                <w:tcPr>
                  <w:tcW w:w="623" w:type="dxa"/>
                  <w:vMerge w:val="continue"/>
                  <w:vAlign w:val="center"/>
                </w:tcPr>
                <w:p w14:paraId="172CAB9A">
                  <w:pPr>
                    <w:snapToGrid w:val="0"/>
                    <w:jc w:val="center"/>
                    <w:rPr>
                      <w:color w:val="auto"/>
                      <w:szCs w:val="21"/>
                    </w:rPr>
                  </w:pPr>
                </w:p>
              </w:tc>
              <w:tc>
                <w:tcPr>
                  <w:tcW w:w="1171" w:type="dxa"/>
                  <w:vAlign w:val="center"/>
                </w:tcPr>
                <w:p w14:paraId="5CE4D576">
                  <w:pPr>
                    <w:snapToGrid w:val="0"/>
                    <w:jc w:val="center"/>
                    <w:rPr>
                      <w:color w:val="auto"/>
                      <w:szCs w:val="21"/>
                    </w:rPr>
                  </w:pPr>
                  <w:r>
                    <w:rPr>
                      <w:rFonts w:hint="eastAsia"/>
                      <w:color w:val="auto"/>
                      <w:szCs w:val="21"/>
                    </w:rPr>
                    <w:t>东22</w:t>
                  </w:r>
                </w:p>
              </w:tc>
              <w:tc>
                <w:tcPr>
                  <w:tcW w:w="782" w:type="dxa"/>
                  <w:vAlign w:val="center"/>
                </w:tcPr>
                <w:p w14:paraId="29247E8D">
                  <w:pPr>
                    <w:widowControl/>
                    <w:jc w:val="center"/>
                    <w:textAlignment w:val="center"/>
                    <w:rPr>
                      <w:color w:val="auto"/>
                      <w:szCs w:val="21"/>
                    </w:rPr>
                  </w:pPr>
                  <w:r>
                    <w:rPr>
                      <w:color w:val="auto"/>
                      <w:kern w:val="0"/>
                      <w:szCs w:val="21"/>
                      <w:lang w:bidi="ar"/>
                    </w:rPr>
                    <w:t>48.2</w:t>
                  </w:r>
                </w:p>
              </w:tc>
              <w:tc>
                <w:tcPr>
                  <w:tcW w:w="741" w:type="dxa"/>
                  <w:vMerge w:val="continue"/>
                  <w:vAlign w:val="center"/>
                </w:tcPr>
                <w:p w14:paraId="07E2DC3D">
                  <w:pPr>
                    <w:snapToGrid w:val="0"/>
                    <w:jc w:val="center"/>
                    <w:rPr>
                      <w:color w:val="auto"/>
                      <w:szCs w:val="21"/>
                    </w:rPr>
                  </w:pPr>
                </w:p>
              </w:tc>
              <w:tc>
                <w:tcPr>
                  <w:tcW w:w="893" w:type="dxa"/>
                  <w:vMerge w:val="continue"/>
                  <w:vAlign w:val="center"/>
                </w:tcPr>
                <w:p w14:paraId="2EE8472E">
                  <w:pPr>
                    <w:snapToGrid w:val="0"/>
                    <w:jc w:val="center"/>
                    <w:rPr>
                      <w:color w:val="auto"/>
                      <w:szCs w:val="21"/>
                    </w:rPr>
                  </w:pPr>
                </w:p>
              </w:tc>
              <w:tc>
                <w:tcPr>
                  <w:tcW w:w="693" w:type="dxa"/>
                  <w:vAlign w:val="center"/>
                </w:tcPr>
                <w:p w14:paraId="5C4EA9B5">
                  <w:pPr>
                    <w:widowControl/>
                    <w:jc w:val="center"/>
                    <w:textAlignment w:val="center"/>
                    <w:rPr>
                      <w:color w:val="auto"/>
                      <w:szCs w:val="21"/>
                    </w:rPr>
                  </w:pPr>
                  <w:r>
                    <w:rPr>
                      <w:color w:val="auto"/>
                      <w:kern w:val="0"/>
                      <w:szCs w:val="21"/>
                      <w:lang w:bidi="ar"/>
                    </w:rPr>
                    <w:t>28.2</w:t>
                  </w:r>
                </w:p>
              </w:tc>
              <w:tc>
                <w:tcPr>
                  <w:tcW w:w="1260" w:type="dxa"/>
                  <w:vMerge w:val="continue"/>
                  <w:vAlign w:val="center"/>
                </w:tcPr>
                <w:p w14:paraId="5FF85736">
                  <w:pPr>
                    <w:snapToGrid w:val="0"/>
                    <w:jc w:val="center"/>
                    <w:rPr>
                      <w:color w:val="auto"/>
                      <w:szCs w:val="21"/>
                    </w:rPr>
                  </w:pPr>
                </w:p>
              </w:tc>
            </w:tr>
            <w:tr w14:paraId="2D2E8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vMerge w:val="continue"/>
                  <w:vAlign w:val="center"/>
                </w:tcPr>
                <w:p w14:paraId="386F6E77">
                  <w:pPr>
                    <w:snapToGrid w:val="0"/>
                    <w:jc w:val="center"/>
                    <w:rPr>
                      <w:color w:val="auto"/>
                      <w:szCs w:val="21"/>
                    </w:rPr>
                  </w:pPr>
                </w:p>
              </w:tc>
              <w:tc>
                <w:tcPr>
                  <w:tcW w:w="786" w:type="dxa"/>
                  <w:vMerge w:val="continue"/>
                  <w:vAlign w:val="center"/>
                </w:tcPr>
                <w:p w14:paraId="2EE6E48B">
                  <w:pPr>
                    <w:snapToGrid w:val="0"/>
                    <w:jc w:val="center"/>
                    <w:rPr>
                      <w:b/>
                      <w:bCs/>
                      <w:color w:val="auto"/>
                      <w:szCs w:val="21"/>
                    </w:rPr>
                  </w:pPr>
                </w:p>
              </w:tc>
              <w:tc>
                <w:tcPr>
                  <w:tcW w:w="1383" w:type="dxa"/>
                  <w:vMerge w:val="continue"/>
                  <w:vAlign w:val="top"/>
                </w:tcPr>
                <w:p w14:paraId="240D9C65">
                  <w:pPr>
                    <w:adjustRightInd w:val="0"/>
                    <w:snapToGrid w:val="0"/>
                    <w:jc w:val="left"/>
                    <w:rPr>
                      <w:color w:val="auto"/>
                      <w:kern w:val="0"/>
                      <w:szCs w:val="21"/>
                    </w:rPr>
                  </w:pPr>
                </w:p>
              </w:tc>
              <w:tc>
                <w:tcPr>
                  <w:tcW w:w="1494" w:type="dxa"/>
                  <w:vMerge w:val="continue"/>
                  <w:vAlign w:val="center"/>
                </w:tcPr>
                <w:p w14:paraId="7090EDD6">
                  <w:pPr>
                    <w:adjustRightInd w:val="0"/>
                    <w:snapToGrid w:val="0"/>
                    <w:jc w:val="center"/>
                    <w:rPr>
                      <w:bCs/>
                      <w:color w:val="auto"/>
                      <w:szCs w:val="21"/>
                    </w:rPr>
                  </w:pPr>
                </w:p>
              </w:tc>
              <w:tc>
                <w:tcPr>
                  <w:tcW w:w="1081" w:type="dxa"/>
                  <w:vMerge w:val="continue"/>
                  <w:vAlign w:val="center"/>
                </w:tcPr>
                <w:p w14:paraId="5B6EA2C8">
                  <w:pPr>
                    <w:adjustRightInd w:val="0"/>
                    <w:snapToGrid w:val="0"/>
                    <w:jc w:val="center"/>
                    <w:rPr>
                      <w:bCs/>
                      <w:color w:val="auto"/>
                      <w:szCs w:val="21"/>
                    </w:rPr>
                  </w:pPr>
                </w:p>
              </w:tc>
              <w:tc>
                <w:tcPr>
                  <w:tcW w:w="768" w:type="dxa"/>
                  <w:vMerge w:val="continue"/>
                  <w:vAlign w:val="center"/>
                </w:tcPr>
                <w:p w14:paraId="4F2E3B60">
                  <w:pPr>
                    <w:snapToGrid w:val="0"/>
                    <w:jc w:val="center"/>
                    <w:rPr>
                      <w:b/>
                      <w:bCs/>
                      <w:color w:val="auto"/>
                      <w:szCs w:val="21"/>
                    </w:rPr>
                  </w:pPr>
                </w:p>
              </w:tc>
              <w:tc>
                <w:tcPr>
                  <w:tcW w:w="617" w:type="dxa"/>
                  <w:vMerge w:val="continue"/>
                  <w:vAlign w:val="center"/>
                </w:tcPr>
                <w:p w14:paraId="389D083B">
                  <w:pPr>
                    <w:snapToGrid w:val="0"/>
                    <w:jc w:val="center"/>
                    <w:rPr>
                      <w:color w:val="auto"/>
                      <w:szCs w:val="21"/>
                    </w:rPr>
                  </w:pPr>
                </w:p>
              </w:tc>
              <w:tc>
                <w:tcPr>
                  <w:tcW w:w="617" w:type="dxa"/>
                  <w:vMerge w:val="continue"/>
                  <w:vAlign w:val="center"/>
                </w:tcPr>
                <w:p w14:paraId="52F16816">
                  <w:pPr>
                    <w:snapToGrid w:val="0"/>
                    <w:jc w:val="center"/>
                    <w:rPr>
                      <w:color w:val="auto"/>
                      <w:szCs w:val="21"/>
                    </w:rPr>
                  </w:pPr>
                </w:p>
              </w:tc>
              <w:tc>
                <w:tcPr>
                  <w:tcW w:w="623" w:type="dxa"/>
                  <w:vMerge w:val="continue"/>
                  <w:vAlign w:val="center"/>
                </w:tcPr>
                <w:p w14:paraId="55AFCCC7">
                  <w:pPr>
                    <w:snapToGrid w:val="0"/>
                    <w:jc w:val="center"/>
                    <w:rPr>
                      <w:color w:val="auto"/>
                      <w:szCs w:val="21"/>
                    </w:rPr>
                  </w:pPr>
                </w:p>
              </w:tc>
              <w:tc>
                <w:tcPr>
                  <w:tcW w:w="1171" w:type="dxa"/>
                  <w:vAlign w:val="center"/>
                </w:tcPr>
                <w:p w14:paraId="58E174D0">
                  <w:pPr>
                    <w:snapToGrid w:val="0"/>
                    <w:jc w:val="center"/>
                    <w:rPr>
                      <w:rFonts w:hint="eastAsia"/>
                      <w:color w:val="auto"/>
                      <w:szCs w:val="21"/>
                    </w:rPr>
                  </w:pPr>
                  <w:r>
                    <w:rPr>
                      <w:rFonts w:hint="eastAsia"/>
                      <w:color w:val="auto"/>
                      <w:szCs w:val="21"/>
                    </w:rPr>
                    <w:t>西85</w:t>
                  </w:r>
                </w:p>
              </w:tc>
              <w:tc>
                <w:tcPr>
                  <w:tcW w:w="782" w:type="dxa"/>
                  <w:vAlign w:val="center"/>
                </w:tcPr>
                <w:p w14:paraId="010FE751">
                  <w:pPr>
                    <w:widowControl/>
                    <w:jc w:val="center"/>
                    <w:textAlignment w:val="center"/>
                    <w:rPr>
                      <w:color w:val="auto"/>
                      <w:szCs w:val="21"/>
                    </w:rPr>
                  </w:pPr>
                  <w:r>
                    <w:rPr>
                      <w:color w:val="auto"/>
                      <w:kern w:val="0"/>
                      <w:szCs w:val="21"/>
                      <w:lang w:bidi="ar"/>
                    </w:rPr>
                    <w:t>36.4</w:t>
                  </w:r>
                </w:p>
              </w:tc>
              <w:tc>
                <w:tcPr>
                  <w:tcW w:w="741" w:type="dxa"/>
                  <w:vMerge w:val="continue"/>
                  <w:vAlign w:val="center"/>
                </w:tcPr>
                <w:p w14:paraId="2A1EA31B">
                  <w:pPr>
                    <w:snapToGrid w:val="0"/>
                    <w:jc w:val="center"/>
                    <w:rPr>
                      <w:color w:val="auto"/>
                      <w:szCs w:val="21"/>
                    </w:rPr>
                  </w:pPr>
                </w:p>
              </w:tc>
              <w:tc>
                <w:tcPr>
                  <w:tcW w:w="893" w:type="dxa"/>
                  <w:vMerge w:val="continue"/>
                  <w:vAlign w:val="center"/>
                </w:tcPr>
                <w:p w14:paraId="5D9205B0">
                  <w:pPr>
                    <w:snapToGrid w:val="0"/>
                    <w:jc w:val="center"/>
                    <w:rPr>
                      <w:color w:val="auto"/>
                      <w:szCs w:val="21"/>
                    </w:rPr>
                  </w:pPr>
                </w:p>
              </w:tc>
              <w:tc>
                <w:tcPr>
                  <w:tcW w:w="693" w:type="dxa"/>
                  <w:vAlign w:val="center"/>
                </w:tcPr>
                <w:p w14:paraId="7AAC6BBF">
                  <w:pPr>
                    <w:widowControl/>
                    <w:jc w:val="center"/>
                    <w:textAlignment w:val="center"/>
                    <w:rPr>
                      <w:color w:val="auto"/>
                      <w:kern w:val="0"/>
                      <w:szCs w:val="21"/>
                      <w:lang w:bidi="ar"/>
                    </w:rPr>
                  </w:pPr>
                  <w:r>
                    <w:rPr>
                      <w:color w:val="auto"/>
                      <w:kern w:val="0"/>
                      <w:szCs w:val="21"/>
                      <w:lang w:bidi="ar"/>
                    </w:rPr>
                    <w:t>16.4</w:t>
                  </w:r>
                </w:p>
              </w:tc>
              <w:tc>
                <w:tcPr>
                  <w:tcW w:w="1260" w:type="dxa"/>
                  <w:vMerge w:val="continue"/>
                  <w:vAlign w:val="center"/>
                </w:tcPr>
                <w:p w14:paraId="2C2BD5F3">
                  <w:pPr>
                    <w:snapToGrid w:val="0"/>
                    <w:jc w:val="center"/>
                    <w:rPr>
                      <w:color w:val="auto"/>
                      <w:szCs w:val="21"/>
                    </w:rPr>
                  </w:pPr>
                </w:p>
              </w:tc>
            </w:tr>
            <w:tr w14:paraId="67F91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84" w:type="dxa"/>
                  <w:vMerge w:val="restart"/>
                  <w:vAlign w:val="center"/>
                </w:tcPr>
                <w:p w14:paraId="22FBD7C9">
                  <w:pPr>
                    <w:widowControl/>
                    <w:jc w:val="center"/>
                    <w:textAlignment w:val="center"/>
                    <w:rPr>
                      <w:color w:val="auto"/>
                      <w:szCs w:val="21"/>
                    </w:rPr>
                  </w:pPr>
                  <w:r>
                    <w:rPr>
                      <w:color w:val="auto"/>
                      <w:kern w:val="0"/>
                      <w:szCs w:val="21"/>
                      <w:lang w:bidi="ar"/>
                    </w:rPr>
                    <w:t>14</w:t>
                  </w:r>
                </w:p>
              </w:tc>
              <w:tc>
                <w:tcPr>
                  <w:tcW w:w="786" w:type="dxa"/>
                  <w:vMerge w:val="continue"/>
                  <w:vAlign w:val="center"/>
                </w:tcPr>
                <w:p w14:paraId="7FEC11F7">
                  <w:pPr>
                    <w:snapToGrid w:val="0"/>
                    <w:jc w:val="center"/>
                    <w:rPr>
                      <w:b/>
                      <w:bCs/>
                      <w:color w:val="auto"/>
                      <w:szCs w:val="21"/>
                    </w:rPr>
                  </w:pPr>
                </w:p>
              </w:tc>
              <w:tc>
                <w:tcPr>
                  <w:tcW w:w="1383" w:type="dxa"/>
                  <w:vMerge w:val="restart"/>
                  <w:vAlign w:val="center"/>
                </w:tcPr>
                <w:p w14:paraId="17EFE80C">
                  <w:pPr>
                    <w:autoSpaceDE w:val="0"/>
                    <w:autoSpaceDN w:val="0"/>
                    <w:adjustRightInd w:val="0"/>
                    <w:snapToGrid w:val="0"/>
                    <w:jc w:val="center"/>
                    <w:rPr>
                      <w:color w:val="auto"/>
                      <w:kern w:val="0"/>
                      <w:szCs w:val="21"/>
                    </w:rPr>
                  </w:pPr>
                  <w:r>
                    <w:rPr>
                      <w:rFonts w:hint="eastAsia"/>
                      <w:color w:val="auto"/>
                      <w:kern w:val="0"/>
                      <w:szCs w:val="21"/>
                    </w:rPr>
                    <w:t>切角锯</w:t>
                  </w:r>
                </w:p>
              </w:tc>
              <w:tc>
                <w:tcPr>
                  <w:tcW w:w="1494" w:type="dxa"/>
                  <w:vMerge w:val="restart"/>
                  <w:vAlign w:val="center"/>
                </w:tcPr>
                <w:p w14:paraId="4B546B35">
                  <w:pPr>
                    <w:adjustRightInd w:val="0"/>
                    <w:snapToGrid w:val="0"/>
                    <w:jc w:val="center"/>
                    <w:rPr>
                      <w:rFonts w:hint="eastAsia" w:eastAsia="宋体"/>
                      <w:bCs/>
                      <w:color w:val="auto"/>
                      <w:szCs w:val="21"/>
                      <w:lang w:val="en-US" w:eastAsia="zh-CN"/>
                    </w:rPr>
                  </w:pPr>
                  <w:r>
                    <w:rPr>
                      <w:rFonts w:hint="eastAsia"/>
                      <w:color w:val="auto"/>
                      <w:lang w:val="en-US" w:eastAsia="zh-CN"/>
                    </w:rPr>
                    <w:t>/</w:t>
                  </w:r>
                </w:p>
              </w:tc>
              <w:tc>
                <w:tcPr>
                  <w:tcW w:w="1081" w:type="dxa"/>
                  <w:vMerge w:val="restart"/>
                  <w:vAlign w:val="center"/>
                </w:tcPr>
                <w:p w14:paraId="57C505FA">
                  <w:pPr>
                    <w:widowControl/>
                    <w:jc w:val="center"/>
                    <w:textAlignment w:val="center"/>
                    <w:rPr>
                      <w:bCs/>
                      <w:color w:val="auto"/>
                      <w:szCs w:val="21"/>
                    </w:rPr>
                  </w:pPr>
                  <w:r>
                    <w:rPr>
                      <w:color w:val="auto"/>
                      <w:kern w:val="0"/>
                      <w:szCs w:val="21"/>
                      <w:lang w:bidi="ar"/>
                    </w:rPr>
                    <w:t>75</w:t>
                  </w:r>
                </w:p>
              </w:tc>
              <w:tc>
                <w:tcPr>
                  <w:tcW w:w="768" w:type="dxa"/>
                  <w:vMerge w:val="continue"/>
                  <w:vAlign w:val="center"/>
                </w:tcPr>
                <w:p w14:paraId="4BC45EEE">
                  <w:pPr>
                    <w:snapToGrid w:val="0"/>
                    <w:jc w:val="center"/>
                    <w:rPr>
                      <w:b/>
                      <w:bCs/>
                      <w:color w:val="auto"/>
                      <w:szCs w:val="21"/>
                    </w:rPr>
                  </w:pPr>
                </w:p>
              </w:tc>
              <w:tc>
                <w:tcPr>
                  <w:tcW w:w="617" w:type="dxa"/>
                  <w:vMerge w:val="restart"/>
                  <w:vAlign w:val="center"/>
                </w:tcPr>
                <w:p w14:paraId="1FB641A2">
                  <w:pPr>
                    <w:widowControl/>
                    <w:jc w:val="center"/>
                    <w:textAlignment w:val="center"/>
                    <w:rPr>
                      <w:color w:val="auto"/>
                      <w:szCs w:val="21"/>
                    </w:rPr>
                  </w:pPr>
                  <w:r>
                    <w:rPr>
                      <w:color w:val="auto"/>
                      <w:kern w:val="0"/>
                      <w:szCs w:val="21"/>
                      <w:lang w:bidi="ar"/>
                    </w:rPr>
                    <w:t>8</w:t>
                  </w:r>
                </w:p>
              </w:tc>
              <w:tc>
                <w:tcPr>
                  <w:tcW w:w="617" w:type="dxa"/>
                  <w:vMerge w:val="restart"/>
                  <w:vAlign w:val="center"/>
                </w:tcPr>
                <w:p w14:paraId="18DEDD60">
                  <w:pPr>
                    <w:widowControl/>
                    <w:jc w:val="center"/>
                    <w:textAlignment w:val="center"/>
                    <w:rPr>
                      <w:color w:val="auto"/>
                      <w:szCs w:val="21"/>
                    </w:rPr>
                  </w:pPr>
                  <w:r>
                    <w:rPr>
                      <w:color w:val="auto"/>
                      <w:kern w:val="0"/>
                      <w:szCs w:val="21"/>
                      <w:lang w:bidi="ar"/>
                    </w:rPr>
                    <w:t>-37</w:t>
                  </w:r>
                </w:p>
              </w:tc>
              <w:tc>
                <w:tcPr>
                  <w:tcW w:w="623" w:type="dxa"/>
                  <w:vMerge w:val="restart"/>
                  <w:vAlign w:val="center"/>
                </w:tcPr>
                <w:p w14:paraId="4F363F31">
                  <w:pPr>
                    <w:widowControl/>
                    <w:jc w:val="center"/>
                    <w:textAlignment w:val="center"/>
                    <w:rPr>
                      <w:color w:val="auto"/>
                      <w:szCs w:val="21"/>
                    </w:rPr>
                  </w:pPr>
                  <w:r>
                    <w:rPr>
                      <w:color w:val="auto"/>
                      <w:kern w:val="0"/>
                      <w:szCs w:val="21"/>
                      <w:lang w:bidi="ar"/>
                    </w:rPr>
                    <w:t>1.2</w:t>
                  </w:r>
                </w:p>
              </w:tc>
              <w:tc>
                <w:tcPr>
                  <w:tcW w:w="1171" w:type="dxa"/>
                  <w:vAlign w:val="center"/>
                </w:tcPr>
                <w:p w14:paraId="0E5C5CA2">
                  <w:pPr>
                    <w:snapToGrid w:val="0"/>
                    <w:jc w:val="center"/>
                    <w:rPr>
                      <w:rFonts w:hint="eastAsia"/>
                      <w:color w:val="auto"/>
                      <w:szCs w:val="21"/>
                    </w:rPr>
                  </w:pPr>
                  <w:r>
                    <w:rPr>
                      <w:rFonts w:hint="eastAsia"/>
                      <w:color w:val="auto"/>
                      <w:szCs w:val="21"/>
                    </w:rPr>
                    <w:t>北40</w:t>
                  </w:r>
                </w:p>
              </w:tc>
              <w:tc>
                <w:tcPr>
                  <w:tcW w:w="782" w:type="dxa"/>
                  <w:vAlign w:val="center"/>
                </w:tcPr>
                <w:p w14:paraId="7A1585BC">
                  <w:pPr>
                    <w:widowControl/>
                    <w:jc w:val="center"/>
                    <w:textAlignment w:val="center"/>
                    <w:rPr>
                      <w:color w:val="auto"/>
                      <w:szCs w:val="21"/>
                    </w:rPr>
                  </w:pPr>
                  <w:r>
                    <w:rPr>
                      <w:color w:val="auto"/>
                      <w:kern w:val="0"/>
                      <w:szCs w:val="21"/>
                      <w:lang w:bidi="ar"/>
                    </w:rPr>
                    <w:t>43.0</w:t>
                  </w:r>
                </w:p>
              </w:tc>
              <w:tc>
                <w:tcPr>
                  <w:tcW w:w="741" w:type="dxa"/>
                  <w:vMerge w:val="continue"/>
                  <w:vAlign w:val="center"/>
                </w:tcPr>
                <w:p w14:paraId="5C900FE8">
                  <w:pPr>
                    <w:snapToGrid w:val="0"/>
                    <w:jc w:val="center"/>
                    <w:rPr>
                      <w:color w:val="auto"/>
                      <w:szCs w:val="21"/>
                    </w:rPr>
                  </w:pPr>
                </w:p>
              </w:tc>
              <w:tc>
                <w:tcPr>
                  <w:tcW w:w="893" w:type="dxa"/>
                  <w:vMerge w:val="continue"/>
                  <w:vAlign w:val="center"/>
                </w:tcPr>
                <w:p w14:paraId="00836EF8">
                  <w:pPr>
                    <w:snapToGrid w:val="0"/>
                    <w:jc w:val="center"/>
                    <w:rPr>
                      <w:color w:val="auto"/>
                      <w:szCs w:val="21"/>
                    </w:rPr>
                  </w:pPr>
                </w:p>
              </w:tc>
              <w:tc>
                <w:tcPr>
                  <w:tcW w:w="693" w:type="dxa"/>
                  <w:vAlign w:val="center"/>
                </w:tcPr>
                <w:p w14:paraId="6F821264">
                  <w:pPr>
                    <w:widowControl/>
                    <w:jc w:val="center"/>
                    <w:textAlignment w:val="center"/>
                    <w:rPr>
                      <w:color w:val="auto"/>
                      <w:kern w:val="0"/>
                      <w:szCs w:val="21"/>
                      <w:lang w:bidi="ar"/>
                    </w:rPr>
                  </w:pPr>
                  <w:r>
                    <w:rPr>
                      <w:color w:val="auto"/>
                      <w:kern w:val="0"/>
                      <w:szCs w:val="21"/>
                      <w:lang w:bidi="ar"/>
                    </w:rPr>
                    <w:t>23.0</w:t>
                  </w:r>
                </w:p>
              </w:tc>
              <w:tc>
                <w:tcPr>
                  <w:tcW w:w="1260" w:type="dxa"/>
                  <w:vMerge w:val="restart"/>
                  <w:vAlign w:val="center"/>
                </w:tcPr>
                <w:p w14:paraId="6EBCE71E">
                  <w:pPr>
                    <w:snapToGrid w:val="0"/>
                    <w:jc w:val="center"/>
                    <w:rPr>
                      <w:color w:val="auto"/>
                      <w:szCs w:val="21"/>
                    </w:rPr>
                  </w:pPr>
                  <w:r>
                    <w:rPr>
                      <w:rFonts w:hint="eastAsia"/>
                      <w:color w:val="auto"/>
                      <w:szCs w:val="21"/>
                    </w:rPr>
                    <w:t>1</w:t>
                  </w:r>
                </w:p>
              </w:tc>
            </w:tr>
            <w:tr w14:paraId="4AC43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84" w:type="dxa"/>
                  <w:vMerge w:val="continue"/>
                  <w:vAlign w:val="center"/>
                </w:tcPr>
                <w:p w14:paraId="222132BA">
                  <w:pPr>
                    <w:snapToGrid w:val="0"/>
                    <w:jc w:val="center"/>
                    <w:rPr>
                      <w:color w:val="auto"/>
                      <w:szCs w:val="21"/>
                    </w:rPr>
                  </w:pPr>
                </w:p>
              </w:tc>
              <w:tc>
                <w:tcPr>
                  <w:tcW w:w="786" w:type="dxa"/>
                  <w:vMerge w:val="continue"/>
                  <w:vAlign w:val="center"/>
                </w:tcPr>
                <w:p w14:paraId="618FC3B8">
                  <w:pPr>
                    <w:snapToGrid w:val="0"/>
                    <w:jc w:val="center"/>
                    <w:rPr>
                      <w:color w:val="auto"/>
                    </w:rPr>
                  </w:pPr>
                </w:p>
              </w:tc>
              <w:tc>
                <w:tcPr>
                  <w:tcW w:w="1383" w:type="dxa"/>
                  <w:vMerge w:val="continue"/>
                  <w:vAlign w:val="top"/>
                </w:tcPr>
                <w:p w14:paraId="78379CA0">
                  <w:pPr>
                    <w:snapToGrid w:val="0"/>
                    <w:jc w:val="center"/>
                    <w:rPr>
                      <w:color w:val="auto"/>
                    </w:rPr>
                  </w:pPr>
                </w:p>
              </w:tc>
              <w:tc>
                <w:tcPr>
                  <w:tcW w:w="1494" w:type="dxa"/>
                  <w:vMerge w:val="continue"/>
                  <w:vAlign w:val="center"/>
                </w:tcPr>
                <w:p w14:paraId="51D5D350">
                  <w:pPr>
                    <w:snapToGrid w:val="0"/>
                    <w:jc w:val="center"/>
                    <w:rPr>
                      <w:color w:val="auto"/>
                    </w:rPr>
                  </w:pPr>
                </w:p>
              </w:tc>
              <w:tc>
                <w:tcPr>
                  <w:tcW w:w="1081" w:type="dxa"/>
                  <w:vMerge w:val="continue"/>
                  <w:vAlign w:val="center"/>
                </w:tcPr>
                <w:p w14:paraId="3EDAB371">
                  <w:pPr>
                    <w:snapToGrid w:val="0"/>
                    <w:jc w:val="center"/>
                    <w:rPr>
                      <w:color w:val="auto"/>
                      <w:szCs w:val="21"/>
                    </w:rPr>
                  </w:pPr>
                </w:p>
              </w:tc>
              <w:tc>
                <w:tcPr>
                  <w:tcW w:w="768" w:type="dxa"/>
                  <w:vMerge w:val="continue"/>
                  <w:vAlign w:val="center"/>
                </w:tcPr>
                <w:p w14:paraId="19BE8262">
                  <w:pPr>
                    <w:snapToGrid w:val="0"/>
                    <w:jc w:val="center"/>
                    <w:rPr>
                      <w:color w:val="auto"/>
                    </w:rPr>
                  </w:pPr>
                </w:p>
              </w:tc>
              <w:tc>
                <w:tcPr>
                  <w:tcW w:w="617" w:type="dxa"/>
                  <w:vMerge w:val="continue"/>
                  <w:vAlign w:val="center"/>
                </w:tcPr>
                <w:p w14:paraId="3CA7C21F">
                  <w:pPr>
                    <w:snapToGrid w:val="0"/>
                    <w:jc w:val="center"/>
                    <w:rPr>
                      <w:color w:val="auto"/>
                      <w:szCs w:val="21"/>
                    </w:rPr>
                  </w:pPr>
                </w:p>
              </w:tc>
              <w:tc>
                <w:tcPr>
                  <w:tcW w:w="617" w:type="dxa"/>
                  <w:vMerge w:val="continue"/>
                  <w:vAlign w:val="center"/>
                </w:tcPr>
                <w:p w14:paraId="0EB0CA03">
                  <w:pPr>
                    <w:snapToGrid w:val="0"/>
                    <w:jc w:val="center"/>
                    <w:rPr>
                      <w:color w:val="auto"/>
                      <w:szCs w:val="21"/>
                    </w:rPr>
                  </w:pPr>
                </w:p>
              </w:tc>
              <w:tc>
                <w:tcPr>
                  <w:tcW w:w="623" w:type="dxa"/>
                  <w:vMerge w:val="continue"/>
                  <w:vAlign w:val="center"/>
                </w:tcPr>
                <w:p w14:paraId="2AE46B97">
                  <w:pPr>
                    <w:snapToGrid w:val="0"/>
                    <w:jc w:val="center"/>
                    <w:rPr>
                      <w:color w:val="auto"/>
                      <w:szCs w:val="21"/>
                    </w:rPr>
                  </w:pPr>
                </w:p>
              </w:tc>
              <w:tc>
                <w:tcPr>
                  <w:tcW w:w="1171" w:type="dxa"/>
                  <w:vAlign w:val="center"/>
                </w:tcPr>
                <w:p w14:paraId="595B6C3D">
                  <w:pPr>
                    <w:snapToGrid w:val="0"/>
                    <w:jc w:val="center"/>
                    <w:rPr>
                      <w:color w:val="auto"/>
                      <w:szCs w:val="21"/>
                    </w:rPr>
                  </w:pPr>
                  <w:r>
                    <w:rPr>
                      <w:rFonts w:hint="eastAsia"/>
                      <w:color w:val="auto"/>
                      <w:szCs w:val="21"/>
                    </w:rPr>
                    <w:t>南60</w:t>
                  </w:r>
                </w:p>
              </w:tc>
              <w:tc>
                <w:tcPr>
                  <w:tcW w:w="782" w:type="dxa"/>
                  <w:vAlign w:val="center"/>
                </w:tcPr>
                <w:p w14:paraId="3DF35D0C">
                  <w:pPr>
                    <w:widowControl/>
                    <w:jc w:val="center"/>
                    <w:textAlignment w:val="center"/>
                    <w:rPr>
                      <w:color w:val="auto"/>
                      <w:szCs w:val="21"/>
                    </w:rPr>
                  </w:pPr>
                  <w:r>
                    <w:rPr>
                      <w:color w:val="auto"/>
                      <w:kern w:val="0"/>
                      <w:szCs w:val="21"/>
                      <w:lang w:bidi="ar"/>
                    </w:rPr>
                    <w:t>39.4</w:t>
                  </w:r>
                </w:p>
              </w:tc>
              <w:tc>
                <w:tcPr>
                  <w:tcW w:w="741" w:type="dxa"/>
                  <w:vMerge w:val="continue"/>
                  <w:vAlign w:val="center"/>
                </w:tcPr>
                <w:p w14:paraId="15E87130">
                  <w:pPr>
                    <w:snapToGrid w:val="0"/>
                    <w:jc w:val="center"/>
                    <w:rPr>
                      <w:rFonts w:hint="eastAsia"/>
                      <w:color w:val="auto"/>
                      <w:szCs w:val="21"/>
                    </w:rPr>
                  </w:pPr>
                </w:p>
              </w:tc>
              <w:tc>
                <w:tcPr>
                  <w:tcW w:w="893" w:type="dxa"/>
                  <w:vMerge w:val="continue"/>
                  <w:vAlign w:val="center"/>
                </w:tcPr>
                <w:p w14:paraId="4C4CC5A4">
                  <w:pPr>
                    <w:snapToGrid w:val="0"/>
                    <w:jc w:val="center"/>
                    <w:rPr>
                      <w:rFonts w:hint="eastAsia"/>
                      <w:color w:val="auto"/>
                      <w:szCs w:val="21"/>
                    </w:rPr>
                  </w:pPr>
                </w:p>
              </w:tc>
              <w:tc>
                <w:tcPr>
                  <w:tcW w:w="693" w:type="dxa"/>
                  <w:vAlign w:val="center"/>
                </w:tcPr>
                <w:p w14:paraId="7C368131">
                  <w:pPr>
                    <w:widowControl/>
                    <w:jc w:val="center"/>
                    <w:textAlignment w:val="center"/>
                    <w:rPr>
                      <w:color w:val="auto"/>
                      <w:szCs w:val="21"/>
                    </w:rPr>
                  </w:pPr>
                  <w:r>
                    <w:rPr>
                      <w:color w:val="auto"/>
                      <w:kern w:val="0"/>
                      <w:szCs w:val="21"/>
                      <w:lang w:bidi="ar"/>
                    </w:rPr>
                    <w:t>19.4</w:t>
                  </w:r>
                </w:p>
              </w:tc>
              <w:tc>
                <w:tcPr>
                  <w:tcW w:w="1260" w:type="dxa"/>
                  <w:vMerge w:val="continue"/>
                  <w:vAlign w:val="center"/>
                </w:tcPr>
                <w:p w14:paraId="7294D2DF">
                  <w:pPr>
                    <w:snapToGrid w:val="0"/>
                    <w:jc w:val="center"/>
                    <w:rPr>
                      <w:rFonts w:hint="eastAsia"/>
                      <w:color w:val="auto"/>
                      <w:szCs w:val="21"/>
                    </w:rPr>
                  </w:pPr>
                </w:p>
              </w:tc>
            </w:tr>
            <w:tr w14:paraId="1FCCF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84" w:type="dxa"/>
                  <w:vMerge w:val="continue"/>
                  <w:vAlign w:val="center"/>
                </w:tcPr>
                <w:p w14:paraId="20461E22">
                  <w:pPr>
                    <w:snapToGrid w:val="0"/>
                    <w:jc w:val="center"/>
                    <w:rPr>
                      <w:color w:val="auto"/>
                      <w:szCs w:val="21"/>
                    </w:rPr>
                  </w:pPr>
                </w:p>
              </w:tc>
              <w:tc>
                <w:tcPr>
                  <w:tcW w:w="786" w:type="dxa"/>
                  <w:vMerge w:val="continue"/>
                  <w:vAlign w:val="center"/>
                </w:tcPr>
                <w:p w14:paraId="7CF4B23B">
                  <w:pPr>
                    <w:snapToGrid w:val="0"/>
                    <w:jc w:val="center"/>
                    <w:rPr>
                      <w:rFonts w:hint="eastAsia"/>
                      <w:color w:val="auto"/>
                      <w:szCs w:val="21"/>
                    </w:rPr>
                  </w:pPr>
                </w:p>
              </w:tc>
              <w:tc>
                <w:tcPr>
                  <w:tcW w:w="1383" w:type="dxa"/>
                  <w:vMerge w:val="continue"/>
                  <w:vAlign w:val="top"/>
                </w:tcPr>
                <w:p w14:paraId="116C2278">
                  <w:pPr>
                    <w:snapToGrid w:val="0"/>
                    <w:jc w:val="center"/>
                    <w:rPr>
                      <w:rFonts w:hint="eastAsia"/>
                      <w:color w:val="auto"/>
                      <w:szCs w:val="21"/>
                    </w:rPr>
                  </w:pPr>
                </w:p>
              </w:tc>
              <w:tc>
                <w:tcPr>
                  <w:tcW w:w="1494" w:type="dxa"/>
                  <w:vMerge w:val="continue"/>
                  <w:vAlign w:val="center"/>
                </w:tcPr>
                <w:p w14:paraId="3665E970">
                  <w:pPr>
                    <w:snapToGrid w:val="0"/>
                    <w:jc w:val="center"/>
                    <w:rPr>
                      <w:rFonts w:hint="eastAsia"/>
                      <w:color w:val="auto"/>
                      <w:szCs w:val="21"/>
                    </w:rPr>
                  </w:pPr>
                </w:p>
              </w:tc>
              <w:tc>
                <w:tcPr>
                  <w:tcW w:w="1081" w:type="dxa"/>
                  <w:vMerge w:val="continue"/>
                  <w:vAlign w:val="center"/>
                </w:tcPr>
                <w:p w14:paraId="46749CD2">
                  <w:pPr>
                    <w:snapToGrid w:val="0"/>
                    <w:jc w:val="center"/>
                    <w:rPr>
                      <w:color w:val="auto"/>
                      <w:szCs w:val="21"/>
                    </w:rPr>
                  </w:pPr>
                </w:p>
              </w:tc>
              <w:tc>
                <w:tcPr>
                  <w:tcW w:w="768" w:type="dxa"/>
                  <w:vMerge w:val="continue"/>
                  <w:vAlign w:val="center"/>
                </w:tcPr>
                <w:p w14:paraId="79D325F2">
                  <w:pPr>
                    <w:snapToGrid w:val="0"/>
                    <w:jc w:val="center"/>
                    <w:rPr>
                      <w:rFonts w:hint="eastAsia"/>
                      <w:color w:val="auto"/>
                      <w:szCs w:val="21"/>
                    </w:rPr>
                  </w:pPr>
                </w:p>
              </w:tc>
              <w:tc>
                <w:tcPr>
                  <w:tcW w:w="617" w:type="dxa"/>
                  <w:vMerge w:val="continue"/>
                  <w:vAlign w:val="center"/>
                </w:tcPr>
                <w:p w14:paraId="56FA3E64">
                  <w:pPr>
                    <w:snapToGrid w:val="0"/>
                    <w:jc w:val="center"/>
                    <w:rPr>
                      <w:color w:val="auto"/>
                      <w:szCs w:val="21"/>
                    </w:rPr>
                  </w:pPr>
                </w:p>
              </w:tc>
              <w:tc>
                <w:tcPr>
                  <w:tcW w:w="617" w:type="dxa"/>
                  <w:vMerge w:val="continue"/>
                  <w:vAlign w:val="center"/>
                </w:tcPr>
                <w:p w14:paraId="280AA094">
                  <w:pPr>
                    <w:snapToGrid w:val="0"/>
                    <w:jc w:val="center"/>
                    <w:rPr>
                      <w:color w:val="auto"/>
                      <w:szCs w:val="21"/>
                    </w:rPr>
                  </w:pPr>
                </w:p>
              </w:tc>
              <w:tc>
                <w:tcPr>
                  <w:tcW w:w="623" w:type="dxa"/>
                  <w:vMerge w:val="continue"/>
                  <w:vAlign w:val="center"/>
                </w:tcPr>
                <w:p w14:paraId="52046FC5">
                  <w:pPr>
                    <w:snapToGrid w:val="0"/>
                    <w:jc w:val="center"/>
                    <w:rPr>
                      <w:color w:val="auto"/>
                      <w:szCs w:val="21"/>
                    </w:rPr>
                  </w:pPr>
                </w:p>
              </w:tc>
              <w:tc>
                <w:tcPr>
                  <w:tcW w:w="1171" w:type="dxa"/>
                  <w:vAlign w:val="center"/>
                </w:tcPr>
                <w:p w14:paraId="407F65A1">
                  <w:pPr>
                    <w:snapToGrid w:val="0"/>
                    <w:jc w:val="center"/>
                    <w:rPr>
                      <w:color w:val="auto"/>
                      <w:szCs w:val="21"/>
                    </w:rPr>
                  </w:pPr>
                  <w:r>
                    <w:rPr>
                      <w:rFonts w:hint="eastAsia"/>
                      <w:color w:val="auto"/>
                      <w:szCs w:val="21"/>
                    </w:rPr>
                    <w:t>东15</w:t>
                  </w:r>
                </w:p>
              </w:tc>
              <w:tc>
                <w:tcPr>
                  <w:tcW w:w="782" w:type="dxa"/>
                  <w:vAlign w:val="center"/>
                </w:tcPr>
                <w:p w14:paraId="3A54F978">
                  <w:pPr>
                    <w:widowControl/>
                    <w:jc w:val="center"/>
                    <w:textAlignment w:val="center"/>
                    <w:rPr>
                      <w:color w:val="auto"/>
                      <w:szCs w:val="21"/>
                    </w:rPr>
                  </w:pPr>
                  <w:r>
                    <w:rPr>
                      <w:color w:val="auto"/>
                      <w:kern w:val="0"/>
                      <w:szCs w:val="21"/>
                      <w:lang w:bidi="ar"/>
                    </w:rPr>
                    <w:t>51.5</w:t>
                  </w:r>
                </w:p>
              </w:tc>
              <w:tc>
                <w:tcPr>
                  <w:tcW w:w="741" w:type="dxa"/>
                  <w:vMerge w:val="continue"/>
                  <w:vAlign w:val="center"/>
                </w:tcPr>
                <w:p w14:paraId="3BF4BEFF">
                  <w:pPr>
                    <w:snapToGrid w:val="0"/>
                    <w:jc w:val="center"/>
                    <w:rPr>
                      <w:rFonts w:hint="eastAsia"/>
                      <w:color w:val="auto"/>
                      <w:szCs w:val="21"/>
                    </w:rPr>
                  </w:pPr>
                </w:p>
              </w:tc>
              <w:tc>
                <w:tcPr>
                  <w:tcW w:w="893" w:type="dxa"/>
                  <w:vMerge w:val="continue"/>
                  <w:vAlign w:val="center"/>
                </w:tcPr>
                <w:p w14:paraId="2392BE12">
                  <w:pPr>
                    <w:snapToGrid w:val="0"/>
                    <w:jc w:val="center"/>
                    <w:rPr>
                      <w:rFonts w:hint="eastAsia"/>
                      <w:color w:val="auto"/>
                      <w:szCs w:val="21"/>
                    </w:rPr>
                  </w:pPr>
                </w:p>
              </w:tc>
              <w:tc>
                <w:tcPr>
                  <w:tcW w:w="693" w:type="dxa"/>
                  <w:vAlign w:val="center"/>
                </w:tcPr>
                <w:p w14:paraId="0E6666F2">
                  <w:pPr>
                    <w:widowControl/>
                    <w:jc w:val="center"/>
                    <w:textAlignment w:val="center"/>
                    <w:rPr>
                      <w:color w:val="auto"/>
                      <w:szCs w:val="21"/>
                    </w:rPr>
                  </w:pPr>
                  <w:r>
                    <w:rPr>
                      <w:color w:val="auto"/>
                      <w:kern w:val="0"/>
                      <w:szCs w:val="21"/>
                      <w:lang w:bidi="ar"/>
                    </w:rPr>
                    <w:t>31.5</w:t>
                  </w:r>
                </w:p>
              </w:tc>
              <w:tc>
                <w:tcPr>
                  <w:tcW w:w="1260" w:type="dxa"/>
                  <w:vMerge w:val="continue"/>
                  <w:vAlign w:val="center"/>
                </w:tcPr>
                <w:p w14:paraId="47D0CF04">
                  <w:pPr>
                    <w:snapToGrid w:val="0"/>
                    <w:jc w:val="center"/>
                    <w:rPr>
                      <w:rFonts w:hint="eastAsia"/>
                      <w:color w:val="auto"/>
                      <w:szCs w:val="21"/>
                    </w:rPr>
                  </w:pPr>
                </w:p>
              </w:tc>
            </w:tr>
            <w:tr w14:paraId="338AD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84" w:type="dxa"/>
                  <w:vMerge w:val="continue"/>
                  <w:vAlign w:val="center"/>
                </w:tcPr>
                <w:p w14:paraId="2DF0B09F">
                  <w:pPr>
                    <w:snapToGrid w:val="0"/>
                    <w:jc w:val="center"/>
                    <w:rPr>
                      <w:color w:val="auto"/>
                      <w:szCs w:val="21"/>
                    </w:rPr>
                  </w:pPr>
                </w:p>
              </w:tc>
              <w:tc>
                <w:tcPr>
                  <w:tcW w:w="786" w:type="dxa"/>
                  <w:vMerge w:val="continue"/>
                  <w:vAlign w:val="center"/>
                </w:tcPr>
                <w:p w14:paraId="0F8F2691">
                  <w:pPr>
                    <w:snapToGrid w:val="0"/>
                    <w:jc w:val="center"/>
                    <w:rPr>
                      <w:rFonts w:hint="eastAsia"/>
                      <w:color w:val="auto"/>
                      <w:szCs w:val="21"/>
                    </w:rPr>
                  </w:pPr>
                </w:p>
              </w:tc>
              <w:tc>
                <w:tcPr>
                  <w:tcW w:w="1383" w:type="dxa"/>
                  <w:vMerge w:val="continue"/>
                  <w:vAlign w:val="top"/>
                </w:tcPr>
                <w:p w14:paraId="6A741192">
                  <w:pPr>
                    <w:snapToGrid w:val="0"/>
                    <w:jc w:val="center"/>
                    <w:rPr>
                      <w:rFonts w:hint="eastAsia"/>
                      <w:color w:val="auto"/>
                      <w:szCs w:val="21"/>
                    </w:rPr>
                  </w:pPr>
                </w:p>
              </w:tc>
              <w:tc>
                <w:tcPr>
                  <w:tcW w:w="1494" w:type="dxa"/>
                  <w:vMerge w:val="continue"/>
                  <w:vAlign w:val="center"/>
                </w:tcPr>
                <w:p w14:paraId="1A40870F">
                  <w:pPr>
                    <w:snapToGrid w:val="0"/>
                    <w:jc w:val="center"/>
                    <w:rPr>
                      <w:rFonts w:hint="eastAsia"/>
                      <w:color w:val="auto"/>
                      <w:szCs w:val="21"/>
                    </w:rPr>
                  </w:pPr>
                </w:p>
              </w:tc>
              <w:tc>
                <w:tcPr>
                  <w:tcW w:w="1081" w:type="dxa"/>
                  <w:vMerge w:val="continue"/>
                  <w:vAlign w:val="center"/>
                </w:tcPr>
                <w:p w14:paraId="7EDBD031">
                  <w:pPr>
                    <w:snapToGrid w:val="0"/>
                    <w:jc w:val="center"/>
                    <w:rPr>
                      <w:color w:val="auto"/>
                      <w:szCs w:val="21"/>
                    </w:rPr>
                  </w:pPr>
                </w:p>
              </w:tc>
              <w:tc>
                <w:tcPr>
                  <w:tcW w:w="768" w:type="dxa"/>
                  <w:vMerge w:val="continue"/>
                  <w:vAlign w:val="center"/>
                </w:tcPr>
                <w:p w14:paraId="193E1A5F">
                  <w:pPr>
                    <w:snapToGrid w:val="0"/>
                    <w:jc w:val="center"/>
                    <w:rPr>
                      <w:rFonts w:hint="eastAsia"/>
                      <w:color w:val="auto"/>
                      <w:szCs w:val="21"/>
                    </w:rPr>
                  </w:pPr>
                </w:p>
              </w:tc>
              <w:tc>
                <w:tcPr>
                  <w:tcW w:w="617" w:type="dxa"/>
                  <w:vMerge w:val="continue"/>
                  <w:vAlign w:val="center"/>
                </w:tcPr>
                <w:p w14:paraId="62A80057">
                  <w:pPr>
                    <w:snapToGrid w:val="0"/>
                    <w:jc w:val="center"/>
                    <w:rPr>
                      <w:color w:val="auto"/>
                      <w:szCs w:val="21"/>
                    </w:rPr>
                  </w:pPr>
                </w:p>
              </w:tc>
              <w:tc>
                <w:tcPr>
                  <w:tcW w:w="617" w:type="dxa"/>
                  <w:vMerge w:val="continue"/>
                  <w:vAlign w:val="center"/>
                </w:tcPr>
                <w:p w14:paraId="53A5CF4E">
                  <w:pPr>
                    <w:snapToGrid w:val="0"/>
                    <w:jc w:val="center"/>
                    <w:rPr>
                      <w:color w:val="auto"/>
                      <w:szCs w:val="21"/>
                    </w:rPr>
                  </w:pPr>
                </w:p>
              </w:tc>
              <w:tc>
                <w:tcPr>
                  <w:tcW w:w="623" w:type="dxa"/>
                  <w:vMerge w:val="continue"/>
                  <w:vAlign w:val="center"/>
                </w:tcPr>
                <w:p w14:paraId="404C29D5">
                  <w:pPr>
                    <w:snapToGrid w:val="0"/>
                    <w:jc w:val="center"/>
                    <w:rPr>
                      <w:color w:val="auto"/>
                      <w:szCs w:val="21"/>
                    </w:rPr>
                  </w:pPr>
                </w:p>
              </w:tc>
              <w:tc>
                <w:tcPr>
                  <w:tcW w:w="1171" w:type="dxa"/>
                  <w:vAlign w:val="center"/>
                </w:tcPr>
                <w:p w14:paraId="03E5BF69">
                  <w:pPr>
                    <w:snapToGrid w:val="0"/>
                    <w:jc w:val="center"/>
                    <w:rPr>
                      <w:color w:val="auto"/>
                      <w:szCs w:val="21"/>
                    </w:rPr>
                  </w:pPr>
                  <w:r>
                    <w:rPr>
                      <w:rFonts w:hint="eastAsia"/>
                      <w:color w:val="auto"/>
                      <w:szCs w:val="21"/>
                    </w:rPr>
                    <w:t>西45</w:t>
                  </w:r>
                </w:p>
              </w:tc>
              <w:tc>
                <w:tcPr>
                  <w:tcW w:w="782" w:type="dxa"/>
                  <w:vAlign w:val="center"/>
                </w:tcPr>
                <w:p w14:paraId="70C44594">
                  <w:pPr>
                    <w:widowControl/>
                    <w:jc w:val="center"/>
                    <w:textAlignment w:val="center"/>
                    <w:rPr>
                      <w:color w:val="auto"/>
                      <w:szCs w:val="21"/>
                    </w:rPr>
                  </w:pPr>
                  <w:r>
                    <w:rPr>
                      <w:color w:val="auto"/>
                      <w:kern w:val="0"/>
                      <w:szCs w:val="21"/>
                      <w:lang w:bidi="ar"/>
                    </w:rPr>
                    <w:t>41.9</w:t>
                  </w:r>
                </w:p>
              </w:tc>
              <w:tc>
                <w:tcPr>
                  <w:tcW w:w="741" w:type="dxa"/>
                  <w:vMerge w:val="continue"/>
                  <w:vAlign w:val="center"/>
                </w:tcPr>
                <w:p w14:paraId="0D21EAA4">
                  <w:pPr>
                    <w:snapToGrid w:val="0"/>
                    <w:jc w:val="center"/>
                    <w:rPr>
                      <w:rFonts w:hint="eastAsia"/>
                      <w:color w:val="auto"/>
                      <w:szCs w:val="21"/>
                    </w:rPr>
                  </w:pPr>
                </w:p>
              </w:tc>
              <w:tc>
                <w:tcPr>
                  <w:tcW w:w="893" w:type="dxa"/>
                  <w:vMerge w:val="continue"/>
                  <w:vAlign w:val="center"/>
                </w:tcPr>
                <w:p w14:paraId="3B3AAFE9">
                  <w:pPr>
                    <w:snapToGrid w:val="0"/>
                    <w:jc w:val="center"/>
                    <w:rPr>
                      <w:rFonts w:hint="eastAsia"/>
                      <w:color w:val="auto"/>
                      <w:szCs w:val="21"/>
                    </w:rPr>
                  </w:pPr>
                </w:p>
              </w:tc>
              <w:tc>
                <w:tcPr>
                  <w:tcW w:w="693" w:type="dxa"/>
                  <w:vAlign w:val="center"/>
                </w:tcPr>
                <w:p w14:paraId="31F0A33C">
                  <w:pPr>
                    <w:widowControl/>
                    <w:jc w:val="center"/>
                    <w:textAlignment w:val="center"/>
                    <w:rPr>
                      <w:color w:val="auto"/>
                      <w:szCs w:val="21"/>
                    </w:rPr>
                  </w:pPr>
                  <w:r>
                    <w:rPr>
                      <w:color w:val="auto"/>
                      <w:kern w:val="0"/>
                      <w:szCs w:val="21"/>
                      <w:lang w:bidi="ar"/>
                    </w:rPr>
                    <w:t>21.9</w:t>
                  </w:r>
                </w:p>
              </w:tc>
              <w:tc>
                <w:tcPr>
                  <w:tcW w:w="1260" w:type="dxa"/>
                  <w:vMerge w:val="continue"/>
                  <w:vAlign w:val="center"/>
                </w:tcPr>
                <w:p w14:paraId="6E4D057D">
                  <w:pPr>
                    <w:snapToGrid w:val="0"/>
                    <w:jc w:val="center"/>
                    <w:rPr>
                      <w:rFonts w:hint="eastAsia"/>
                      <w:color w:val="auto"/>
                      <w:szCs w:val="21"/>
                    </w:rPr>
                  </w:pPr>
                </w:p>
              </w:tc>
            </w:tr>
            <w:tr w14:paraId="38615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84" w:type="dxa"/>
                  <w:vMerge w:val="restart"/>
                  <w:vAlign w:val="center"/>
                </w:tcPr>
                <w:p w14:paraId="377B3775">
                  <w:pPr>
                    <w:widowControl/>
                    <w:jc w:val="center"/>
                    <w:textAlignment w:val="center"/>
                    <w:rPr>
                      <w:color w:val="auto"/>
                      <w:szCs w:val="21"/>
                    </w:rPr>
                  </w:pPr>
                  <w:r>
                    <w:rPr>
                      <w:color w:val="auto"/>
                      <w:kern w:val="0"/>
                      <w:szCs w:val="21"/>
                      <w:lang w:bidi="ar"/>
                    </w:rPr>
                    <w:t>15</w:t>
                  </w:r>
                </w:p>
              </w:tc>
              <w:tc>
                <w:tcPr>
                  <w:tcW w:w="786" w:type="dxa"/>
                  <w:vMerge w:val="continue"/>
                  <w:vAlign w:val="center"/>
                </w:tcPr>
                <w:p w14:paraId="75F656A6">
                  <w:pPr>
                    <w:snapToGrid w:val="0"/>
                    <w:jc w:val="center"/>
                    <w:rPr>
                      <w:b/>
                      <w:bCs/>
                      <w:color w:val="auto"/>
                      <w:szCs w:val="21"/>
                    </w:rPr>
                  </w:pPr>
                </w:p>
              </w:tc>
              <w:tc>
                <w:tcPr>
                  <w:tcW w:w="1383" w:type="dxa"/>
                  <w:vMerge w:val="restart"/>
                  <w:vAlign w:val="center"/>
                </w:tcPr>
                <w:p w14:paraId="036C1369">
                  <w:pPr>
                    <w:autoSpaceDE w:val="0"/>
                    <w:autoSpaceDN w:val="0"/>
                    <w:adjustRightInd w:val="0"/>
                    <w:snapToGrid w:val="0"/>
                    <w:jc w:val="center"/>
                    <w:rPr>
                      <w:color w:val="auto"/>
                      <w:kern w:val="0"/>
                      <w:szCs w:val="21"/>
                    </w:rPr>
                  </w:pPr>
                  <w:r>
                    <w:rPr>
                      <w:rFonts w:hint="eastAsia"/>
                      <w:color w:val="auto"/>
                      <w:kern w:val="0"/>
                      <w:szCs w:val="21"/>
                    </w:rPr>
                    <w:t>精密锯</w:t>
                  </w:r>
                </w:p>
              </w:tc>
              <w:tc>
                <w:tcPr>
                  <w:tcW w:w="1494" w:type="dxa"/>
                  <w:vMerge w:val="restart"/>
                  <w:vAlign w:val="center"/>
                </w:tcPr>
                <w:p w14:paraId="6D2DFF1B">
                  <w:pPr>
                    <w:adjustRightInd w:val="0"/>
                    <w:snapToGrid w:val="0"/>
                    <w:jc w:val="center"/>
                    <w:rPr>
                      <w:rFonts w:hint="eastAsia" w:eastAsia="宋体"/>
                      <w:bCs/>
                      <w:color w:val="auto"/>
                      <w:szCs w:val="21"/>
                      <w:lang w:val="en-US" w:eastAsia="zh-CN"/>
                    </w:rPr>
                  </w:pPr>
                  <w:r>
                    <w:rPr>
                      <w:rFonts w:hint="eastAsia"/>
                      <w:bCs/>
                      <w:color w:val="auto"/>
                      <w:szCs w:val="21"/>
                      <w:lang w:val="en-US" w:eastAsia="zh-CN"/>
                    </w:rPr>
                    <w:t>/</w:t>
                  </w:r>
                </w:p>
              </w:tc>
              <w:tc>
                <w:tcPr>
                  <w:tcW w:w="1081" w:type="dxa"/>
                  <w:vMerge w:val="restart"/>
                  <w:vAlign w:val="center"/>
                </w:tcPr>
                <w:p w14:paraId="6BAC2F35">
                  <w:pPr>
                    <w:widowControl/>
                    <w:jc w:val="center"/>
                    <w:textAlignment w:val="center"/>
                    <w:rPr>
                      <w:bCs/>
                      <w:color w:val="auto"/>
                      <w:szCs w:val="21"/>
                    </w:rPr>
                  </w:pPr>
                  <w:r>
                    <w:rPr>
                      <w:color w:val="auto"/>
                      <w:kern w:val="0"/>
                      <w:szCs w:val="21"/>
                      <w:lang w:bidi="ar"/>
                    </w:rPr>
                    <w:t>75</w:t>
                  </w:r>
                </w:p>
              </w:tc>
              <w:tc>
                <w:tcPr>
                  <w:tcW w:w="768" w:type="dxa"/>
                  <w:vMerge w:val="continue"/>
                  <w:vAlign w:val="center"/>
                </w:tcPr>
                <w:p w14:paraId="6F46D40A">
                  <w:pPr>
                    <w:snapToGrid w:val="0"/>
                    <w:jc w:val="center"/>
                    <w:rPr>
                      <w:b/>
                      <w:bCs/>
                      <w:color w:val="auto"/>
                      <w:szCs w:val="21"/>
                    </w:rPr>
                  </w:pPr>
                </w:p>
              </w:tc>
              <w:tc>
                <w:tcPr>
                  <w:tcW w:w="617" w:type="dxa"/>
                  <w:vMerge w:val="restart"/>
                  <w:vAlign w:val="center"/>
                </w:tcPr>
                <w:p w14:paraId="7EC3EF77">
                  <w:pPr>
                    <w:widowControl/>
                    <w:jc w:val="center"/>
                    <w:textAlignment w:val="center"/>
                    <w:rPr>
                      <w:color w:val="auto"/>
                      <w:szCs w:val="21"/>
                    </w:rPr>
                  </w:pPr>
                  <w:r>
                    <w:rPr>
                      <w:color w:val="auto"/>
                      <w:kern w:val="0"/>
                      <w:szCs w:val="21"/>
                      <w:lang w:bidi="ar"/>
                    </w:rPr>
                    <w:t>7</w:t>
                  </w:r>
                </w:p>
              </w:tc>
              <w:tc>
                <w:tcPr>
                  <w:tcW w:w="617" w:type="dxa"/>
                  <w:vMerge w:val="restart"/>
                  <w:vAlign w:val="center"/>
                </w:tcPr>
                <w:p w14:paraId="55AE0C54">
                  <w:pPr>
                    <w:widowControl/>
                    <w:jc w:val="center"/>
                    <w:textAlignment w:val="center"/>
                    <w:rPr>
                      <w:color w:val="auto"/>
                      <w:szCs w:val="21"/>
                    </w:rPr>
                  </w:pPr>
                  <w:r>
                    <w:rPr>
                      <w:color w:val="auto"/>
                      <w:kern w:val="0"/>
                      <w:szCs w:val="21"/>
                      <w:lang w:bidi="ar"/>
                    </w:rPr>
                    <w:t>-35</w:t>
                  </w:r>
                </w:p>
              </w:tc>
              <w:tc>
                <w:tcPr>
                  <w:tcW w:w="623" w:type="dxa"/>
                  <w:vMerge w:val="restart"/>
                  <w:vAlign w:val="center"/>
                </w:tcPr>
                <w:p w14:paraId="5D29F210">
                  <w:pPr>
                    <w:widowControl/>
                    <w:jc w:val="center"/>
                    <w:textAlignment w:val="center"/>
                    <w:rPr>
                      <w:color w:val="auto"/>
                      <w:szCs w:val="21"/>
                    </w:rPr>
                  </w:pPr>
                  <w:r>
                    <w:rPr>
                      <w:color w:val="auto"/>
                      <w:kern w:val="0"/>
                      <w:szCs w:val="21"/>
                      <w:lang w:bidi="ar"/>
                    </w:rPr>
                    <w:t>1.2</w:t>
                  </w:r>
                </w:p>
              </w:tc>
              <w:tc>
                <w:tcPr>
                  <w:tcW w:w="1171" w:type="dxa"/>
                  <w:vAlign w:val="center"/>
                </w:tcPr>
                <w:p w14:paraId="6BEA9DB5">
                  <w:pPr>
                    <w:snapToGrid w:val="0"/>
                    <w:jc w:val="center"/>
                    <w:rPr>
                      <w:color w:val="auto"/>
                      <w:szCs w:val="21"/>
                    </w:rPr>
                  </w:pPr>
                  <w:r>
                    <w:rPr>
                      <w:rFonts w:hint="eastAsia"/>
                      <w:color w:val="auto"/>
                      <w:szCs w:val="21"/>
                    </w:rPr>
                    <w:t>北38</w:t>
                  </w:r>
                </w:p>
              </w:tc>
              <w:tc>
                <w:tcPr>
                  <w:tcW w:w="782" w:type="dxa"/>
                  <w:vAlign w:val="center"/>
                </w:tcPr>
                <w:p w14:paraId="4EE11531">
                  <w:pPr>
                    <w:widowControl/>
                    <w:jc w:val="center"/>
                    <w:textAlignment w:val="center"/>
                    <w:rPr>
                      <w:color w:val="auto"/>
                      <w:szCs w:val="21"/>
                    </w:rPr>
                  </w:pPr>
                  <w:r>
                    <w:rPr>
                      <w:color w:val="auto"/>
                      <w:kern w:val="0"/>
                      <w:szCs w:val="21"/>
                      <w:lang w:bidi="ar"/>
                    </w:rPr>
                    <w:t>43.4</w:t>
                  </w:r>
                </w:p>
              </w:tc>
              <w:tc>
                <w:tcPr>
                  <w:tcW w:w="741" w:type="dxa"/>
                  <w:vMerge w:val="continue"/>
                  <w:vAlign w:val="center"/>
                </w:tcPr>
                <w:p w14:paraId="4EDFC10D">
                  <w:pPr>
                    <w:snapToGrid w:val="0"/>
                    <w:jc w:val="center"/>
                    <w:rPr>
                      <w:color w:val="auto"/>
                      <w:szCs w:val="21"/>
                    </w:rPr>
                  </w:pPr>
                </w:p>
              </w:tc>
              <w:tc>
                <w:tcPr>
                  <w:tcW w:w="893" w:type="dxa"/>
                  <w:vMerge w:val="continue"/>
                  <w:vAlign w:val="center"/>
                </w:tcPr>
                <w:p w14:paraId="119A6DD9">
                  <w:pPr>
                    <w:snapToGrid w:val="0"/>
                    <w:jc w:val="center"/>
                    <w:rPr>
                      <w:color w:val="auto"/>
                      <w:szCs w:val="21"/>
                    </w:rPr>
                  </w:pPr>
                </w:p>
              </w:tc>
              <w:tc>
                <w:tcPr>
                  <w:tcW w:w="693" w:type="dxa"/>
                  <w:vAlign w:val="center"/>
                </w:tcPr>
                <w:p w14:paraId="548518E6">
                  <w:pPr>
                    <w:widowControl/>
                    <w:jc w:val="center"/>
                    <w:textAlignment w:val="center"/>
                    <w:rPr>
                      <w:color w:val="auto"/>
                      <w:kern w:val="0"/>
                      <w:szCs w:val="21"/>
                      <w:lang w:bidi="ar"/>
                    </w:rPr>
                  </w:pPr>
                  <w:r>
                    <w:rPr>
                      <w:color w:val="auto"/>
                      <w:kern w:val="0"/>
                      <w:szCs w:val="21"/>
                      <w:lang w:bidi="ar"/>
                    </w:rPr>
                    <w:t>23.4</w:t>
                  </w:r>
                </w:p>
              </w:tc>
              <w:tc>
                <w:tcPr>
                  <w:tcW w:w="1260" w:type="dxa"/>
                  <w:vMerge w:val="restart"/>
                  <w:vAlign w:val="center"/>
                </w:tcPr>
                <w:p w14:paraId="61A642E7">
                  <w:pPr>
                    <w:snapToGrid w:val="0"/>
                    <w:jc w:val="center"/>
                    <w:rPr>
                      <w:color w:val="auto"/>
                      <w:szCs w:val="21"/>
                    </w:rPr>
                  </w:pPr>
                  <w:r>
                    <w:rPr>
                      <w:rFonts w:hint="eastAsia"/>
                      <w:color w:val="auto"/>
                      <w:szCs w:val="21"/>
                    </w:rPr>
                    <w:t>1</w:t>
                  </w:r>
                </w:p>
              </w:tc>
            </w:tr>
            <w:tr w14:paraId="22AE6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84" w:type="dxa"/>
                  <w:vMerge w:val="continue"/>
                  <w:vAlign w:val="center"/>
                </w:tcPr>
                <w:p w14:paraId="2A2EC4E5">
                  <w:pPr>
                    <w:snapToGrid w:val="0"/>
                    <w:jc w:val="center"/>
                    <w:rPr>
                      <w:color w:val="auto"/>
                      <w:szCs w:val="21"/>
                    </w:rPr>
                  </w:pPr>
                </w:p>
              </w:tc>
              <w:tc>
                <w:tcPr>
                  <w:tcW w:w="786" w:type="dxa"/>
                  <w:vMerge w:val="continue"/>
                  <w:vAlign w:val="center"/>
                </w:tcPr>
                <w:p w14:paraId="18631A0D">
                  <w:pPr>
                    <w:snapToGrid w:val="0"/>
                    <w:jc w:val="center"/>
                    <w:rPr>
                      <w:color w:val="auto"/>
                    </w:rPr>
                  </w:pPr>
                </w:p>
              </w:tc>
              <w:tc>
                <w:tcPr>
                  <w:tcW w:w="1383" w:type="dxa"/>
                  <w:vMerge w:val="continue"/>
                  <w:vAlign w:val="top"/>
                </w:tcPr>
                <w:p w14:paraId="5FCF01B1">
                  <w:pPr>
                    <w:snapToGrid w:val="0"/>
                    <w:jc w:val="center"/>
                    <w:rPr>
                      <w:color w:val="auto"/>
                    </w:rPr>
                  </w:pPr>
                </w:p>
              </w:tc>
              <w:tc>
                <w:tcPr>
                  <w:tcW w:w="1494" w:type="dxa"/>
                  <w:vMerge w:val="continue"/>
                  <w:vAlign w:val="center"/>
                </w:tcPr>
                <w:p w14:paraId="04E5969A">
                  <w:pPr>
                    <w:snapToGrid w:val="0"/>
                    <w:jc w:val="center"/>
                    <w:rPr>
                      <w:color w:val="auto"/>
                    </w:rPr>
                  </w:pPr>
                </w:p>
              </w:tc>
              <w:tc>
                <w:tcPr>
                  <w:tcW w:w="1081" w:type="dxa"/>
                  <w:vMerge w:val="continue"/>
                  <w:vAlign w:val="center"/>
                </w:tcPr>
                <w:p w14:paraId="6CDBF206">
                  <w:pPr>
                    <w:snapToGrid w:val="0"/>
                    <w:jc w:val="center"/>
                    <w:rPr>
                      <w:color w:val="auto"/>
                      <w:szCs w:val="21"/>
                    </w:rPr>
                  </w:pPr>
                </w:p>
              </w:tc>
              <w:tc>
                <w:tcPr>
                  <w:tcW w:w="768" w:type="dxa"/>
                  <w:vMerge w:val="continue"/>
                  <w:vAlign w:val="center"/>
                </w:tcPr>
                <w:p w14:paraId="136D3EC0">
                  <w:pPr>
                    <w:snapToGrid w:val="0"/>
                    <w:jc w:val="center"/>
                    <w:rPr>
                      <w:color w:val="auto"/>
                    </w:rPr>
                  </w:pPr>
                </w:p>
              </w:tc>
              <w:tc>
                <w:tcPr>
                  <w:tcW w:w="617" w:type="dxa"/>
                  <w:vMerge w:val="continue"/>
                  <w:vAlign w:val="center"/>
                </w:tcPr>
                <w:p w14:paraId="132FF447">
                  <w:pPr>
                    <w:snapToGrid w:val="0"/>
                    <w:jc w:val="center"/>
                    <w:rPr>
                      <w:color w:val="auto"/>
                      <w:szCs w:val="21"/>
                    </w:rPr>
                  </w:pPr>
                </w:p>
              </w:tc>
              <w:tc>
                <w:tcPr>
                  <w:tcW w:w="617" w:type="dxa"/>
                  <w:vMerge w:val="continue"/>
                  <w:vAlign w:val="center"/>
                </w:tcPr>
                <w:p w14:paraId="24FCCC25">
                  <w:pPr>
                    <w:snapToGrid w:val="0"/>
                    <w:jc w:val="center"/>
                    <w:rPr>
                      <w:color w:val="auto"/>
                      <w:szCs w:val="21"/>
                    </w:rPr>
                  </w:pPr>
                </w:p>
              </w:tc>
              <w:tc>
                <w:tcPr>
                  <w:tcW w:w="623" w:type="dxa"/>
                  <w:vMerge w:val="continue"/>
                  <w:vAlign w:val="center"/>
                </w:tcPr>
                <w:p w14:paraId="29772F3C">
                  <w:pPr>
                    <w:snapToGrid w:val="0"/>
                    <w:jc w:val="center"/>
                    <w:rPr>
                      <w:color w:val="auto"/>
                      <w:szCs w:val="21"/>
                    </w:rPr>
                  </w:pPr>
                </w:p>
              </w:tc>
              <w:tc>
                <w:tcPr>
                  <w:tcW w:w="1171" w:type="dxa"/>
                  <w:vAlign w:val="center"/>
                </w:tcPr>
                <w:p w14:paraId="2F218799">
                  <w:pPr>
                    <w:snapToGrid w:val="0"/>
                    <w:jc w:val="center"/>
                    <w:rPr>
                      <w:color w:val="auto"/>
                      <w:szCs w:val="21"/>
                    </w:rPr>
                  </w:pPr>
                  <w:r>
                    <w:rPr>
                      <w:rFonts w:hint="eastAsia"/>
                      <w:color w:val="auto"/>
                      <w:szCs w:val="21"/>
                    </w:rPr>
                    <w:t>南62</w:t>
                  </w:r>
                </w:p>
              </w:tc>
              <w:tc>
                <w:tcPr>
                  <w:tcW w:w="782" w:type="dxa"/>
                  <w:vAlign w:val="center"/>
                </w:tcPr>
                <w:p w14:paraId="1F1CFFE3">
                  <w:pPr>
                    <w:widowControl/>
                    <w:jc w:val="center"/>
                    <w:textAlignment w:val="center"/>
                    <w:rPr>
                      <w:color w:val="auto"/>
                      <w:szCs w:val="21"/>
                    </w:rPr>
                  </w:pPr>
                  <w:r>
                    <w:rPr>
                      <w:color w:val="auto"/>
                      <w:kern w:val="0"/>
                      <w:szCs w:val="21"/>
                      <w:lang w:bidi="ar"/>
                    </w:rPr>
                    <w:t>39.2</w:t>
                  </w:r>
                </w:p>
              </w:tc>
              <w:tc>
                <w:tcPr>
                  <w:tcW w:w="741" w:type="dxa"/>
                  <w:vMerge w:val="continue"/>
                  <w:vAlign w:val="center"/>
                </w:tcPr>
                <w:p w14:paraId="5A1D224E">
                  <w:pPr>
                    <w:snapToGrid w:val="0"/>
                    <w:jc w:val="center"/>
                    <w:rPr>
                      <w:rFonts w:hint="eastAsia"/>
                      <w:color w:val="auto"/>
                      <w:szCs w:val="21"/>
                    </w:rPr>
                  </w:pPr>
                </w:p>
              </w:tc>
              <w:tc>
                <w:tcPr>
                  <w:tcW w:w="893" w:type="dxa"/>
                  <w:vMerge w:val="continue"/>
                  <w:vAlign w:val="center"/>
                </w:tcPr>
                <w:p w14:paraId="1EB96188">
                  <w:pPr>
                    <w:snapToGrid w:val="0"/>
                    <w:jc w:val="center"/>
                    <w:rPr>
                      <w:rFonts w:hint="eastAsia"/>
                      <w:color w:val="auto"/>
                      <w:szCs w:val="21"/>
                    </w:rPr>
                  </w:pPr>
                </w:p>
              </w:tc>
              <w:tc>
                <w:tcPr>
                  <w:tcW w:w="693" w:type="dxa"/>
                  <w:vAlign w:val="center"/>
                </w:tcPr>
                <w:p w14:paraId="702417EF">
                  <w:pPr>
                    <w:widowControl/>
                    <w:jc w:val="center"/>
                    <w:textAlignment w:val="center"/>
                    <w:rPr>
                      <w:color w:val="auto"/>
                      <w:szCs w:val="21"/>
                    </w:rPr>
                  </w:pPr>
                  <w:r>
                    <w:rPr>
                      <w:color w:val="auto"/>
                      <w:kern w:val="0"/>
                      <w:szCs w:val="21"/>
                      <w:lang w:bidi="ar"/>
                    </w:rPr>
                    <w:t>19.2</w:t>
                  </w:r>
                </w:p>
              </w:tc>
              <w:tc>
                <w:tcPr>
                  <w:tcW w:w="1260" w:type="dxa"/>
                  <w:vMerge w:val="continue"/>
                  <w:vAlign w:val="center"/>
                </w:tcPr>
                <w:p w14:paraId="79A84440">
                  <w:pPr>
                    <w:snapToGrid w:val="0"/>
                    <w:jc w:val="center"/>
                    <w:rPr>
                      <w:rFonts w:hint="eastAsia"/>
                      <w:color w:val="auto"/>
                      <w:szCs w:val="21"/>
                    </w:rPr>
                  </w:pPr>
                </w:p>
              </w:tc>
            </w:tr>
            <w:tr w14:paraId="2176E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84" w:type="dxa"/>
                  <w:vMerge w:val="continue"/>
                  <w:vAlign w:val="center"/>
                </w:tcPr>
                <w:p w14:paraId="4E0632AD">
                  <w:pPr>
                    <w:snapToGrid w:val="0"/>
                    <w:jc w:val="center"/>
                    <w:rPr>
                      <w:color w:val="auto"/>
                      <w:szCs w:val="21"/>
                    </w:rPr>
                  </w:pPr>
                </w:p>
              </w:tc>
              <w:tc>
                <w:tcPr>
                  <w:tcW w:w="786" w:type="dxa"/>
                  <w:vMerge w:val="continue"/>
                  <w:vAlign w:val="center"/>
                </w:tcPr>
                <w:p w14:paraId="341BBBF2">
                  <w:pPr>
                    <w:snapToGrid w:val="0"/>
                    <w:jc w:val="center"/>
                    <w:rPr>
                      <w:rFonts w:hint="eastAsia"/>
                      <w:color w:val="auto"/>
                      <w:szCs w:val="21"/>
                    </w:rPr>
                  </w:pPr>
                </w:p>
              </w:tc>
              <w:tc>
                <w:tcPr>
                  <w:tcW w:w="1383" w:type="dxa"/>
                  <w:vMerge w:val="continue"/>
                  <w:vAlign w:val="top"/>
                </w:tcPr>
                <w:p w14:paraId="3973353E">
                  <w:pPr>
                    <w:snapToGrid w:val="0"/>
                    <w:jc w:val="center"/>
                    <w:rPr>
                      <w:rFonts w:hint="eastAsia"/>
                      <w:color w:val="auto"/>
                      <w:szCs w:val="21"/>
                    </w:rPr>
                  </w:pPr>
                </w:p>
              </w:tc>
              <w:tc>
                <w:tcPr>
                  <w:tcW w:w="1494" w:type="dxa"/>
                  <w:vMerge w:val="continue"/>
                  <w:vAlign w:val="center"/>
                </w:tcPr>
                <w:p w14:paraId="3B76F8B9">
                  <w:pPr>
                    <w:snapToGrid w:val="0"/>
                    <w:jc w:val="center"/>
                    <w:rPr>
                      <w:rFonts w:hint="eastAsia"/>
                      <w:color w:val="auto"/>
                      <w:szCs w:val="21"/>
                    </w:rPr>
                  </w:pPr>
                </w:p>
              </w:tc>
              <w:tc>
                <w:tcPr>
                  <w:tcW w:w="1081" w:type="dxa"/>
                  <w:vMerge w:val="continue"/>
                  <w:vAlign w:val="center"/>
                </w:tcPr>
                <w:p w14:paraId="315E1EA6">
                  <w:pPr>
                    <w:snapToGrid w:val="0"/>
                    <w:jc w:val="center"/>
                    <w:rPr>
                      <w:color w:val="auto"/>
                      <w:szCs w:val="21"/>
                    </w:rPr>
                  </w:pPr>
                </w:p>
              </w:tc>
              <w:tc>
                <w:tcPr>
                  <w:tcW w:w="768" w:type="dxa"/>
                  <w:vMerge w:val="continue"/>
                  <w:vAlign w:val="center"/>
                </w:tcPr>
                <w:p w14:paraId="7618E800">
                  <w:pPr>
                    <w:snapToGrid w:val="0"/>
                    <w:jc w:val="center"/>
                    <w:rPr>
                      <w:rFonts w:hint="eastAsia"/>
                      <w:color w:val="auto"/>
                      <w:szCs w:val="21"/>
                    </w:rPr>
                  </w:pPr>
                </w:p>
              </w:tc>
              <w:tc>
                <w:tcPr>
                  <w:tcW w:w="617" w:type="dxa"/>
                  <w:vMerge w:val="continue"/>
                  <w:vAlign w:val="center"/>
                </w:tcPr>
                <w:p w14:paraId="0E92B6F2">
                  <w:pPr>
                    <w:snapToGrid w:val="0"/>
                    <w:jc w:val="center"/>
                    <w:rPr>
                      <w:color w:val="auto"/>
                      <w:szCs w:val="21"/>
                    </w:rPr>
                  </w:pPr>
                </w:p>
              </w:tc>
              <w:tc>
                <w:tcPr>
                  <w:tcW w:w="617" w:type="dxa"/>
                  <w:vMerge w:val="continue"/>
                  <w:vAlign w:val="center"/>
                </w:tcPr>
                <w:p w14:paraId="1E622527">
                  <w:pPr>
                    <w:snapToGrid w:val="0"/>
                    <w:jc w:val="center"/>
                    <w:rPr>
                      <w:color w:val="auto"/>
                      <w:szCs w:val="21"/>
                    </w:rPr>
                  </w:pPr>
                </w:p>
              </w:tc>
              <w:tc>
                <w:tcPr>
                  <w:tcW w:w="623" w:type="dxa"/>
                  <w:vMerge w:val="continue"/>
                  <w:vAlign w:val="center"/>
                </w:tcPr>
                <w:p w14:paraId="08BA2972">
                  <w:pPr>
                    <w:snapToGrid w:val="0"/>
                    <w:jc w:val="center"/>
                    <w:rPr>
                      <w:color w:val="auto"/>
                      <w:szCs w:val="21"/>
                    </w:rPr>
                  </w:pPr>
                </w:p>
              </w:tc>
              <w:tc>
                <w:tcPr>
                  <w:tcW w:w="1171" w:type="dxa"/>
                  <w:vAlign w:val="center"/>
                </w:tcPr>
                <w:p w14:paraId="640B4FAC">
                  <w:pPr>
                    <w:snapToGrid w:val="0"/>
                    <w:jc w:val="center"/>
                    <w:rPr>
                      <w:rFonts w:hint="eastAsia"/>
                      <w:color w:val="auto"/>
                      <w:szCs w:val="21"/>
                    </w:rPr>
                  </w:pPr>
                  <w:r>
                    <w:rPr>
                      <w:rFonts w:hint="eastAsia"/>
                      <w:color w:val="auto"/>
                      <w:szCs w:val="21"/>
                    </w:rPr>
                    <w:t>东15</w:t>
                  </w:r>
                </w:p>
              </w:tc>
              <w:tc>
                <w:tcPr>
                  <w:tcW w:w="782" w:type="dxa"/>
                  <w:vAlign w:val="center"/>
                </w:tcPr>
                <w:p w14:paraId="53D37AC5">
                  <w:pPr>
                    <w:widowControl/>
                    <w:jc w:val="center"/>
                    <w:textAlignment w:val="center"/>
                    <w:rPr>
                      <w:color w:val="auto"/>
                      <w:szCs w:val="21"/>
                    </w:rPr>
                  </w:pPr>
                  <w:r>
                    <w:rPr>
                      <w:color w:val="auto"/>
                      <w:kern w:val="0"/>
                      <w:szCs w:val="21"/>
                      <w:lang w:bidi="ar"/>
                    </w:rPr>
                    <w:t>51.5</w:t>
                  </w:r>
                </w:p>
              </w:tc>
              <w:tc>
                <w:tcPr>
                  <w:tcW w:w="741" w:type="dxa"/>
                  <w:vMerge w:val="continue"/>
                  <w:vAlign w:val="center"/>
                </w:tcPr>
                <w:p w14:paraId="7464BA26">
                  <w:pPr>
                    <w:snapToGrid w:val="0"/>
                    <w:jc w:val="center"/>
                    <w:rPr>
                      <w:rFonts w:hint="eastAsia"/>
                      <w:color w:val="auto"/>
                      <w:szCs w:val="21"/>
                    </w:rPr>
                  </w:pPr>
                </w:p>
              </w:tc>
              <w:tc>
                <w:tcPr>
                  <w:tcW w:w="893" w:type="dxa"/>
                  <w:vMerge w:val="continue"/>
                  <w:vAlign w:val="center"/>
                </w:tcPr>
                <w:p w14:paraId="3136C79C">
                  <w:pPr>
                    <w:snapToGrid w:val="0"/>
                    <w:jc w:val="center"/>
                    <w:rPr>
                      <w:rFonts w:hint="eastAsia"/>
                      <w:color w:val="auto"/>
                      <w:szCs w:val="21"/>
                    </w:rPr>
                  </w:pPr>
                </w:p>
              </w:tc>
              <w:tc>
                <w:tcPr>
                  <w:tcW w:w="693" w:type="dxa"/>
                  <w:vAlign w:val="center"/>
                </w:tcPr>
                <w:p w14:paraId="79AE2068">
                  <w:pPr>
                    <w:widowControl/>
                    <w:jc w:val="center"/>
                    <w:textAlignment w:val="center"/>
                    <w:rPr>
                      <w:color w:val="auto"/>
                      <w:szCs w:val="21"/>
                    </w:rPr>
                  </w:pPr>
                  <w:r>
                    <w:rPr>
                      <w:color w:val="auto"/>
                      <w:kern w:val="0"/>
                      <w:szCs w:val="21"/>
                      <w:lang w:bidi="ar"/>
                    </w:rPr>
                    <w:t>31.5</w:t>
                  </w:r>
                </w:p>
              </w:tc>
              <w:tc>
                <w:tcPr>
                  <w:tcW w:w="1260" w:type="dxa"/>
                  <w:vMerge w:val="continue"/>
                  <w:vAlign w:val="center"/>
                </w:tcPr>
                <w:p w14:paraId="779B0A49">
                  <w:pPr>
                    <w:snapToGrid w:val="0"/>
                    <w:jc w:val="center"/>
                    <w:rPr>
                      <w:rFonts w:hint="eastAsia"/>
                      <w:color w:val="auto"/>
                      <w:szCs w:val="21"/>
                    </w:rPr>
                  </w:pPr>
                </w:p>
              </w:tc>
            </w:tr>
            <w:tr w14:paraId="1AF2E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84" w:type="dxa"/>
                  <w:vMerge w:val="continue"/>
                  <w:vAlign w:val="center"/>
                </w:tcPr>
                <w:p w14:paraId="45679665">
                  <w:pPr>
                    <w:snapToGrid w:val="0"/>
                    <w:jc w:val="center"/>
                    <w:rPr>
                      <w:color w:val="auto"/>
                      <w:szCs w:val="21"/>
                    </w:rPr>
                  </w:pPr>
                </w:p>
              </w:tc>
              <w:tc>
                <w:tcPr>
                  <w:tcW w:w="786" w:type="dxa"/>
                  <w:vMerge w:val="continue"/>
                  <w:vAlign w:val="center"/>
                </w:tcPr>
                <w:p w14:paraId="04CAAD70">
                  <w:pPr>
                    <w:snapToGrid w:val="0"/>
                    <w:jc w:val="center"/>
                    <w:rPr>
                      <w:rFonts w:hint="eastAsia"/>
                      <w:color w:val="auto"/>
                      <w:szCs w:val="21"/>
                    </w:rPr>
                  </w:pPr>
                </w:p>
              </w:tc>
              <w:tc>
                <w:tcPr>
                  <w:tcW w:w="1383" w:type="dxa"/>
                  <w:vMerge w:val="continue"/>
                  <w:vAlign w:val="top"/>
                </w:tcPr>
                <w:p w14:paraId="4F6FD67D">
                  <w:pPr>
                    <w:snapToGrid w:val="0"/>
                    <w:jc w:val="center"/>
                    <w:rPr>
                      <w:rFonts w:hint="eastAsia"/>
                      <w:color w:val="auto"/>
                      <w:szCs w:val="21"/>
                    </w:rPr>
                  </w:pPr>
                </w:p>
              </w:tc>
              <w:tc>
                <w:tcPr>
                  <w:tcW w:w="1494" w:type="dxa"/>
                  <w:vMerge w:val="continue"/>
                  <w:vAlign w:val="center"/>
                </w:tcPr>
                <w:p w14:paraId="35840F14">
                  <w:pPr>
                    <w:snapToGrid w:val="0"/>
                    <w:jc w:val="center"/>
                    <w:rPr>
                      <w:rFonts w:hint="eastAsia"/>
                      <w:color w:val="auto"/>
                      <w:szCs w:val="21"/>
                    </w:rPr>
                  </w:pPr>
                </w:p>
              </w:tc>
              <w:tc>
                <w:tcPr>
                  <w:tcW w:w="1081" w:type="dxa"/>
                  <w:vMerge w:val="continue"/>
                  <w:vAlign w:val="center"/>
                </w:tcPr>
                <w:p w14:paraId="17A9C5FD">
                  <w:pPr>
                    <w:snapToGrid w:val="0"/>
                    <w:jc w:val="center"/>
                    <w:rPr>
                      <w:color w:val="auto"/>
                      <w:szCs w:val="21"/>
                    </w:rPr>
                  </w:pPr>
                </w:p>
              </w:tc>
              <w:tc>
                <w:tcPr>
                  <w:tcW w:w="768" w:type="dxa"/>
                  <w:vMerge w:val="continue"/>
                  <w:vAlign w:val="center"/>
                </w:tcPr>
                <w:p w14:paraId="7914434F">
                  <w:pPr>
                    <w:snapToGrid w:val="0"/>
                    <w:jc w:val="center"/>
                    <w:rPr>
                      <w:rFonts w:hint="eastAsia"/>
                      <w:color w:val="auto"/>
                      <w:szCs w:val="21"/>
                    </w:rPr>
                  </w:pPr>
                </w:p>
              </w:tc>
              <w:tc>
                <w:tcPr>
                  <w:tcW w:w="617" w:type="dxa"/>
                  <w:vMerge w:val="continue"/>
                  <w:vAlign w:val="center"/>
                </w:tcPr>
                <w:p w14:paraId="464A53BE">
                  <w:pPr>
                    <w:snapToGrid w:val="0"/>
                    <w:jc w:val="center"/>
                    <w:rPr>
                      <w:color w:val="auto"/>
                      <w:szCs w:val="21"/>
                    </w:rPr>
                  </w:pPr>
                </w:p>
              </w:tc>
              <w:tc>
                <w:tcPr>
                  <w:tcW w:w="617" w:type="dxa"/>
                  <w:vMerge w:val="continue"/>
                  <w:vAlign w:val="center"/>
                </w:tcPr>
                <w:p w14:paraId="2A3FA69B">
                  <w:pPr>
                    <w:snapToGrid w:val="0"/>
                    <w:jc w:val="center"/>
                    <w:rPr>
                      <w:color w:val="auto"/>
                      <w:szCs w:val="21"/>
                    </w:rPr>
                  </w:pPr>
                </w:p>
              </w:tc>
              <w:tc>
                <w:tcPr>
                  <w:tcW w:w="623" w:type="dxa"/>
                  <w:vMerge w:val="continue"/>
                  <w:vAlign w:val="center"/>
                </w:tcPr>
                <w:p w14:paraId="15B56730">
                  <w:pPr>
                    <w:snapToGrid w:val="0"/>
                    <w:jc w:val="center"/>
                    <w:rPr>
                      <w:color w:val="auto"/>
                      <w:szCs w:val="21"/>
                    </w:rPr>
                  </w:pPr>
                </w:p>
              </w:tc>
              <w:tc>
                <w:tcPr>
                  <w:tcW w:w="1171" w:type="dxa"/>
                  <w:vAlign w:val="center"/>
                </w:tcPr>
                <w:p w14:paraId="69A1C44F">
                  <w:pPr>
                    <w:snapToGrid w:val="0"/>
                    <w:jc w:val="center"/>
                    <w:rPr>
                      <w:rFonts w:hint="eastAsia"/>
                      <w:color w:val="auto"/>
                      <w:szCs w:val="21"/>
                    </w:rPr>
                  </w:pPr>
                  <w:r>
                    <w:rPr>
                      <w:rFonts w:hint="eastAsia"/>
                      <w:color w:val="auto"/>
                      <w:szCs w:val="21"/>
                    </w:rPr>
                    <w:t>西45</w:t>
                  </w:r>
                </w:p>
              </w:tc>
              <w:tc>
                <w:tcPr>
                  <w:tcW w:w="782" w:type="dxa"/>
                  <w:vAlign w:val="center"/>
                </w:tcPr>
                <w:p w14:paraId="63879C72">
                  <w:pPr>
                    <w:widowControl/>
                    <w:jc w:val="center"/>
                    <w:textAlignment w:val="center"/>
                    <w:rPr>
                      <w:color w:val="auto"/>
                      <w:szCs w:val="21"/>
                    </w:rPr>
                  </w:pPr>
                  <w:r>
                    <w:rPr>
                      <w:color w:val="auto"/>
                      <w:kern w:val="0"/>
                      <w:szCs w:val="21"/>
                      <w:lang w:bidi="ar"/>
                    </w:rPr>
                    <w:t>41.9</w:t>
                  </w:r>
                </w:p>
              </w:tc>
              <w:tc>
                <w:tcPr>
                  <w:tcW w:w="741" w:type="dxa"/>
                  <w:vMerge w:val="continue"/>
                  <w:vAlign w:val="center"/>
                </w:tcPr>
                <w:p w14:paraId="2C96DD5F">
                  <w:pPr>
                    <w:snapToGrid w:val="0"/>
                    <w:jc w:val="center"/>
                    <w:rPr>
                      <w:rFonts w:hint="eastAsia"/>
                      <w:color w:val="auto"/>
                      <w:szCs w:val="21"/>
                    </w:rPr>
                  </w:pPr>
                </w:p>
              </w:tc>
              <w:tc>
                <w:tcPr>
                  <w:tcW w:w="893" w:type="dxa"/>
                  <w:vMerge w:val="continue"/>
                  <w:vAlign w:val="center"/>
                </w:tcPr>
                <w:p w14:paraId="6B532B75">
                  <w:pPr>
                    <w:snapToGrid w:val="0"/>
                    <w:jc w:val="center"/>
                    <w:rPr>
                      <w:rFonts w:hint="eastAsia"/>
                      <w:color w:val="auto"/>
                      <w:szCs w:val="21"/>
                    </w:rPr>
                  </w:pPr>
                </w:p>
              </w:tc>
              <w:tc>
                <w:tcPr>
                  <w:tcW w:w="693" w:type="dxa"/>
                  <w:vAlign w:val="center"/>
                </w:tcPr>
                <w:p w14:paraId="6DCD07A6">
                  <w:pPr>
                    <w:widowControl/>
                    <w:jc w:val="center"/>
                    <w:textAlignment w:val="center"/>
                    <w:rPr>
                      <w:color w:val="auto"/>
                      <w:szCs w:val="21"/>
                    </w:rPr>
                  </w:pPr>
                  <w:r>
                    <w:rPr>
                      <w:color w:val="auto"/>
                      <w:kern w:val="0"/>
                      <w:szCs w:val="21"/>
                      <w:lang w:bidi="ar"/>
                    </w:rPr>
                    <w:t>21.9</w:t>
                  </w:r>
                </w:p>
              </w:tc>
              <w:tc>
                <w:tcPr>
                  <w:tcW w:w="1260" w:type="dxa"/>
                  <w:vMerge w:val="continue"/>
                  <w:vAlign w:val="center"/>
                </w:tcPr>
                <w:p w14:paraId="0D864FF8">
                  <w:pPr>
                    <w:snapToGrid w:val="0"/>
                    <w:jc w:val="center"/>
                    <w:rPr>
                      <w:rFonts w:hint="eastAsia"/>
                      <w:color w:val="auto"/>
                      <w:szCs w:val="21"/>
                    </w:rPr>
                  </w:pPr>
                </w:p>
              </w:tc>
            </w:tr>
            <w:tr w14:paraId="122FA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84" w:type="dxa"/>
                  <w:vMerge w:val="restart"/>
                  <w:vAlign w:val="center"/>
                </w:tcPr>
                <w:p w14:paraId="797A449C">
                  <w:pPr>
                    <w:widowControl/>
                    <w:jc w:val="center"/>
                    <w:textAlignment w:val="center"/>
                    <w:rPr>
                      <w:color w:val="auto"/>
                      <w:szCs w:val="21"/>
                    </w:rPr>
                  </w:pPr>
                  <w:r>
                    <w:rPr>
                      <w:color w:val="auto"/>
                      <w:kern w:val="0"/>
                      <w:szCs w:val="21"/>
                      <w:lang w:bidi="ar"/>
                    </w:rPr>
                    <w:t>16</w:t>
                  </w:r>
                </w:p>
              </w:tc>
              <w:tc>
                <w:tcPr>
                  <w:tcW w:w="786" w:type="dxa"/>
                  <w:vMerge w:val="restart"/>
                  <w:vAlign w:val="center"/>
                </w:tcPr>
                <w:p w14:paraId="3E941B9A">
                  <w:pPr>
                    <w:snapToGrid w:val="0"/>
                    <w:jc w:val="center"/>
                    <w:rPr>
                      <w:rFonts w:hint="eastAsia"/>
                      <w:color w:val="auto"/>
                      <w:szCs w:val="21"/>
                    </w:rPr>
                  </w:pPr>
                  <w:r>
                    <w:rPr>
                      <w:rFonts w:hint="eastAsia"/>
                      <w:color w:val="auto"/>
                      <w:szCs w:val="21"/>
                    </w:rPr>
                    <w:t>二车间</w:t>
                  </w:r>
                </w:p>
              </w:tc>
              <w:tc>
                <w:tcPr>
                  <w:tcW w:w="1383" w:type="dxa"/>
                  <w:vMerge w:val="restart"/>
                  <w:vAlign w:val="center"/>
                </w:tcPr>
                <w:p w14:paraId="3CCA3796">
                  <w:pPr>
                    <w:autoSpaceDE w:val="0"/>
                    <w:autoSpaceDN w:val="0"/>
                    <w:adjustRightInd w:val="0"/>
                    <w:snapToGrid w:val="0"/>
                    <w:jc w:val="center"/>
                    <w:rPr>
                      <w:color w:val="auto"/>
                      <w:kern w:val="0"/>
                      <w:szCs w:val="21"/>
                    </w:rPr>
                  </w:pPr>
                  <w:r>
                    <w:rPr>
                      <w:rFonts w:hint="eastAsia"/>
                      <w:color w:val="auto"/>
                      <w:szCs w:val="21"/>
                    </w:rPr>
                    <w:t>精密推台锯</w:t>
                  </w:r>
                </w:p>
              </w:tc>
              <w:tc>
                <w:tcPr>
                  <w:tcW w:w="1494" w:type="dxa"/>
                  <w:vMerge w:val="restart"/>
                  <w:vAlign w:val="center"/>
                </w:tcPr>
                <w:p w14:paraId="7167ECB0">
                  <w:pPr>
                    <w:adjustRightInd w:val="0"/>
                    <w:snapToGrid w:val="0"/>
                    <w:jc w:val="center"/>
                    <w:rPr>
                      <w:rFonts w:hint="eastAsia" w:eastAsia="宋体"/>
                      <w:bCs/>
                      <w:color w:val="auto"/>
                      <w:szCs w:val="21"/>
                      <w:lang w:val="en-US" w:eastAsia="zh-CN"/>
                    </w:rPr>
                  </w:pPr>
                  <w:r>
                    <w:rPr>
                      <w:rFonts w:hint="eastAsia"/>
                      <w:bCs/>
                      <w:color w:val="auto"/>
                      <w:szCs w:val="21"/>
                      <w:lang w:val="en-US" w:eastAsia="zh-CN"/>
                    </w:rPr>
                    <w:t>/</w:t>
                  </w:r>
                </w:p>
              </w:tc>
              <w:tc>
                <w:tcPr>
                  <w:tcW w:w="1081" w:type="dxa"/>
                  <w:vMerge w:val="restart"/>
                  <w:vAlign w:val="center"/>
                </w:tcPr>
                <w:p w14:paraId="308D7980">
                  <w:pPr>
                    <w:widowControl/>
                    <w:jc w:val="center"/>
                    <w:textAlignment w:val="center"/>
                    <w:rPr>
                      <w:bCs/>
                      <w:color w:val="auto"/>
                      <w:szCs w:val="21"/>
                    </w:rPr>
                  </w:pPr>
                  <w:r>
                    <w:rPr>
                      <w:rFonts w:hint="eastAsia"/>
                      <w:color w:val="auto"/>
                      <w:kern w:val="0"/>
                      <w:szCs w:val="21"/>
                      <w:lang w:bidi="ar"/>
                    </w:rPr>
                    <w:t>75</w:t>
                  </w:r>
                </w:p>
              </w:tc>
              <w:tc>
                <w:tcPr>
                  <w:tcW w:w="768" w:type="dxa"/>
                  <w:vMerge w:val="continue"/>
                  <w:vAlign w:val="center"/>
                </w:tcPr>
                <w:p w14:paraId="4D209831">
                  <w:pPr>
                    <w:snapToGrid w:val="0"/>
                    <w:jc w:val="center"/>
                    <w:rPr>
                      <w:b/>
                      <w:bCs/>
                      <w:color w:val="auto"/>
                      <w:szCs w:val="21"/>
                    </w:rPr>
                  </w:pPr>
                </w:p>
              </w:tc>
              <w:tc>
                <w:tcPr>
                  <w:tcW w:w="617" w:type="dxa"/>
                  <w:vMerge w:val="restart"/>
                  <w:vAlign w:val="center"/>
                </w:tcPr>
                <w:p w14:paraId="6885A72B">
                  <w:pPr>
                    <w:widowControl/>
                    <w:jc w:val="center"/>
                    <w:textAlignment w:val="center"/>
                    <w:rPr>
                      <w:color w:val="auto"/>
                      <w:szCs w:val="21"/>
                    </w:rPr>
                  </w:pPr>
                  <w:r>
                    <w:rPr>
                      <w:color w:val="auto"/>
                      <w:kern w:val="0"/>
                      <w:szCs w:val="21"/>
                      <w:lang w:bidi="ar"/>
                    </w:rPr>
                    <w:t>-9</w:t>
                  </w:r>
                </w:p>
              </w:tc>
              <w:tc>
                <w:tcPr>
                  <w:tcW w:w="617" w:type="dxa"/>
                  <w:vMerge w:val="restart"/>
                  <w:vAlign w:val="center"/>
                </w:tcPr>
                <w:p w14:paraId="5C8A6CBE">
                  <w:pPr>
                    <w:widowControl/>
                    <w:jc w:val="center"/>
                    <w:textAlignment w:val="center"/>
                    <w:rPr>
                      <w:color w:val="auto"/>
                      <w:szCs w:val="21"/>
                    </w:rPr>
                  </w:pPr>
                  <w:r>
                    <w:rPr>
                      <w:color w:val="auto"/>
                      <w:kern w:val="0"/>
                      <w:szCs w:val="21"/>
                      <w:lang w:bidi="ar"/>
                    </w:rPr>
                    <w:t>43</w:t>
                  </w:r>
                </w:p>
              </w:tc>
              <w:tc>
                <w:tcPr>
                  <w:tcW w:w="623" w:type="dxa"/>
                  <w:vMerge w:val="restart"/>
                  <w:vAlign w:val="center"/>
                </w:tcPr>
                <w:p w14:paraId="171162E9">
                  <w:pPr>
                    <w:widowControl/>
                    <w:jc w:val="center"/>
                    <w:textAlignment w:val="center"/>
                    <w:rPr>
                      <w:color w:val="auto"/>
                      <w:szCs w:val="21"/>
                    </w:rPr>
                  </w:pPr>
                  <w:r>
                    <w:rPr>
                      <w:color w:val="auto"/>
                      <w:kern w:val="0"/>
                      <w:szCs w:val="21"/>
                      <w:lang w:bidi="ar"/>
                    </w:rPr>
                    <w:t>1.2</w:t>
                  </w:r>
                </w:p>
              </w:tc>
              <w:tc>
                <w:tcPr>
                  <w:tcW w:w="1171" w:type="dxa"/>
                  <w:vAlign w:val="center"/>
                </w:tcPr>
                <w:p w14:paraId="055A0268">
                  <w:pPr>
                    <w:snapToGrid w:val="0"/>
                    <w:jc w:val="center"/>
                    <w:rPr>
                      <w:color w:val="auto"/>
                      <w:szCs w:val="21"/>
                    </w:rPr>
                  </w:pPr>
                  <w:r>
                    <w:rPr>
                      <w:rFonts w:hint="eastAsia"/>
                      <w:color w:val="auto"/>
                      <w:szCs w:val="21"/>
                    </w:rPr>
                    <w:t>北60</w:t>
                  </w:r>
                </w:p>
              </w:tc>
              <w:tc>
                <w:tcPr>
                  <w:tcW w:w="782" w:type="dxa"/>
                  <w:vAlign w:val="center"/>
                </w:tcPr>
                <w:p w14:paraId="64EAE4F6">
                  <w:pPr>
                    <w:widowControl/>
                    <w:jc w:val="center"/>
                    <w:textAlignment w:val="center"/>
                    <w:rPr>
                      <w:color w:val="auto"/>
                      <w:szCs w:val="21"/>
                    </w:rPr>
                  </w:pPr>
                  <w:r>
                    <w:rPr>
                      <w:color w:val="auto"/>
                      <w:kern w:val="0"/>
                      <w:szCs w:val="21"/>
                      <w:lang w:bidi="ar"/>
                    </w:rPr>
                    <w:t>39.4</w:t>
                  </w:r>
                </w:p>
              </w:tc>
              <w:tc>
                <w:tcPr>
                  <w:tcW w:w="741" w:type="dxa"/>
                  <w:vMerge w:val="continue"/>
                  <w:vAlign w:val="center"/>
                </w:tcPr>
                <w:p w14:paraId="39F58090">
                  <w:pPr>
                    <w:snapToGrid w:val="0"/>
                    <w:jc w:val="center"/>
                    <w:rPr>
                      <w:color w:val="auto"/>
                      <w:szCs w:val="21"/>
                    </w:rPr>
                  </w:pPr>
                </w:p>
              </w:tc>
              <w:tc>
                <w:tcPr>
                  <w:tcW w:w="893" w:type="dxa"/>
                  <w:vMerge w:val="continue"/>
                  <w:vAlign w:val="center"/>
                </w:tcPr>
                <w:p w14:paraId="5D23E84A">
                  <w:pPr>
                    <w:snapToGrid w:val="0"/>
                    <w:jc w:val="center"/>
                    <w:rPr>
                      <w:color w:val="auto"/>
                      <w:szCs w:val="21"/>
                    </w:rPr>
                  </w:pPr>
                </w:p>
              </w:tc>
              <w:tc>
                <w:tcPr>
                  <w:tcW w:w="693" w:type="dxa"/>
                  <w:vAlign w:val="center"/>
                </w:tcPr>
                <w:p w14:paraId="39DD351D">
                  <w:pPr>
                    <w:widowControl/>
                    <w:jc w:val="center"/>
                    <w:textAlignment w:val="center"/>
                    <w:rPr>
                      <w:color w:val="auto"/>
                      <w:kern w:val="0"/>
                      <w:szCs w:val="21"/>
                      <w:lang w:bidi="ar"/>
                    </w:rPr>
                  </w:pPr>
                  <w:r>
                    <w:rPr>
                      <w:color w:val="auto"/>
                      <w:kern w:val="0"/>
                      <w:szCs w:val="21"/>
                      <w:lang w:bidi="ar"/>
                    </w:rPr>
                    <w:t>19.4</w:t>
                  </w:r>
                </w:p>
              </w:tc>
              <w:tc>
                <w:tcPr>
                  <w:tcW w:w="1260" w:type="dxa"/>
                  <w:vMerge w:val="restart"/>
                  <w:vAlign w:val="center"/>
                </w:tcPr>
                <w:p w14:paraId="0EE351C6">
                  <w:pPr>
                    <w:snapToGrid w:val="0"/>
                    <w:jc w:val="center"/>
                    <w:rPr>
                      <w:color w:val="auto"/>
                      <w:szCs w:val="21"/>
                    </w:rPr>
                  </w:pPr>
                  <w:r>
                    <w:rPr>
                      <w:rFonts w:hint="eastAsia"/>
                      <w:color w:val="auto"/>
                      <w:szCs w:val="21"/>
                    </w:rPr>
                    <w:t>1</w:t>
                  </w:r>
                </w:p>
              </w:tc>
            </w:tr>
            <w:tr w14:paraId="38746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84" w:type="dxa"/>
                  <w:vMerge w:val="continue"/>
                  <w:vAlign w:val="center"/>
                </w:tcPr>
                <w:p w14:paraId="0E91B441">
                  <w:pPr>
                    <w:snapToGrid w:val="0"/>
                    <w:jc w:val="center"/>
                    <w:rPr>
                      <w:color w:val="auto"/>
                      <w:szCs w:val="21"/>
                    </w:rPr>
                  </w:pPr>
                </w:p>
              </w:tc>
              <w:tc>
                <w:tcPr>
                  <w:tcW w:w="786" w:type="dxa"/>
                  <w:vMerge w:val="continue"/>
                  <w:vAlign w:val="center"/>
                </w:tcPr>
                <w:p w14:paraId="2080009A">
                  <w:pPr>
                    <w:snapToGrid w:val="0"/>
                    <w:jc w:val="center"/>
                    <w:rPr>
                      <w:color w:val="auto"/>
                    </w:rPr>
                  </w:pPr>
                </w:p>
              </w:tc>
              <w:tc>
                <w:tcPr>
                  <w:tcW w:w="1383" w:type="dxa"/>
                  <w:vMerge w:val="continue"/>
                  <w:vAlign w:val="top"/>
                </w:tcPr>
                <w:p w14:paraId="7E85F406">
                  <w:pPr>
                    <w:snapToGrid w:val="0"/>
                    <w:jc w:val="center"/>
                    <w:rPr>
                      <w:color w:val="auto"/>
                    </w:rPr>
                  </w:pPr>
                </w:p>
              </w:tc>
              <w:tc>
                <w:tcPr>
                  <w:tcW w:w="1494" w:type="dxa"/>
                  <w:vMerge w:val="continue"/>
                  <w:vAlign w:val="center"/>
                </w:tcPr>
                <w:p w14:paraId="591376F5">
                  <w:pPr>
                    <w:snapToGrid w:val="0"/>
                    <w:jc w:val="center"/>
                    <w:rPr>
                      <w:color w:val="auto"/>
                    </w:rPr>
                  </w:pPr>
                </w:p>
              </w:tc>
              <w:tc>
                <w:tcPr>
                  <w:tcW w:w="1081" w:type="dxa"/>
                  <w:vMerge w:val="continue"/>
                  <w:vAlign w:val="center"/>
                </w:tcPr>
                <w:p w14:paraId="11728404">
                  <w:pPr>
                    <w:snapToGrid w:val="0"/>
                    <w:jc w:val="center"/>
                    <w:rPr>
                      <w:color w:val="auto"/>
                      <w:szCs w:val="21"/>
                    </w:rPr>
                  </w:pPr>
                </w:p>
              </w:tc>
              <w:tc>
                <w:tcPr>
                  <w:tcW w:w="768" w:type="dxa"/>
                  <w:vMerge w:val="continue"/>
                  <w:vAlign w:val="center"/>
                </w:tcPr>
                <w:p w14:paraId="13658C90">
                  <w:pPr>
                    <w:snapToGrid w:val="0"/>
                    <w:jc w:val="center"/>
                    <w:rPr>
                      <w:color w:val="auto"/>
                    </w:rPr>
                  </w:pPr>
                </w:p>
              </w:tc>
              <w:tc>
                <w:tcPr>
                  <w:tcW w:w="617" w:type="dxa"/>
                  <w:vMerge w:val="continue"/>
                  <w:vAlign w:val="center"/>
                </w:tcPr>
                <w:p w14:paraId="7A6B423E">
                  <w:pPr>
                    <w:snapToGrid w:val="0"/>
                    <w:jc w:val="center"/>
                    <w:rPr>
                      <w:color w:val="auto"/>
                      <w:szCs w:val="21"/>
                    </w:rPr>
                  </w:pPr>
                </w:p>
              </w:tc>
              <w:tc>
                <w:tcPr>
                  <w:tcW w:w="617" w:type="dxa"/>
                  <w:vMerge w:val="continue"/>
                  <w:vAlign w:val="center"/>
                </w:tcPr>
                <w:p w14:paraId="50E7E00E">
                  <w:pPr>
                    <w:snapToGrid w:val="0"/>
                    <w:jc w:val="center"/>
                    <w:rPr>
                      <w:color w:val="auto"/>
                      <w:szCs w:val="21"/>
                    </w:rPr>
                  </w:pPr>
                </w:p>
              </w:tc>
              <w:tc>
                <w:tcPr>
                  <w:tcW w:w="623" w:type="dxa"/>
                  <w:vMerge w:val="continue"/>
                  <w:vAlign w:val="center"/>
                </w:tcPr>
                <w:p w14:paraId="35A8D0B6">
                  <w:pPr>
                    <w:snapToGrid w:val="0"/>
                    <w:jc w:val="center"/>
                    <w:rPr>
                      <w:color w:val="auto"/>
                      <w:szCs w:val="21"/>
                    </w:rPr>
                  </w:pPr>
                </w:p>
              </w:tc>
              <w:tc>
                <w:tcPr>
                  <w:tcW w:w="1171" w:type="dxa"/>
                  <w:vAlign w:val="center"/>
                </w:tcPr>
                <w:p w14:paraId="080C8D69">
                  <w:pPr>
                    <w:snapToGrid w:val="0"/>
                    <w:jc w:val="center"/>
                    <w:rPr>
                      <w:color w:val="auto"/>
                      <w:szCs w:val="21"/>
                    </w:rPr>
                  </w:pPr>
                  <w:r>
                    <w:rPr>
                      <w:rFonts w:hint="eastAsia"/>
                      <w:color w:val="auto"/>
                      <w:szCs w:val="21"/>
                    </w:rPr>
                    <w:t>南40</w:t>
                  </w:r>
                </w:p>
              </w:tc>
              <w:tc>
                <w:tcPr>
                  <w:tcW w:w="782" w:type="dxa"/>
                  <w:vAlign w:val="center"/>
                </w:tcPr>
                <w:p w14:paraId="49B19AD7">
                  <w:pPr>
                    <w:widowControl/>
                    <w:jc w:val="center"/>
                    <w:textAlignment w:val="center"/>
                    <w:rPr>
                      <w:color w:val="auto"/>
                      <w:szCs w:val="21"/>
                    </w:rPr>
                  </w:pPr>
                  <w:r>
                    <w:rPr>
                      <w:color w:val="auto"/>
                      <w:kern w:val="0"/>
                      <w:szCs w:val="21"/>
                      <w:lang w:bidi="ar"/>
                    </w:rPr>
                    <w:t>43.0</w:t>
                  </w:r>
                </w:p>
              </w:tc>
              <w:tc>
                <w:tcPr>
                  <w:tcW w:w="741" w:type="dxa"/>
                  <w:vMerge w:val="continue"/>
                  <w:vAlign w:val="center"/>
                </w:tcPr>
                <w:p w14:paraId="06E821CB">
                  <w:pPr>
                    <w:snapToGrid w:val="0"/>
                    <w:jc w:val="center"/>
                    <w:rPr>
                      <w:rFonts w:hint="eastAsia"/>
                      <w:color w:val="auto"/>
                      <w:szCs w:val="21"/>
                    </w:rPr>
                  </w:pPr>
                </w:p>
              </w:tc>
              <w:tc>
                <w:tcPr>
                  <w:tcW w:w="893" w:type="dxa"/>
                  <w:vMerge w:val="continue"/>
                  <w:vAlign w:val="center"/>
                </w:tcPr>
                <w:p w14:paraId="52627284">
                  <w:pPr>
                    <w:snapToGrid w:val="0"/>
                    <w:jc w:val="center"/>
                    <w:rPr>
                      <w:rFonts w:hint="eastAsia"/>
                      <w:color w:val="auto"/>
                      <w:szCs w:val="21"/>
                    </w:rPr>
                  </w:pPr>
                </w:p>
              </w:tc>
              <w:tc>
                <w:tcPr>
                  <w:tcW w:w="693" w:type="dxa"/>
                  <w:vAlign w:val="center"/>
                </w:tcPr>
                <w:p w14:paraId="1279D8A7">
                  <w:pPr>
                    <w:widowControl/>
                    <w:jc w:val="center"/>
                    <w:textAlignment w:val="center"/>
                    <w:rPr>
                      <w:color w:val="auto"/>
                      <w:szCs w:val="21"/>
                    </w:rPr>
                  </w:pPr>
                  <w:r>
                    <w:rPr>
                      <w:color w:val="auto"/>
                      <w:kern w:val="0"/>
                      <w:szCs w:val="21"/>
                      <w:lang w:bidi="ar"/>
                    </w:rPr>
                    <w:t>23.0</w:t>
                  </w:r>
                </w:p>
              </w:tc>
              <w:tc>
                <w:tcPr>
                  <w:tcW w:w="1260" w:type="dxa"/>
                  <w:vMerge w:val="continue"/>
                  <w:vAlign w:val="center"/>
                </w:tcPr>
                <w:p w14:paraId="0ADC0554">
                  <w:pPr>
                    <w:snapToGrid w:val="0"/>
                    <w:jc w:val="center"/>
                    <w:rPr>
                      <w:rFonts w:hint="eastAsia"/>
                      <w:color w:val="auto"/>
                      <w:szCs w:val="21"/>
                    </w:rPr>
                  </w:pPr>
                </w:p>
              </w:tc>
            </w:tr>
            <w:tr w14:paraId="754BA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84" w:type="dxa"/>
                  <w:vMerge w:val="continue"/>
                  <w:vAlign w:val="center"/>
                </w:tcPr>
                <w:p w14:paraId="1F1310B6">
                  <w:pPr>
                    <w:snapToGrid w:val="0"/>
                    <w:jc w:val="center"/>
                    <w:rPr>
                      <w:color w:val="auto"/>
                      <w:szCs w:val="21"/>
                    </w:rPr>
                  </w:pPr>
                </w:p>
              </w:tc>
              <w:tc>
                <w:tcPr>
                  <w:tcW w:w="786" w:type="dxa"/>
                  <w:vMerge w:val="continue"/>
                  <w:vAlign w:val="center"/>
                </w:tcPr>
                <w:p w14:paraId="40FF9E0D">
                  <w:pPr>
                    <w:snapToGrid w:val="0"/>
                    <w:jc w:val="center"/>
                    <w:rPr>
                      <w:rFonts w:hint="eastAsia"/>
                      <w:color w:val="auto"/>
                      <w:szCs w:val="21"/>
                    </w:rPr>
                  </w:pPr>
                </w:p>
              </w:tc>
              <w:tc>
                <w:tcPr>
                  <w:tcW w:w="1383" w:type="dxa"/>
                  <w:vMerge w:val="continue"/>
                  <w:vAlign w:val="top"/>
                </w:tcPr>
                <w:p w14:paraId="0D315CCF">
                  <w:pPr>
                    <w:snapToGrid w:val="0"/>
                    <w:jc w:val="center"/>
                    <w:rPr>
                      <w:rFonts w:hint="eastAsia"/>
                      <w:color w:val="auto"/>
                      <w:szCs w:val="21"/>
                    </w:rPr>
                  </w:pPr>
                </w:p>
              </w:tc>
              <w:tc>
                <w:tcPr>
                  <w:tcW w:w="1494" w:type="dxa"/>
                  <w:vMerge w:val="continue"/>
                  <w:vAlign w:val="center"/>
                </w:tcPr>
                <w:p w14:paraId="6967379C">
                  <w:pPr>
                    <w:snapToGrid w:val="0"/>
                    <w:jc w:val="center"/>
                    <w:rPr>
                      <w:rFonts w:hint="eastAsia"/>
                      <w:color w:val="auto"/>
                      <w:szCs w:val="21"/>
                    </w:rPr>
                  </w:pPr>
                </w:p>
              </w:tc>
              <w:tc>
                <w:tcPr>
                  <w:tcW w:w="1081" w:type="dxa"/>
                  <w:vMerge w:val="continue"/>
                  <w:vAlign w:val="center"/>
                </w:tcPr>
                <w:p w14:paraId="6137D4C9">
                  <w:pPr>
                    <w:snapToGrid w:val="0"/>
                    <w:jc w:val="center"/>
                    <w:rPr>
                      <w:color w:val="auto"/>
                      <w:szCs w:val="21"/>
                    </w:rPr>
                  </w:pPr>
                </w:p>
              </w:tc>
              <w:tc>
                <w:tcPr>
                  <w:tcW w:w="768" w:type="dxa"/>
                  <w:vMerge w:val="continue"/>
                  <w:vAlign w:val="center"/>
                </w:tcPr>
                <w:p w14:paraId="1B549BC4">
                  <w:pPr>
                    <w:snapToGrid w:val="0"/>
                    <w:jc w:val="center"/>
                    <w:rPr>
                      <w:rFonts w:hint="eastAsia"/>
                      <w:color w:val="auto"/>
                      <w:szCs w:val="21"/>
                    </w:rPr>
                  </w:pPr>
                </w:p>
              </w:tc>
              <w:tc>
                <w:tcPr>
                  <w:tcW w:w="617" w:type="dxa"/>
                  <w:vMerge w:val="continue"/>
                  <w:vAlign w:val="center"/>
                </w:tcPr>
                <w:p w14:paraId="46437E09">
                  <w:pPr>
                    <w:snapToGrid w:val="0"/>
                    <w:jc w:val="center"/>
                    <w:rPr>
                      <w:color w:val="auto"/>
                      <w:szCs w:val="21"/>
                    </w:rPr>
                  </w:pPr>
                </w:p>
              </w:tc>
              <w:tc>
                <w:tcPr>
                  <w:tcW w:w="617" w:type="dxa"/>
                  <w:vMerge w:val="continue"/>
                  <w:vAlign w:val="center"/>
                </w:tcPr>
                <w:p w14:paraId="728B1481">
                  <w:pPr>
                    <w:snapToGrid w:val="0"/>
                    <w:jc w:val="center"/>
                    <w:rPr>
                      <w:color w:val="auto"/>
                      <w:szCs w:val="21"/>
                    </w:rPr>
                  </w:pPr>
                </w:p>
              </w:tc>
              <w:tc>
                <w:tcPr>
                  <w:tcW w:w="623" w:type="dxa"/>
                  <w:vMerge w:val="continue"/>
                  <w:vAlign w:val="center"/>
                </w:tcPr>
                <w:p w14:paraId="63D8870F">
                  <w:pPr>
                    <w:snapToGrid w:val="0"/>
                    <w:jc w:val="center"/>
                    <w:rPr>
                      <w:color w:val="auto"/>
                      <w:szCs w:val="21"/>
                    </w:rPr>
                  </w:pPr>
                </w:p>
              </w:tc>
              <w:tc>
                <w:tcPr>
                  <w:tcW w:w="1171" w:type="dxa"/>
                  <w:vAlign w:val="center"/>
                </w:tcPr>
                <w:p w14:paraId="2DE52D0E">
                  <w:pPr>
                    <w:snapToGrid w:val="0"/>
                    <w:jc w:val="center"/>
                    <w:rPr>
                      <w:color w:val="auto"/>
                      <w:szCs w:val="21"/>
                    </w:rPr>
                  </w:pPr>
                  <w:r>
                    <w:rPr>
                      <w:rFonts w:hint="eastAsia"/>
                      <w:color w:val="auto"/>
                      <w:szCs w:val="21"/>
                    </w:rPr>
                    <w:t>东42</w:t>
                  </w:r>
                </w:p>
              </w:tc>
              <w:tc>
                <w:tcPr>
                  <w:tcW w:w="782" w:type="dxa"/>
                  <w:vAlign w:val="center"/>
                </w:tcPr>
                <w:p w14:paraId="0ED2CE90">
                  <w:pPr>
                    <w:widowControl/>
                    <w:jc w:val="center"/>
                    <w:textAlignment w:val="center"/>
                    <w:rPr>
                      <w:color w:val="auto"/>
                      <w:szCs w:val="21"/>
                    </w:rPr>
                  </w:pPr>
                  <w:r>
                    <w:rPr>
                      <w:color w:val="auto"/>
                      <w:kern w:val="0"/>
                      <w:szCs w:val="21"/>
                      <w:lang w:bidi="ar"/>
                    </w:rPr>
                    <w:t>42.5</w:t>
                  </w:r>
                </w:p>
              </w:tc>
              <w:tc>
                <w:tcPr>
                  <w:tcW w:w="741" w:type="dxa"/>
                  <w:vMerge w:val="continue"/>
                  <w:vAlign w:val="center"/>
                </w:tcPr>
                <w:p w14:paraId="6904E294">
                  <w:pPr>
                    <w:snapToGrid w:val="0"/>
                    <w:jc w:val="center"/>
                    <w:rPr>
                      <w:rFonts w:hint="eastAsia"/>
                      <w:color w:val="auto"/>
                      <w:szCs w:val="21"/>
                    </w:rPr>
                  </w:pPr>
                </w:p>
              </w:tc>
              <w:tc>
                <w:tcPr>
                  <w:tcW w:w="893" w:type="dxa"/>
                  <w:vMerge w:val="continue"/>
                  <w:vAlign w:val="center"/>
                </w:tcPr>
                <w:p w14:paraId="49507752">
                  <w:pPr>
                    <w:snapToGrid w:val="0"/>
                    <w:jc w:val="center"/>
                    <w:rPr>
                      <w:rFonts w:hint="eastAsia"/>
                      <w:color w:val="auto"/>
                      <w:szCs w:val="21"/>
                    </w:rPr>
                  </w:pPr>
                </w:p>
              </w:tc>
              <w:tc>
                <w:tcPr>
                  <w:tcW w:w="693" w:type="dxa"/>
                  <w:vAlign w:val="center"/>
                </w:tcPr>
                <w:p w14:paraId="08BD651C">
                  <w:pPr>
                    <w:widowControl/>
                    <w:jc w:val="center"/>
                    <w:textAlignment w:val="center"/>
                    <w:rPr>
                      <w:color w:val="auto"/>
                      <w:szCs w:val="21"/>
                    </w:rPr>
                  </w:pPr>
                  <w:r>
                    <w:rPr>
                      <w:color w:val="auto"/>
                      <w:kern w:val="0"/>
                      <w:szCs w:val="21"/>
                      <w:lang w:bidi="ar"/>
                    </w:rPr>
                    <w:t>22.5</w:t>
                  </w:r>
                </w:p>
              </w:tc>
              <w:tc>
                <w:tcPr>
                  <w:tcW w:w="1260" w:type="dxa"/>
                  <w:vMerge w:val="continue"/>
                  <w:vAlign w:val="center"/>
                </w:tcPr>
                <w:p w14:paraId="280648D5">
                  <w:pPr>
                    <w:snapToGrid w:val="0"/>
                    <w:jc w:val="center"/>
                    <w:rPr>
                      <w:rFonts w:hint="eastAsia"/>
                      <w:color w:val="auto"/>
                      <w:szCs w:val="21"/>
                    </w:rPr>
                  </w:pPr>
                </w:p>
              </w:tc>
            </w:tr>
            <w:tr w14:paraId="0840B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84" w:type="dxa"/>
                  <w:vMerge w:val="continue"/>
                  <w:vAlign w:val="center"/>
                </w:tcPr>
                <w:p w14:paraId="43C2F180">
                  <w:pPr>
                    <w:snapToGrid w:val="0"/>
                    <w:jc w:val="center"/>
                    <w:rPr>
                      <w:color w:val="auto"/>
                      <w:szCs w:val="21"/>
                    </w:rPr>
                  </w:pPr>
                </w:p>
              </w:tc>
              <w:tc>
                <w:tcPr>
                  <w:tcW w:w="786" w:type="dxa"/>
                  <w:vMerge w:val="continue"/>
                  <w:vAlign w:val="center"/>
                </w:tcPr>
                <w:p w14:paraId="00B035A9">
                  <w:pPr>
                    <w:snapToGrid w:val="0"/>
                    <w:jc w:val="center"/>
                    <w:rPr>
                      <w:rFonts w:hint="eastAsia"/>
                      <w:color w:val="auto"/>
                      <w:szCs w:val="21"/>
                    </w:rPr>
                  </w:pPr>
                </w:p>
              </w:tc>
              <w:tc>
                <w:tcPr>
                  <w:tcW w:w="1383" w:type="dxa"/>
                  <w:vMerge w:val="continue"/>
                  <w:vAlign w:val="top"/>
                </w:tcPr>
                <w:p w14:paraId="52446ACF">
                  <w:pPr>
                    <w:snapToGrid w:val="0"/>
                    <w:jc w:val="center"/>
                    <w:rPr>
                      <w:rFonts w:hint="eastAsia"/>
                      <w:color w:val="auto"/>
                      <w:szCs w:val="21"/>
                    </w:rPr>
                  </w:pPr>
                </w:p>
              </w:tc>
              <w:tc>
                <w:tcPr>
                  <w:tcW w:w="1494" w:type="dxa"/>
                  <w:vMerge w:val="continue"/>
                  <w:vAlign w:val="center"/>
                </w:tcPr>
                <w:p w14:paraId="5EC0BAD8">
                  <w:pPr>
                    <w:snapToGrid w:val="0"/>
                    <w:jc w:val="center"/>
                    <w:rPr>
                      <w:rFonts w:hint="eastAsia"/>
                      <w:color w:val="auto"/>
                      <w:szCs w:val="21"/>
                    </w:rPr>
                  </w:pPr>
                </w:p>
              </w:tc>
              <w:tc>
                <w:tcPr>
                  <w:tcW w:w="1081" w:type="dxa"/>
                  <w:vMerge w:val="continue"/>
                  <w:vAlign w:val="center"/>
                </w:tcPr>
                <w:p w14:paraId="3587A08F">
                  <w:pPr>
                    <w:snapToGrid w:val="0"/>
                    <w:jc w:val="center"/>
                    <w:rPr>
                      <w:color w:val="auto"/>
                      <w:szCs w:val="21"/>
                    </w:rPr>
                  </w:pPr>
                </w:p>
              </w:tc>
              <w:tc>
                <w:tcPr>
                  <w:tcW w:w="768" w:type="dxa"/>
                  <w:vMerge w:val="continue"/>
                  <w:vAlign w:val="center"/>
                </w:tcPr>
                <w:p w14:paraId="67D8BCA5">
                  <w:pPr>
                    <w:snapToGrid w:val="0"/>
                    <w:jc w:val="center"/>
                    <w:rPr>
                      <w:rFonts w:hint="eastAsia"/>
                      <w:color w:val="auto"/>
                      <w:szCs w:val="21"/>
                    </w:rPr>
                  </w:pPr>
                </w:p>
              </w:tc>
              <w:tc>
                <w:tcPr>
                  <w:tcW w:w="617" w:type="dxa"/>
                  <w:vMerge w:val="continue"/>
                  <w:vAlign w:val="center"/>
                </w:tcPr>
                <w:p w14:paraId="79734F9A">
                  <w:pPr>
                    <w:snapToGrid w:val="0"/>
                    <w:jc w:val="center"/>
                    <w:rPr>
                      <w:color w:val="auto"/>
                      <w:szCs w:val="21"/>
                    </w:rPr>
                  </w:pPr>
                </w:p>
              </w:tc>
              <w:tc>
                <w:tcPr>
                  <w:tcW w:w="617" w:type="dxa"/>
                  <w:vMerge w:val="continue"/>
                  <w:vAlign w:val="center"/>
                </w:tcPr>
                <w:p w14:paraId="6DC14242">
                  <w:pPr>
                    <w:snapToGrid w:val="0"/>
                    <w:jc w:val="center"/>
                    <w:rPr>
                      <w:color w:val="auto"/>
                      <w:szCs w:val="21"/>
                    </w:rPr>
                  </w:pPr>
                </w:p>
              </w:tc>
              <w:tc>
                <w:tcPr>
                  <w:tcW w:w="623" w:type="dxa"/>
                  <w:vMerge w:val="continue"/>
                  <w:vAlign w:val="center"/>
                </w:tcPr>
                <w:p w14:paraId="0314C532">
                  <w:pPr>
                    <w:snapToGrid w:val="0"/>
                    <w:jc w:val="center"/>
                    <w:rPr>
                      <w:color w:val="auto"/>
                      <w:szCs w:val="21"/>
                    </w:rPr>
                  </w:pPr>
                </w:p>
              </w:tc>
              <w:tc>
                <w:tcPr>
                  <w:tcW w:w="1171" w:type="dxa"/>
                  <w:vAlign w:val="center"/>
                </w:tcPr>
                <w:p w14:paraId="7582AEA9">
                  <w:pPr>
                    <w:snapToGrid w:val="0"/>
                    <w:jc w:val="center"/>
                    <w:rPr>
                      <w:color w:val="auto"/>
                      <w:szCs w:val="21"/>
                    </w:rPr>
                  </w:pPr>
                  <w:r>
                    <w:rPr>
                      <w:rFonts w:hint="eastAsia"/>
                      <w:color w:val="auto"/>
                      <w:szCs w:val="21"/>
                    </w:rPr>
                    <w:t>西16</w:t>
                  </w:r>
                </w:p>
              </w:tc>
              <w:tc>
                <w:tcPr>
                  <w:tcW w:w="782" w:type="dxa"/>
                  <w:vAlign w:val="center"/>
                </w:tcPr>
                <w:p w14:paraId="0C488AF6">
                  <w:pPr>
                    <w:widowControl/>
                    <w:jc w:val="center"/>
                    <w:textAlignment w:val="center"/>
                    <w:rPr>
                      <w:color w:val="auto"/>
                      <w:szCs w:val="21"/>
                    </w:rPr>
                  </w:pPr>
                  <w:r>
                    <w:rPr>
                      <w:color w:val="auto"/>
                      <w:kern w:val="0"/>
                      <w:szCs w:val="21"/>
                      <w:lang w:bidi="ar"/>
                    </w:rPr>
                    <w:t>50.9</w:t>
                  </w:r>
                </w:p>
              </w:tc>
              <w:tc>
                <w:tcPr>
                  <w:tcW w:w="741" w:type="dxa"/>
                  <w:vMerge w:val="continue"/>
                  <w:vAlign w:val="center"/>
                </w:tcPr>
                <w:p w14:paraId="603493DB">
                  <w:pPr>
                    <w:snapToGrid w:val="0"/>
                    <w:jc w:val="center"/>
                    <w:rPr>
                      <w:rFonts w:hint="eastAsia"/>
                      <w:color w:val="auto"/>
                      <w:szCs w:val="21"/>
                    </w:rPr>
                  </w:pPr>
                </w:p>
              </w:tc>
              <w:tc>
                <w:tcPr>
                  <w:tcW w:w="893" w:type="dxa"/>
                  <w:vMerge w:val="continue"/>
                  <w:vAlign w:val="center"/>
                </w:tcPr>
                <w:p w14:paraId="2FDDBBEC">
                  <w:pPr>
                    <w:snapToGrid w:val="0"/>
                    <w:jc w:val="center"/>
                    <w:rPr>
                      <w:rFonts w:hint="eastAsia"/>
                      <w:color w:val="auto"/>
                      <w:szCs w:val="21"/>
                    </w:rPr>
                  </w:pPr>
                </w:p>
              </w:tc>
              <w:tc>
                <w:tcPr>
                  <w:tcW w:w="693" w:type="dxa"/>
                  <w:vAlign w:val="center"/>
                </w:tcPr>
                <w:p w14:paraId="0A104E23">
                  <w:pPr>
                    <w:widowControl/>
                    <w:jc w:val="center"/>
                    <w:textAlignment w:val="center"/>
                    <w:rPr>
                      <w:color w:val="auto"/>
                      <w:szCs w:val="21"/>
                    </w:rPr>
                  </w:pPr>
                  <w:r>
                    <w:rPr>
                      <w:color w:val="auto"/>
                      <w:kern w:val="0"/>
                      <w:szCs w:val="21"/>
                      <w:lang w:bidi="ar"/>
                    </w:rPr>
                    <w:t>30.9</w:t>
                  </w:r>
                </w:p>
              </w:tc>
              <w:tc>
                <w:tcPr>
                  <w:tcW w:w="1260" w:type="dxa"/>
                  <w:vMerge w:val="continue"/>
                  <w:vAlign w:val="center"/>
                </w:tcPr>
                <w:p w14:paraId="49323DD6">
                  <w:pPr>
                    <w:snapToGrid w:val="0"/>
                    <w:jc w:val="center"/>
                    <w:rPr>
                      <w:rFonts w:hint="eastAsia"/>
                      <w:color w:val="auto"/>
                      <w:szCs w:val="21"/>
                    </w:rPr>
                  </w:pPr>
                </w:p>
              </w:tc>
            </w:tr>
            <w:tr w14:paraId="7E3B9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84" w:type="dxa"/>
                  <w:vMerge w:val="restart"/>
                  <w:vAlign w:val="center"/>
                </w:tcPr>
                <w:p w14:paraId="385282DE">
                  <w:pPr>
                    <w:widowControl/>
                    <w:jc w:val="center"/>
                    <w:textAlignment w:val="center"/>
                    <w:rPr>
                      <w:color w:val="auto"/>
                      <w:szCs w:val="21"/>
                    </w:rPr>
                  </w:pPr>
                  <w:r>
                    <w:rPr>
                      <w:color w:val="auto"/>
                      <w:kern w:val="0"/>
                      <w:szCs w:val="21"/>
                      <w:lang w:bidi="ar"/>
                    </w:rPr>
                    <w:t>17</w:t>
                  </w:r>
                </w:p>
              </w:tc>
              <w:tc>
                <w:tcPr>
                  <w:tcW w:w="786" w:type="dxa"/>
                  <w:vMerge w:val="continue"/>
                  <w:vAlign w:val="center"/>
                </w:tcPr>
                <w:p w14:paraId="548EAD82">
                  <w:pPr>
                    <w:snapToGrid w:val="0"/>
                    <w:jc w:val="center"/>
                    <w:rPr>
                      <w:color w:val="auto"/>
                      <w:szCs w:val="21"/>
                    </w:rPr>
                  </w:pPr>
                </w:p>
              </w:tc>
              <w:tc>
                <w:tcPr>
                  <w:tcW w:w="1383" w:type="dxa"/>
                  <w:vMerge w:val="restart"/>
                  <w:vAlign w:val="center"/>
                </w:tcPr>
                <w:p w14:paraId="5DF8A869">
                  <w:pPr>
                    <w:autoSpaceDE w:val="0"/>
                    <w:autoSpaceDN w:val="0"/>
                    <w:adjustRightInd w:val="0"/>
                    <w:snapToGrid w:val="0"/>
                    <w:jc w:val="center"/>
                    <w:rPr>
                      <w:color w:val="auto"/>
                      <w:kern w:val="0"/>
                      <w:szCs w:val="21"/>
                    </w:rPr>
                  </w:pPr>
                  <w:r>
                    <w:rPr>
                      <w:rFonts w:hint="eastAsia"/>
                      <w:color w:val="auto"/>
                      <w:szCs w:val="21"/>
                    </w:rPr>
                    <w:t>宽带砂光机</w:t>
                  </w:r>
                </w:p>
              </w:tc>
              <w:tc>
                <w:tcPr>
                  <w:tcW w:w="1494" w:type="dxa"/>
                  <w:vMerge w:val="restart"/>
                  <w:vAlign w:val="center"/>
                </w:tcPr>
                <w:p w14:paraId="221BC4BE">
                  <w:pPr>
                    <w:adjustRightInd w:val="0"/>
                    <w:snapToGrid w:val="0"/>
                    <w:jc w:val="center"/>
                    <w:rPr>
                      <w:rFonts w:hint="eastAsia" w:eastAsia="宋体"/>
                      <w:bCs/>
                      <w:color w:val="auto"/>
                      <w:szCs w:val="21"/>
                      <w:lang w:val="en-US" w:eastAsia="zh-CN"/>
                    </w:rPr>
                  </w:pPr>
                  <w:r>
                    <w:rPr>
                      <w:rFonts w:hint="eastAsia"/>
                      <w:bCs/>
                      <w:color w:val="auto"/>
                      <w:szCs w:val="21"/>
                      <w:lang w:val="en-US" w:eastAsia="zh-CN"/>
                    </w:rPr>
                    <w:t>/</w:t>
                  </w:r>
                </w:p>
              </w:tc>
              <w:tc>
                <w:tcPr>
                  <w:tcW w:w="1081" w:type="dxa"/>
                  <w:vMerge w:val="restart"/>
                  <w:vAlign w:val="center"/>
                </w:tcPr>
                <w:p w14:paraId="5CF7F271">
                  <w:pPr>
                    <w:widowControl/>
                    <w:jc w:val="center"/>
                    <w:textAlignment w:val="center"/>
                    <w:rPr>
                      <w:bCs/>
                      <w:color w:val="auto"/>
                      <w:szCs w:val="21"/>
                    </w:rPr>
                  </w:pPr>
                  <w:r>
                    <w:rPr>
                      <w:color w:val="auto"/>
                      <w:kern w:val="0"/>
                      <w:szCs w:val="21"/>
                      <w:lang w:bidi="ar"/>
                    </w:rPr>
                    <w:t>80</w:t>
                  </w:r>
                </w:p>
              </w:tc>
              <w:tc>
                <w:tcPr>
                  <w:tcW w:w="768" w:type="dxa"/>
                  <w:vMerge w:val="continue"/>
                  <w:vAlign w:val="center"/>
                </w:tcPr>
                <w:p w14:paraId="2C73E4E0">
                  <w:pPr>
                    <w:snapToGrid w:val="0"/>
                    <w:jc w:val="center"/>
                    <w:rPr>
                      <w:b/>
                      <w:bCs/>
                      <w:color w:val="auto"/>
                      <w:szCs w:val="21"/>
                    </w:rPr>
                  </w:pPr>
                </w:p>
              </w:tc>
              <w:tc>
                <w:tcPr>
                  <w:tcW w:w="617" w:type="dxa"/>
                  <w:vMerge w:val="restart"/>
                  <w:vAlign w:val="center"/>
                </w:tcPr>
                <w:p w14:paraId="307BEC9C">
                  <w:pPr>
                    <w:widowControl/>
                    <w:jc w:val="center"/>
                    <w:textAlignment w:val="center"/>
                    <w:rPr>
                      <w:color w:val="auto"/>
                      <w:szCs w:val="21"/>
                    </w:rPr>
                  </w:pPr>
                  <w:r>
                    <w:rPr>
                      <w:color w:val="auto"/>
                      <w:kern w:val="0"/>
                      <w:szCs w:val="21"/>
                      <w:lang w:bidi="ar"/>
                    </w:rPr>
                    <w:t>-22</w:t>
                  </w:r>
                </w:p>
              </w:tc>
              <w:tc>
                <w:tcPr>
                  <w:tcW w:w="617" w:type="dxa"/>
                  <w:vMerge w:val="restart"/>
                  <w:vAlign w:val="center"/>
                </w:tcPr>
                <w:p w14:paraId="40751749">
                  <w:pPr>
                    <w:widowControl/>
                    <w:jc w:val="center"/>
                    <w:textAlignment w:val="center"/>
                    <w:rPr>
                      <w:color w:val="auto"/>
                      <w:szCs w:val="21"/>
                    </w:rPr>
                  </w:pPr>
                  <w:r>
                    <w:rPr>
                      <w:color w:val="auto"/>
                      <w:kern w:val="0"/>
                      <w:szCs w:val="21"/>
                      <w:lang w:bidi="ar"/>
                    </w:rPr>
                    <w:t>28</w:t>
                  </w:r>
                </w:p>
              </w:tc>
              <w:tc>
                <w:tcPr>
                  <w:tcW w:w="623" w:type="dxa"/>
                  <w:vMerge w:val="restart"/>
                  <w:vAlign w:val="center"/>
                </w:tcPr>
                <w:p w14:paraId="3112DDF2">
                  <w:pPr>
                    <w:widowControl/>
                    <w:jc w:val="center"/>
                    <w:textAlignment w:val="center"/>
                    <w:rPr>
                      <w:color w:val="auto"/>
                      <w:szCs w:val="21"/>
                    </w:rPr>
                  </w:pPr>
                  <w:r>
                    <w:rPr>
                      <w:color w:val="auto"/>
                      <w:kern w:val="0"/>
                      <w:szCs w:val="21"/>
                      <w:lang w:bidi="ar"/>
                    </w:rPr>
                    <w:t>1.2</w:t>
                  </w:r>
                </w:p>
              </w:tc>
              <w:tc>
                <w:tcPr>
                  <w:tcW w:w="1171" w:type="dxa"/>
                  <w:vAlign w:val="center"/>
                </w:tcPr>
                <w:p w14:paraId="3654D637">
                  <w:pPr>
                    <w:snapToGrid w:val="0"/>
                    <w:jc w:val="center"/>
                    <w:rPr>
                      <w:color w:val="auto"/>
                      <w:szCs w:val="21"/>
                    </w:rPr>
                  </w:pPr>
                  <w:r>
                    <w:rPr>
                      <w:rFonts w:hint="eastAsia"/>
                      <w:color w:val="auto"/>
                      <w:szCs w:val="21"/>
                    </w:rPr>
                    <w:t>北88</w:t>
                  </w:r>
                </w:p>
              </w:tc>
              <w:tc>
                <w:tcPr>
                  <w:tcW w:w="782" w:type="dxa"/>
                  <w:vAlign w:val="center"/>
                </w:tcPr>
                <w:p w14:paraId="1A471C21">
                  <w:pPr>
                    <w:widowControl/>
                    <w:jc w:val="center"/>
                    <w:textAlignment w:val="center"/>
                    <w:rPr>
                      <w:color w:val="auto"/>
                      <w:szCs w:val="21"/>
                    </w:rPr>
                  </w:pPr>
                  <w:r>
                    <w:rPr>
                      <w:color w:val="auto"/>
                      <w:kern w:val="0"/>
                      <w:szCs w:val="21"/>
                      <w:lang w:bidi="ar"/>
                    </w:rPr>
                    <w:t>41.1</w:t>
                  </w:r>
                </w:p>
              </w:tc>
              <w:tc>
                <w:tcPr>
                  <w:tcW w:w="741" w:type="dxa"/>
                  <w:vMerge w:val="continue"/>
                  <w:vAlign w:val="center"/>
                </w:tcPr>
                <w:p w14:paraId="51AC3957">
                  <w:pPr>
                    <w:snapToGrid w:val="0"/>
                    <w:jc w:val="center"/>
                    <w:rPr>
                      <w:color w:val="auto"/>
                      <w:szCs w:val="21"/>
                    </w:rPr>
                  </w:pPr>
                </w:p>
              </w:tc>
              <w:tc>
                <w:tcPr>
                  <w:tcW w:w="893" w:type="dxa"/>
                  <w:vMerge w:val="continue"/>
                  <w:vAlign w:val="center"/>
                </w:tcPr>
                <w:p w14:paraId="5A912D18">
                  <w:pPr>
                    <w:snapToGrid w:val="0"/>
                    <w:jc w:val="center"/>
                    <w:rPr>
                      <w:color w:val="auto"/>
                      <w:szCs w:val="21"/>
                    </w:rPr>
                  </w:pPr>
                </w:p>
              </w:tc>
              <w:tc>
                <w:tcPr>
                  <w:tcW w:w="693" w:type="dxa"/>
                  <w:vAlign w:val="center"/>
                </w:tcPr>
                <w:p w14:paraId="29FF2B7F">
                  <w:pPr>
                    <w:widowControl/>
                    <w:jc w:val="center"/>
                    <w:textAlignment w:val="center"/>
                    <w:rPr>
                      <w:color w:val="auto"/>
                      <w:kern w:val="0"/>
                      <w:szCs w:val="21"/>
                      <w:lang w:bidi="ar"/>
                    </w:rPr>
                  </w:pPr>
                  <w:r>
                    <w:rPr>
                      <w:color w:val="auto"/>
                      <w:kern w:val="0"/>
                      <w:szCs w:val="21"/>
                      <w:lang w:bidi="ar"/>
                    </w:rPr>
                    <w:t>21.1</w:t>
                  </w:r>
                </w:p>
              </w:tc>
              <w:tc>
                <w:tcPr>
                  <w:tcW w:w="1260" w:type="dxa"/>
                  <w:vMerge w:val="restart"/>
                  <w:vAlign w:val="center"/>
                </w:tcPr>
                <w:p w14:paraId="4422E691">
                  <w:pPr>
                    <w:snapToGrid w:val="0"/>
                    <w:jc w:val="center"/>
                    <w:rPr>
                      <w:color w:val="auto"/>
                      <w:szCs w:val="21"/>
                    </w:rPr>
                  </w:pPr>
                  <w:r>
                    <w:rPr>
                      <w:rFonts w:hint="eastAsia"/>
                      <w:color w:val="auto"/>
                      <w:szCs w:val="21"/>
                    </w:rPr>
                    <w:t>1</w:t>
                  </w:r>
                </w:p>
              </w:tc>
            </w:tr>
            <w:tr w14:paraId="5FAF2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84" w:type="dxa"/>
                  <w:vMerge w:val="continue"/>
                  <w:vAlign w:val="center"/>
                </w:tcPr>
                <w:p w14:paraId="51311A01">
                  <w:pPr>
                    <w:snapToGrid w:val="0"/>
                    <w:jc w:val="center"/>
                    <w:rPr>
                      <w:color w:val="auto"/>
                      <w:szCs w:val="21"/>
                    </w:rPr>
                  </w:pPr>
                </w:p>
              </w:tc>
              <w:tc>
                <w:tcPr>
                  <w:tcW w:w="786" w:type="dxa"/>
                  <w:vMerge w:val="continue"/>
                  <w:vAlign w:val="center"/>
                </w:tcPr>
                <w:p w14:paraId="6FDB2730">
                  <w:pPr>
                    <w:snapToGrid w:val="0"/>
                    <w:jc w:val="center"/>
                    <w:rPr>
                      <w:color w:val="auto"/>
                    </w:rPr>
                  </w:pPr>
                </w:p>
              </w:tc>
              <w:tc>
                <w:tcPr>
                  <w:tcW w:w="1383" w:type="dxa"/>
                  <w:vMerge w:val="continue"/>
                  <w:vAlign w:val="top"/>
                </w:tcPr>
                <w:p w14:paraId="66139699">
                  <w:pPr>
                    <w:snapToGrid w:val="0"/>
                    <w:jc w:val="center"/>
                    <w:rPr>
                      <w:color w:val="auto"/>
                    </w:rPr>
                  </w:pPr>
                </w:p>
              </w:tc>
              <w:tc>
                <w:tcPr>
                  <w:tcW w:w="1494" w:type="dxa"/>
                  <w:vMerge w:val="continue"/>
                  <w:vAlign w:val="center"/>
                </w:tcPr>
                <w:p w14:paraId="04973357">
                  <w:pPr>
                    <w:snapToGrid w:val="0"/>
                    <w:jc w:val="center"/>
                    <w:rPr>
                      <w:color w:val="auto"/>
                    </w:rPr>
                  </w:pPr>
                </w:p>
              </w:tc>
              <w:tc>
                <w:tcPr>
                  <w:tcW w:w="1081" w:type="dxa"/>
                  <w:vMerge w:val="continue"/>
                  <w:vAlign w:val="center"/>
                </w:tcPr>
                <w:p w14:paraId="4E722EBB">
                  <w:pPr>
                    <w:snapToGrid w:val="0"/>
                    <w:jc w:val="center"/>
                    <w:rPr>
                      <w:color w:val="auto"/>
                      <w:szCs w:val="21"/>
                    </w:rPr>
                  </w:pPr>
                </w:p>
              </w:tc>
              <w:tc>
                <w:tcPr>
                  <w:tcW w:w="768" w:type="dxa"/>
                  <w:vMerge w:val="continue"/>
                  <w:vAlign w:val="center"/>
                </w:tcPr>
                <w:p w14:paraId="183D2C3A">
                  <w:pPr>
                    <w:snapToGrid w:val="0"/>
                    <w:jc w:val="center"/>
                    <w:rPr>
                      <w:color w:val="auto"/>
                    </w:rPr>
                  </w:pPr>
                </w:p>
              </w:tc>
              <w:tc>
                <w:tcPr>
                  <w:tcW w:w="617" w:type="dxa"/>
                  <w:vMerge w:val="continue"/>
                  <w:vAlign w:val="center"/>
                </w:tcPr>
                <w:p w14:paraId="0F1C1397">
                  <w:pPr>
                    <w:snapToGrid w:val="0"/>
                    <w:jc w:val="center"/>
                    <w:rPr>
                      <w:color w:val="auto"/>
                      <w:szCs w:val="21"/>
                    </w:rPr>
                  </w:pPr>
                </w:p>
              </w:tc>
              <w:tc>
                <w:tcPr>
                  <w:tcW w:w="617" w:type="dxa"/>
                  <w:vMerge w:val="continue"/>
                  <w:vAlign w:val="center"/>
                </w:tcPr>
                <w:p w14:paraId="0E1BD998">
                  <w:pPr>
                    <w:snapToGrid w:val="0"/>
                    <w:jc w:val="center"/>
                    <w:rPr>
                      <w:color w:val="auto"/>
                      <w:szCs w:val="21"/>
                    </w:rPr>
                  </w:pPr>
                </w:p>
              </w:tc>
              <w:tc>
                <w:tcPr>
                  <w:tcW w:w="623" w:type="dxa"/>
                  <w:vMerge w:val="continue"/>
                  <w:vAlign w:val="center"/>
                </w:tcPr>
                <w:p w14:paraId="371C4D0A">
                  <w:pPr>
                    <w:snapToGrid w:val="0"/>
                    <w:jc w:val="center"/>
                    <w:rPr>
                      <w:color w:val="auto"/>
                      <w:szCs w:val="21"/>
                    </w:rPr>
                  </w:pPr>
                </w:p>
              </w:tc>
              <w:tc>
                <w:tcPr>
                  <w:tcW w:w="1171" w:type="dxa"/>
                  <w:vAlign w:val="center"/>
                </w:tcPr>
                <w:p w14:paraId="2394E6A9">
                  <w:pPr>
                    <w:snapToGrid w:val="0"/>
                    <w:jc w:val="center"/>
                    <w:rPr>
                      <w:color w:val="auto"/>
                      <w:szCs w:val="21"/>
                    </w:rPr>
                  </w:pPr>
                  <w:r>
                    <w:rPr>
                      <w:rFonts w:hint="eastAsia"/>
                      <w:color w:val="auto"/>
                      <w:szCs w:val="21"/>
                    </w:rPr>
                    <w:t>南12</w:t>
                  </w:r>
                </w:p>
              </w:tc>
              <w:tc>
                <w:tcPr>
                  <w:tcW w:w="782" w:type="dxa"/>
                  <w:vAlign w:val="center"/>
                </w:tcPr>
                <w:p w14:paraId="4195E84A">
                  <w:pPr>
                    <w:widowControl/>
                    <w:jc w:val="center"/>
                    <w:textAlignment w:val="center"/>
                    <w:rPr>
                      <w:color w:val="auto"/>
                      <w:szCs w:val="21"/>
                    </w:rPr>
                  </w:pPr>
                  <w:r>
                    <w:rPr>
                      <w:color w:val="auto"/>
                      <w:kern w:val="0"/>
                      <w:szCs w:val="21"/>
                      <w:lang w:bidi="ar"/>
                    </w:rPr>
                    <w:t>58.4</w:t>
                  </w:r>
                </w:p>
              </w:tc>
              <w:tc>
                <w:tcPr>
                  <w:tcW w:w="741" w:type="dxa"/>
                  <w:vMerge w:val="continue"/>
                  <w:vAlign w:val="center"/>
                </w:tcPr>
                <w:p w14:paraId="09A94BBC">
                  <w:pPr>
                    <w:snapToGrid w:val="0"/>
                    <w:jc w:val="center"/>
                    <w:rPr>
                      <w:rFonts w:hint="eastAsia"/>
                      <w:color w:val="auto"/>
                      <w:szCs w:val="21"/>
                    </w:rPr>
                  </w:pPr>
                </w:p>
              </w:tc>
              <w:tc>
                <w:tcPr>
                  <w:tcW w:w="893" w:type="dxa"/>
                  <w:vMerge w:val="continue"/>
                  <w:vAlign w:val="center"/>
                </w:tcPr>
                <w:p w14:paraId="3A5E7D7D">
                  <w:pPr>
                    <w:snapToGrid w:val="0"/>
                    <w:jc w:val="center"/>
                    <w:rPr>
                      <w:rFonts w:hint="eastAsia"/>
                      <w:color w:val="auto"/>
                      <w:szCs w:val="21"/>
                    </w:rPr>
                  </w:pPr>
                </w:p>
              </w:tc>
              <w:tc>
                <w:tcPr>
                  <w:tcW w:w="693" w:type="dxa"/>
                  <w:vAlign w:val="center"/>
                </w:tcPr>
                <w:p w14:paraId="01726E7E">
                  <w:pPr>
                    <w:widowControl/>
                    <w:jc w:val="center"/>
                    <w:textAlignment w:val="center"/>
                    <w:rPr>
                      <w:color w:val="auto"/>
                      <w:szCs w:val="21"/>
                    </w:rPr>
                  </w:pPr>
                  <w:r>
                    <w:rPr>
                      <w:color w:val="auto"/>
                      <w:kern w:val="0"/>
                      <w:szCs w:val="21"/>
                      <w:lang w:bidi="ar"/>
                    </w:rPr>
                    <w:t>38.4</w:t>
                  </w:r>
                </w:p>
              </w:tc>
              <w:tc>
                <w:tcPr>
                  <w:tcW w:w="1260" w:type="dxa"/>
                  <w:vMerge w:val="continue"/>
                  <w:vAlign w:val="center"/>
                </w:tcPr>
                <w:p w14:paraId="10BAD4BC">
                  <w:pPr>
                    <w:snapToGrid w:val="0"/>
                    <w:jc w:val="center"/>
                    <w:rPr>
                      <w:rFonts w:hint="eastAsia"/>
                      <w:color w:val="auto"/>
                      <w:szCs w:val="21"/>
                    </w:rPr>
                  </w:pPr>
                </w:p>
              </w:tc>
            </w:tr>
            <w:tr w14:paraId="3B716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84" w:type="dxa"/>
                  <w:vMerge w:val="continue"/>
                  <w:vAlign w:val="center"/>
                </w:tcPr>
                <w:p w14:paraId="28626D4B">
                  <w:pPr>
                    <w:snapToGrid w:val="0"/>
                    <w:jc w:val="center"/>
                    <w:rPr>
                      <w:color w:val="auto"/>
                      <w:szCs w:val="21"/>
                    </w:rPr>
                  </w:pPr>
                </w:p>
              </w:tc>
              <w:tc>
                <w:tcPr>
                  <w:tcW w:w="786" w:type="dxa"/>
                  <w:vMerge w:val="continue"/>
                  <w:vAlign w:val="center"/>
                </w:tcPr>
                <w:p w14:paraId="776A2691">
                  <w:pPr>
                    <w:snapToGrid w:val="0"/>
                    <w:jc w:val="center"/>
                    <w:rPr>
                      <w:rFonts w:hint="eastAsia"/>
                      <w:color w:val="auto"/>
                      <w:szCs w:val="21"/>
                    </w:rPr>
                  </w:pPr>
                </w:p>
              </w:tc>
              <w:tc>
                <w:tcPr>
                  <w:tcW w:w="1383" w:type="dxa"/>
                  <w:vMerge w:val="continue"/>
                  <w:vAlign w:val="top"/>
                </w:tcPr>
                <w:p w14:paraId="2A6668D4">
                  <w:pPr>
                    <w:snapToGrid w:val="0"/>
                    <w:jc w:val="center"/>
                    <w:rPr>
                      <w:rFonts w:hint="eastAsia"/>
                      <w:color w:val="auto"/>
                      <w:szCs w:val="21"/>
                    </w:rPr>
                  </w:pPr>
                </w:p>
              </w:tc>
              <w:tc>
                <w:tcPr>
                  <w:tcW w:w="1494" w:type="dxa"/>
                  <w:vMerge w:val="continue"/>
                  <w:vAlign w:val="center"/>
                </w:tcPr>
                <w:p w14:paraId="67C2DFB0">
                  <w:pPr>
                    <w:snapToGrid w:val="0"/>
                    <w:jc w:val="center"/>
                    <w:rPr>
                      <w:rFonts w:hint="eastAsia"/>
                      <w:color w:val="auto"/>
                      <w:szCs w:val="21"/>
                    </w:rPr>
                  </w:pPr>
                </w:p>
              </w:tc>
              <w:tc>
                <w:tcPr>
                  <w:tcW w:w="1081" w:type="dxa"/>
                  <w:vMerge w:val="continue"/>
                  <w:vAlign w:val="center"/>
                </w:tcPr>
                <w:p w14:paraId="0A2DCEAB">
                  <w:pPr>
                    <w:snapToGrid w:val="0"/>
                    <w:jc w:val="center"/>
                    <w:rPr>
                      <w:color w:val="auto"/>
                      <w:szCs w:val="21"/>
                    </w:rPr>
                  </w:pPr>
                </w:p>
              </w:tc>
              <w:tc>
                <w:tcPr>
                  <w:tcW w:w="768" w:type="dxa"/>
                  <w:vMerge w:val="continue"/>
                  <w:vAlign w:val="center"/>
                </w:tcPr>
                <w:p w14:paraId="3025B6C2">
                  <w:pPr>
                    <w:snapToGrid w:val="0"/>
                    <w:jc w:val="center"/>
                    <w:rPr>
                      <w:rFonts w:hint="eastAsia"/>
                      <w:color w:val="auto"/>
                      <w:szCs w:val="21"/>
                    </w:rPr>
                  </w:pPr>
                </w:p>
              </w:tc>
              <w:tc>
                <w:tcPr>
                  <w:tcW w:w="617" w:type="dxa"/>
                  <w:vMerge w:val="continue"/>
                  <w:vAlign w:val="center"/>
                </w:tcPr>
                <w:p w14:paraId="0AD73938">
                  <w:pPr>
                    <w:snapToGrid w:val="0"/>
                    <w:jc w:val="center"/>
                    <w:rPr>
                      <w:color w:val="auto"/>
                      <w:szCs w:val="21"/>
                    </w:rPr>
                  </w:pPr>
                </w:p>
              </w:tc>
              <w:tc>
                <w:tcPr>
                  <w:tcW w:w="617" w:type="dxa"/>
                  <w:vMerge w:val="continue"/>
                  <w:vAlign w:val="center"/>
                </w:tcPr>
                <w:p w14:paraId="006B2E84">
                  <w:pPr>
                    <w:snapToGrid w:val="0"/>
                    <w:jc w:val="center"/>
                    <w:rPr>
                      <w:color w:val="auto"/>
                      <w:szCs w:val="21"/>
                    </w:rPr>
                  </w:pPr>
                </w:p>
              </w:tc>
              <w:tc>
                <w:tcPr>
                  <w:tcW w:w="623" w:type="dxa"/>
                  <w:vMerge w:val="continue"/>
                  <w:vAlign w:val="center"/>
                </w:tcPr>
                <w:p w14:paraId="236934DA">
                  <w:pPr>
                    <w:snapToGrid w:val="0"/>
                    <w:jc w:val="center"/>
                    <w:rPr>
                      <w:color w:val="auto"/>
                      <w:szCs w:val="21"/>
                    </w:rPr>
                  </w:pPr>
                </w:p>
              </w:tc>
              <w:tc>
                <w:tcPr>
                  <w:tcW w:w="1171" w:type="dxa"/>
                  <w:vAlign w:val="center"/>
                </w:tcPr>
                <w:p w14:paraId="39B41E83">
                  <w:pPr>
                    <w:snapToGrid w:val="0"/>
                    <w:jc w:val="center"/>
                    <w:rPr>
                      <w:rFonts w:hint="eastAsia"/>
                      <w:color w:val="auto"/>
                      <w:szCs w:val="21"/>
                    </w:rPr>
                  </w:pPr>
                  <w:r>
                    <w:rPr>
                      <w:rFonts w:hint="eastAsia"/>
                      <w:color w:val="auto"/>
                      <w:szCs w:val="21"/>
                    </w:rPr>
                    <w:t>东2</w:t>
                  </w:r>
                </w:p>
              </w:tc>
              <w:tc>
                <w:tcPr>
                  <w:tcW w:w="782" w:type="dxa"/>
                  <w:vAlign w:val="center"/>
                </w:tcPr>
                <w:p w14:paraId="5CE5A228">
                  <w:pPr>
                    <w:widowControl/>
                    <w:jc w:val="center"/>
                    <w:textAlignment w:val="center"/>
                    <w:rPr>
                      <w:color w:val="auto"/>
                      <w:szCs w:val="21"/>
                    </w:rPr>
                  </w:pPr>
                  <w:r>
                    <w:rPr>
                      <w:color w:val="auto"/>
                      <w:kern w:val="0"/>
                      <w:szCs w:val="21"/>
                      <w:lang w:bidi="ar"/>
                    </w:rPr>
                    <w:t>74.0</w:t>
                  </w:r>
                </w:p>
              </w:tc>
              <w:tc>
                <w:tcPr>
                  <w:tcW w:w="741" w:type="dxa"/>
                  <w:vMerge w:val="continue"/>
                  <w:vAlign w:val="center"/>
                </w:tcPr>
                <w:p w14:paraId="4F1F0391">
                  <w:pPr>
                    <w:snapToGrid w:val="0"/>
                    <w:jc w:val="center"/>
                    <w:rPr>
                      <w:rFonts w:hint="eastAsia"/>
                      <w:color w:val="auto"/>
                      <w:szCs w:val="21"/>
                    </w:rPr>
                  </w:pPr>
                </w:p>
              </w:tc>
              <w:tc>
                <w:tcPr>
                  <w:tcW w:w="893" w:type="dxa"/>
                  <w:vMerge w:val="continue"/>
                  <w:vAlign w:val="center"/>
                </w:tcPr>
                <w:p w14:paraId="7618D2E2">
                  <w:pPr>
                    <w:snapToGrid w:val="0"/>
                    <w:jc w:val="center"/>
                    <w:rPr>
                      <w:rFonts w:hint="eastAsia"/>
                      <w:color w:val="auto"/>
                      <w:szCs w:val="21"/>
                    </w:rPr>
                  </w:pPr>
                </w:p>
              </w:tc>
              <w:tc>
                <w:tcPr>
                  <w:tcW w:w="693" w:type="dxa"/>
                  <w:vAlign w:val="center"/>
                </w:tcPr>
                <w:p w14:paraId="65980267">
                  <w:pPr>
                    <w:widowControl/>
                    <w:jc w:val="center"/>
                    <w:textAlignment w:val="center"/>
                    <w:rPr>
                      <w:color w:val="auto"/>
                      <w:szCs w:val="21"/>
                    </w:rPr>
                  </w:pPr>
                  <w:r>
                    <w:rPr>
                      <w:color w:val="auto"/>
                      <w:kern w:val="0"/>
                      <w:szCs w:val="21"/>
                      <w:lang w:bidi="ar"/>
                    </w:rPr>
                    <w:t>54.0</w:t>
                  </w:r>
                </w:p>
              </w:tc>
              <w:tc>
                <w:tcPr>
                  <w:tcW w:w="1260" w:type="dxa"/>
                  <w:vMerge w:val="continue"/>
                  <w:vAlign w:val="center"/>
                </w:tcPr>
                <w:p w14:paraId="174A8E94">
                  <w:pPr>
                    <w:snapToGrid w:val="0"/>
                    <w:jc w:val="center"/>
                    <w:rPr>
                      <w:rFonts w:hint="eastAsia"/>
                      <w:color w:val="auto"/>
                      <w:szCs w:val="21"/>
                    </w:rPr>
                  </w:pPr>
                </w:p>
              </w:tc>
            </w:tr>
            <w:tr w14:paraId="02918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84" w:type="dxa"/>
                  <w:vMerge w:val="continue"/>
                  <w:vAlign w:val="center"/>
                </w:tcPr>
                <w:p w14:paraId="3B43C244">
                  <w:pPr>
                    <w:snapToGrid w:val="0"/>
                    <w:jc w:val="center"/>
                    <w:rPr>
                      <w:color w:val="auto"/>
                      <w:szCs w:val="21"/>
                    </w:rPr>
                  </w:pPr>
                </w:p>
              </w:tc>
              <w:tc>
                <w:tcPr>
                  <w:tcW w:w="786" w:type="dxa"/>
                  <w:vMerge w:val="continue"/>
                  <w:vAlign w:val="center"/>
                </w:tcPr>
                <w:p w14:paraId="5B2D592F">
                  <w:pPr>
                    <w:snapToGrid w:val="0"/>
                    <w:jc w:val="center"/>
                    <w:rPr>
                      <w:rFonts w:hint="eastAsia"/>
                      <w:color w:val="auto"/>
                      <w:szCs w:val="21"/>
                    </w:rPr>
                  </w:pPr>
                </w:p>
              </w:tc>
              <w:tc>
                <w:tcPr>
                  <w:tcW w:w="1383" w:type="dxa"/>
                  <w:vMerge w:val="continue"/>
                  <w:vAlign w:val="top"/>
                </w:tcPr>
                <w:p w14:paraId="63B35559">
                  <w:pPr>
                    <w:snapToGrid w:val="0"/>
                    <w:jc w:val="center"/>
                    <w:rPr>
                      <w:rFonts w:hint="eastAsia"/>
                      <w:color w:val="auto"/>
                      <w:szCs w:val="21"/>
                    </w:rPr>
                  </w:pPr>
                </w:p>
              </w:tc>
              <w:tc>
                <w:tcPr>
                  <w:tcW w:w="1494" w:type="dxa"/>
                  <w:vMerge w:val="continue"/>
                  <w:vAlign w:val="center"/>
                </w:tcPr>
                <w:p w14:paraId="58C71020">
                  <w:pPr>
                    <w:snapToGrid w:val="0"/>
                    <w:jc w:val="center"/>
                    <w:rPr>
                      <w:rFonts w:hint="eastAsia"/>
                      <w:color w:val="auto"/>
                      <w:szCs w:val="21"/>
                    </w:rPr>
                  </w:pPr>
                </w:p>
              </w:tc>
              <w:tc>
                <w:tcPr>
                  <w:tcW w:w="1081" w:type="dxa"/>
                  <w:vMerge w:val="continue"/>
                  <w:vAlign w:val="center"/>
                </w:tcPr>
                <w:p w14:paraId="4FA0FBF2">
                  <w:pPr>
                    <w:snapToGrid w:val="0"/>
                    <w:jc w:val="center"/>
                    <w:rPr>
                      <w:color w:val="auto"/>
                      <w:szCs w:val="21"/>
                    </w:rPr>
                  </w:pPr>
                </w:p>
              </w:tc>
              <w:tc>
                <w:tcPr>
                  <w:tcW w:w="768" w:type="dxa"/>
                  <w:vMerge w:val="continue"/>
                  <w:vAlign w:val="center"/>
                </w:tcPr>
                <w:p w14:paraId="1473F922">
                  <w:pPr>
                    <w:snapToGrid w:val="0"/>
                    <w:jc w:val="center"/>
                    <w:rPr>
                      <w:rFonts w:hint="eastAsia"/>
                      <w:color w:val="auto"/>
                      <w:szCs w:val="21"/>
                    </w:rPr>
                  </w:pPr>
                </w:p>
              </w:tc>
              <w:tc>
                <w:tcPr>
                  <w:tcW w:w="617" w:type="dxa"/>
                  <w:vMerge w:val="continue"/>
                  <w:vAlign w:val="center"/>
                </w:tcPr>
                <w:p w14:paraId="6336730A">
                  <w:pPr>
                    <w:snapToGrid w:val="0"/>
                    <w:jc w:val="center"/>
                    <w:rPr>
                      <w:color w:val="auto"/>
                      <w:szCs w:val="21"/>
                    </w:rPr>
                  </w:pPr>
                </w:p>
              </w:tc>
              <w:tc>
                <w:tcPr>
                  <w:tcW w:w="617" w:type="dxa"/>
                  <w:vMerge w:val="continue"/>
                  <w:vAlign w:val="center"/>
                </w:tcPr>
                <w:p w14:paraId="7DBB92DC">
                  <w:pPr>
                    <w:snapToGrid w:val="0"/>
                    <w:jc w:val="center"/>
                    <w:rPr>
                      <w:color w:val="auto"/>
                      <w:szCs w:val="21"/>
                    </w:rPr>
                  </w:pPr>
                </w:p>
              </w:tc>
              <w:tc>
                <w:tcPr>
                  <w:tcW w:w="623" w:type="dxa"/>
                  <w:vMerge w:val="continue"/>
                  <w:vAlign w:val="center"/>
                </w:tcPr>
                <w:p w14:paraId="668190EF">
                  <w:pPr>
                    <w:snapToGrid w:val="0"/>
                    <w:jc w:val="center"/>
                    <w:rPr>
                      <w:color w:val="auto"/>
                      <w:szCs w:val="21"/>
                    </w:rPr>
                  </w:pPr>
                </w:p>
              </w:tc>
              <w:tc>
                <w:tcPr>
                  <w:tcW w:w="1171" w:type="dxa"/>
                  <w:vAlign w:val="center"/>
                </w:tcPr>
                <w:p w14:paraId="2F69B209">
                  <w:pPr>
                    <w:snapToGrid w:val="0"/>
                    <w:jc w:val="center"/>
                    <w:rPr>
                      <w:color w:val="auto"/>
                      <w:szCs w:val="21"/>
                    </w:rPr>
                  </w:pPr>
                  <w:r>
                    <w:rPr>
                      <w:rFonts w:hint="eastAsia"/>
                      <w:color w:val="auto"/>
                      <w:szCs w:val="21"/>
                    </w:rPr>
                    <w:t>西58</w:t>
                  </w:r>
                </w:p>
              </w:tc>
              <w:tc>
                <w:tcPr>
                  <w:tcW w:w="782" w:type="dxa"/>
                  <w:vAlign w:val="center"/>
                </w:tcPr>
                <w:p w14:paraId="31EEA667">
                  <w:pPr>
                    <w:widowControl/>
                    <w:jc w:val="center"/>
                    <w:textAlignment w:val="center"/>
                    <w:rPr>
                      <w:color w:val="auto"/>
                      <w:szCs w:val="21"/>
                    </w:rPr>
                  </w:pPr>
                  <w:r>
                    <w:rPr>
                      <w:color w:val="auto"/>
                      <w:kern w:val="0"/>
                      <w:szCs w:val="21"/>
                      <w:lang w:bidi="ar"/>
                    </w:rPr>
                    <w:t>44.7</w:t>
                  </w:r>
                </w:p>
              </w:tc>
              <w:tc>
                <w:tcPr>
                  <w:tcW w:w="741" w:type="dxa"/>
                  <w:vMerge w:val="continue"/>
                  <w:vAlign w:val="center"/>
                </w:tcPr>
                <w:p w14:paraId="7B92FEF2">
                  <w:pPr>
                    <w:snapToGrid w:val="0"/>
                    <w:jc w:val="center"/>
                    <w:rPr>
                      <w:rFonts w:hint="eastAsia"/>
                      <w:color w:val="auto"/>
                      <w:szCs w:val="21"/>
                    </w:rPr>
                  </w:pPr>
                </w:p>
              </w:tc>
              <w:tc>
                <w:tcPr>
                  <w:tcW w:w="893" w:type="dxa"/>
                  <w:vMerge w:val="continue"/>
                  <w:vAlign w:val="center"/>
                </w:tcPr>
                <w:p w14:paraId="4A80BBA8">
                  <w:pPr>
                    <w:snapToGrid w:val="0"/>
                    <w:jc w:val="center"/>
                    <w:rPr>
                      <w:rFonts w:hint="eastAsia"/>
                      <w:color w:val="auto"/>
                      <w:szCs w:val="21"/>
                    </w:rPr>
                  </w:pPr>
                </w:p>
              </w:tc>
              <w:tc>
                <w:tcPr>
                  <w:tcW w:w="693" w:type="dxa"/>
                  <w:vAlign w:val="center"/>
                </w:tcPr>
                <w:p w14:paraId="43D21367">
                  <w:pPr>
                    <w:widowControl/>
                    <w:jc w:val="center"/>
                    <w:textAlignment w:val="center"/>
                    <w:rPr>
                      <w:color w:val="auto"/>
                      <w:szCs w:val="21"/>
                    </w:rPr>
                  </w:pPr>
                  <w:r>
                    <w:rPr>
                      <w:color w:val="auto"/>
                      <w:kern w:val="0"/>
                      <w:szCs w:val="21"/>
                      <w:lang w:bidi="ar"/>
                    </w:rPr>
                    <w:t>24.7</w:t>
                  </w:r>
                </w:p>
              </w:tc>
              <w:tc>
                <w:tcPr>
                  <w:tcW w:w="1260" w:type="dxa"/>
                  <w:vMerge w:val="continue"/>
                  <w:vAlign w:val="center"/>
                </w:tcPr>
                <w:p w14:paraId="403911C0">
                  <w:pPr>
                    <w:snapToGrid w:val="0"/>
                    <w:jc w:val="center"/>
                    <w:rPr>
                      <w:rFonts w:hint="eastAsia"/>
                      <w:color w:val="auto"/>
                      <w:szCs w:val="21"/>
                    </w:rPr>
                  </w:pPr>
                </w:p>
              </w:tc>
            </w:tr>
            <w:tr w14:paraId="57076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84" w:type="dxa"/>
                  <w:vMerge w:val="restart"/>
                  <w:vAlign w:val="center"/>
                </w:tcPr>
                <w:p w14:paraId="40324A52">
                  <w:pPr>
                    <w:widowControl/>
                    <w:jc w:val="center"/>
                    <w:textAlignment w:val="center"/>
                    <w:rPr>
                      <w:color w:val="auto"/>
                      <w:szCs w:val="21"/>
                    </w:rPr>
                  </w:pPr>
                  <w:r>
                    <w:rPr>
                      <w:color w:val="auto"/>
                      <w:kern w:val="0"/>
                      <w:szCs w:val="21"/>
                      <w:lang w:bidi="ar"/>
                    </w:rPr>
                    <w:t>18</w:t>
                  </w:r>
                </w:p>
              </w:tc>
              <w:tc>
                <w:tcPr>
                  <w:tcW w:w="786" w:type="dxa"/>
                  <w:vMerge w:val="continue"/>
                  <w:vAlign w:val="center"/>
                </w:tcPr>
                <w:p w14:paraId="190C4398">
                  <w:pPr>
                    <w:snapToGrid w:val="0"/>
                    <w:jc w:val="center"/>
                    <w:rPr>
                      <w:color w:val="auto"/>
                      <w:szCs w:val="21"/>
                    </w:rPr>
                  </w:pPr>
                </w:p>
              </w:tc>
              <w:tc>
                <w:tcPr>
                  <w:tcW w:w="1383" w:type="dxa"/>
                  <w:vMerge w:val="restart"/>
                  <w:vAlign w:val="center"/>
                </w:tcPr>
                <w:p w14:paraId="031826E7">
                  <w:pPr>
                    <w:autoSpaceDE w:val="0"/>
                    <w:autoSpaceDN w:val="0"/>
                    <w:adjustRightInd w:val="0"/>
                    <w:snapToGrid w:val="0"/>
                    <w:jc w:val="center"/>
                    <w:rPr>
                      <w:color w:val="auto"/>
                      <w:kern w:val="0"/>
                      <w:szCs w:val="21"/>
                    </w:rPr>
                  </w:pPr>
                  <w:r>
                    <w:rPr>
                      <w:rFonts w:hint="eastAsia"/>
                      <w:color w:val="auto"/>
                      <w:szCs w:val="21"/>
                    </w:rPr>
                    <w:t>液压热压机</w:t>
                  </w:r>
                </w:p>
              </w:tc>
              <w:tc>
                <w:tcPr>
                  <w:tcW w:w="1494" w:type="dxa"/>
                  <w:vMerge w:val="restart"/>
                  <w:vAlign w:val="center"/>
                </w:tcPr>
                <w:p w14:paraId="0F9789B5">
                  <w:pPr>
                    <w:adjustRightInd w:val="0"/>
                    <w:snapToGrid w:val="0"/>
                    <w:jc w:val="center"/>
                    <w:rPr>
                      <w:rFonts w:hint="eastAsia" w:eastAsia="宋体"/>
                      <w:bCs/>
                      <w:color w:val="auto"/>
                      <w:szCs w:val="21"/>
                      <w:lang w:val="en-US" w:eastAsia="zh-CN"/>
                    </w:rPr>
                  </w:pPr>
                  <w:r>
                    <w:rPr>
                      <w:rFonts w:hint="eastAsia"/>
                      <w:bCs/>
                      <w:color w:val="auto"/>
                      <w:szCs w:val="21"/>
                      <w:lang w:val="en-US" w:eastAsia="zh-CN"/>
                    </w:rPr>
                    <w:t>/</w:t>
                  </w:r>
                </w:p>
              </w:tc>
              <w:tc>
                <w:tcPr>
                  <w:tcW w:w="1081" w:type="dxa"/>
                  <w:vMerge w:val="restart"/>
                  <w:vAlign w:val="center"/>
                </w:tcPr>
                <w:p w14:paraId="380A6A7E">
                  <w:pPr>
                    <w:widowControl/>
                    <w:jc w:val="center"/>
                    <w:textAlignment w:val="center"/>
                    <w:rPr>
                      <w:bCs/>
                      <w:color w:val="auto"/>
                      <w:szCs w:val="21"/>
                    </w:rPr>
                  </w:pPr>
                  <w:r>
                    <w:rPr>
                      <w:rFonts w:hint="eastAsia"/>
                      <w:color w:val="auto"/>
                      <w:kern w:val="0"/>
                      <w:szCs w:val="21"/>
                      <w:lang w:bidi="ar"/>
                    </w:rPr>
                    <w:t>75</w:t>
                  </w:r>
                </w:p>
              </w:tc>
              <w:tc>
                <w:tcPr>
                  <w:tcW w:w="768" w:type="dxa"/>
                  <w:vMerge w:val="continue"/>
                  <w:vAlign w:val="center"/>
                </w:tcPr>
                <w:p w14:paraId="71EB3C47">
                  <w:pPr>
                    <w:snapToGrid w:val="0"/>
                    <w:jc w:val="center"/>
                    <w:rPr>
                      <w:b/>
                      <w:bCs/>
                      <w:color w:val="auto"/>
                      <w:szCs w:val="21"/>
                    </w:rPr>
                  </w:pPr>
                </w:p>
              </w:tc>
              <w:tc>
                <w:tcPr>
                  <w:tcW w:w="617" w:type="dxa"/>
                  <w:vMerge w:val="restart"/>
                  <w:vAlign w:val="center"/>
                </w:tcPr>
                <w:p w14:paraId="19AD42B3">
                  <w:pPr>
                    <w:widowControl/>
                    <w:jc w:val="center"/>
                    <w:textAlignment w:val="center"/>
                    <w:rPr>
                      <w:color w:val="auto"/>
                      <w:szCs w:val="21"/>
                    </w:rPr>
                  </w:pPr>
                  <w:r>
                    <w:rPr>
                      <w:color w:val="auto"/>
                      <w:kern w:val="0"/>
                      <w:szCs w:val="21"/>
                      <w:lang w:bidi="ar"/>
                    </w:rPr>
                    <w:t>0</w:t>
                  </w:r>
                </w:p>
              </w:tc>
              <w:tc>
                <w:tcPr>
                  <w:tcW w:w="617" w:type="dxa"/>
                  <w:vMerge w:val="restart"/>
                  <w:vAlign w:val="center"/>
                </w:tcPr>
                <w:p w14:paraId="2EBA81E0">
                  <w:pPr>
                    <w:widowControl/>
                    <w:jc w:val="center"/>
                    <w:textAlignment w:val="center"/>
                    <w:rPr>
                      <w:color w:val="auto"/>
                      <w:szCs w:val="21"/>
                    </w:rPr>
                  </w:pPr>
                  <w:r>
                    <w:rPr>
                      <w:color w:val="auto"/>
                      <w:kern w:val="0"/>
                      <w:szCs w:val="21"/>
                      <w:lang w:bidi="ar"/>
                    </w:rPr>
                    <w:t>89</w:t>
                  </w:r>
                </w:p>
              </w:tc>
              <w:tc>
                <w:tcPr>
                  <w:tcW w:w="623" w:type="dxa"/>
                  <w:vMerge w:val="restart"/>
                  <w:vAlign w:val="center"/>
                </w:tcPr>
                <w:p w14:paraId="6A1A7849">
                  <w:pPr>
                    <w:widowControl/>
                    <w:jc w:val="center"/>
                    <w:textAlignment w:val="center"/>
                    <w:rPr>
                      <w:color w:val="auto"/>
                      <w:szCs w:val="21"/>
                    </w:rPr>
                  </w:pPr>
                  <w:r>
                    <w:rPr>
                      <w:color w:val="auto"/>
                      <w:kern w:val="0"/>
                      <w:szCs w:val="21"/>
                      <w:lang w:bidi="ar"/>
                    </w:rPr>
                    <w:t>1.2</w:t>
                  </w:r>
                </w:p>
              </w:tc>
              <w:tc>
                <w:tcPr>
                  <w:tcW w:w="1171" w:type="dxa"/>
                  <w:vAlign w:val="center"/>
                </w:tcPr>
                <w:p w14:paraId="1F2DBFDB">
                  <w:pPr>
                    <w:snapToGrid w:val="0"/>
                    <w:jc w:val="center"/>
                    <w:rPr>
                      <w:color w:val="auto"/>
                      <w:szCs w:val="21"/>
                    </w:rPr>
                  </w:pPr>
                  <w:r>
                    <w:rPr>
                      <w:rFonts w:hint="eastAsia"/>
                      <w:color w:val="auto"/>
                      <w:szCs w:val="21"/>
                    </w:rPr>
                    <w:t>北10</w:t>
                  </w:r>
                </w:p>
              </w:tc>
              <w:tc>
                <w:tcPr>
                  <w:tcW w:w="782" w:type="dxa"/>
                  <w:vAlign w:val="center"/>
                </w:tcPr>
                <w:p w14:paraId="448C6457">
                  <w:pPr>
                    <w:widowControl/>
                    <w:jc w:val="center"/>
                    <w:textAlignment w:val="center"/>
                    <w:rPr>
                      <w:color w:val="auto"/>
                      <w:szCs w:val="21"/>
                    </w:rPr>
                  </w:pPr>
                  <w:r>
                    <w:rPr>
                      <w:color w:val="auto"/>
                      <w:kern w:val="0"/>
                      <w:szCs w:val="21"/>
                      <w:lang w:bidi="ar"/>
                    </w:rPr>
                    <w:t>55.0</w:t>
                  </w:r>
                </w:p>
              </w:tc>
              <w:tc>
                <w:tcPr>
                  <w:tcW w:w="741" w:type="dxa"/>
                  <w:vMerge w:val="continue"/>
                  <w:vAlign w:val="center"/>
                </w:tcPr>
                <w:p w14:paraId="6B052015">
                  <w:pPr>
                    <w:snapToGrid w:val="0"/>
                    <w:jc w:val="center"/>
                    <w:rPr>
                      <w:color w:val="auto"/>
                      <w:szCs w:val="21"/>
                    </w:rPr>
                  </w:pPr>
                </w:p>
              </w:tc>
              <w:tc>
                <w:tcPr>
                  <w:tcW w:w="893" w:type="dxa"/>
                  <w:vMerge w:val="continue"/>
                  <w:vAlign w:val="center"/>
                </w:tcPr>
                <w:p w14:paraId="156B9A24">
                  <w:pPr>
                    <w:snapToGrid w:val="0"/>
                    <w:jc w:val="center"/>
                    <w:rPr>
                      <w:color w:val="auto"/>
                      <w:szCs w:val="21"/>
                    </w:rPr>
                  </w:pPr>
                </w:p>
              </w:tc>
              <w:tc>
                <w:tcPr>
                  <w:tcW w:w="693" w:type="dxa"/>
                  <w:vAlign w:val="center"/>
                </w:tcPr>
                <w:p w14:paraId="48F9D98F">
                  <w:pPr>
                    <w:widowControl/>
                    <w:jc w:val="center"/>
                    <w:textAlignment w:val="center"/>
                    <w:rPr>
                      <w:color w:val="auto"/>
                      <w:kern w:val="0"/>
                      <w:szCs w:val="21"/>
                      <w:lang w:bidi="ar"/>
                    </w:rPr>
                  </w:pPr>
                  <w:r>
                    <w:rPr>
                      <w:color w:val="auto"/>
                      <w:kern w:val="0"/>
                      <w:szCs w:val="21"/>
                      <w:lang w:bidi="ar"/>
                    </w:rPr>
                    <w:t>35.0</w:t>
                  </w:r>
                </w:p>
              </w:tc>
              <w:tc>
                <w:tcPr>
                  <w:tcW w:w="1260" w:type="dxa"/>
                  <w:vMerge w:val="restart"/>
                  <w:vAlign w:val="center"/>
                </w:tcPr>
                <w:p w14:paraId="59A57FB3">
                  <w:pPr>
                    <w:snapToGrid w:val="0"/>
                    <w:jc w:val="center"/>
                    <w:rPr>
                      <w:color w:val="auto"/>
                      <w:szCs w:val="21"/>
                    </w:rPr>
                  </w:pPr>
                  <w:r>
                    <w:rPr>
                      <w:rFonts w:hint="eastAsia"/>
                      <w:color w:val="auto"/>
                      <w:szCs w:val="21"/>
                    </w:rPr>
                    <w:t>1</w:t>
                  </w:r>
                </w:p>
              </w:tc>
            </w:tr>
            <w:tr w14:paraId="2EC09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84" w:type="dxa"/>
                  <w:vMerge w:val="continue"/>
                  <w:vAlign w:val="center"/>
                </w:tcPr>
                <w:p w14:paraId="38ACF174">
                  <w:pPr>
                    <w:snapToGrid w:val="0"/>
                    <w:jc w:val="center"/>
                    <w:rPr>
                      <w:color w:val="auto"/>
                      <w:szCs w:val="21"/>
                    </w:rPr>
                  </w:pPr>
                </w:p>
              </w:tc>
              <w:tc>
                <w:tcPr>
                  <w:tcW w:w="786" w:type="dxa"/>
                  <w:vMerge w:val="continue"/>
                  <w:vAlign w:val="center"/>
                </w:tcPr>
                <w:p w14:paraId="704D6F57">
                  <w:pPr>
                    <w:snapToGrid w:val="0"/>
                    <w:jc w:val="center"/>
                    <w:rPr>
                      <w:color w:val="auto"/>
                    </w:rPr>
                  </w:pPr>
                </w:p>
              </w:tc>
              <w:tc>
                <w:tcPr>
                  <w:tcW w:w="1383" w:type="dxa"/>
                  <w:vMerge w:val="continue"/>
                  <w:vAlign w:val="top"/>
                </w:tcPr>
                <w:p w14:paraId="3EE09C9E">
                  <w:pPr>
                    <w:snapToGrid w:val="0"/>
                    <w:jc w:val="center"/>
                    <w:rPr>
                      <w:color w:val="auto"/>
                    </w:rPr>
                  </w:pPr>
                </w:p>
              </w:tc>
              <w:tc>
                <w:tcPr>
                  <w:tcW w:w="1494" w:type="dxa"/>
                  <w:vMerge w:val="continue"/>
                  <w:vAlign w:val="center"/>
                </w:tcPr>
                <w:p w14:paraId="68465A04">
                  <w:pPr>
                    <w:snapToGrid w:val="0"/>
                    <w:jc w:val="center"/>
                    <w:rPr>
                      <w:color w:val="auto"/>
                    </w:rPr>
                  </w:pPr>
                </w:p>
              </w:tc>
              <w:tc>
                <w:tcPr>
                  <w:tcW w:w="1081" w:type="dxa"/>
                  <w:vMerge w:val="continue"/>
                  <w:vAlign w:val="center"/>
                </w:tcPr>
                <w:p w14:paraId="69FE9475">
                  <w:pPr>
                    <w:snapToGrid w:val="0"/>
                    <w:jc w:val="center"/>
                    <w:rPr>
                      <w:color w:val="auto"/>
                      <w:szCs w:val="21"/>
                    </w:rPr>
                  </w:pPr>
                </w:p>
              </w:tc>
              <w:tc>
                <w:tcPr>
                  <w:tcW w:w="768" w:type="dxa"/>
                  <w:vMerge w:val="continue"/>
                  <w:vAlign w:val="center"/>
                </w:tcPr>
                <w:p w14:paraId="575D81EC">
                  <w:pPr>
                    <w:snapToGrid w:val="0"/>
                    <w:jc w:val="center"/>
                    <w:rPr>
                      <w:color w:val="auto"/>
                    </w:rPr>
                  </w:pPr>
                </w:p>
              </w:tc>
              <w:tc>
                <w:tcPr>
                  <w:tcW w:w="617" w:type="dxa"/>
                  <w:vMerge w:val="continue"/>
                  <w:vAlign w:val="center"/>
                </w:tcPr>
                <w:p w14:paraId="3E8557E4">
                  <w:pPr>
                    <w:snapToGrid w:val="0"/>
                    <w:jc w:val="center"/>
                    <w:rPr>
                      <w:color w:val="auto"/>
                      <w:szCs w:val="21"/>
                    </w:rPr>
                  </w:pPr>
                </w:p>
              </w:tc>
              <w:tc>
                <w:tcPr>
                  <w:tcW w:w="617" w:type="dxa"/>
                  <w:vMerge w:val="continue"/>
                  <w:vAlign w:val="center"/>
                </w:tcPr>
                <w:p w14:paraId="5D47910F">
                  <w:pPr>
                    <w:snapToGrid w:val="0"/>
                    <w:jc w:val="center"/>
                    <w:rPr>
                      <w:color w:val="auto"/>
                      <w:szCs w:val="21"/>
                    </w:rPr>
                  </w:pPr>
                </w:p>
              </w:tc>
              <w:tc>
                <w:tcPr>
                  <w:tcW w:w="623" w:type="dxa"/>
                  <w:vMerge w:val="continue"/>
                  <w:vAlign w:val="center"/>
                </w:tcPr>
                <w:p w14:paraId="407D4100">
                  <w:pPr>
                    <w:snapToGrid w:val="0"/>
                    <w:jc w:val="center"/>
                    <w:rPr>
                      <w:color w:val="auto"/>
                      <w:szCs w:val="21"/>
                    </w:rPr>
                  </w:pPr>
                </w:p>
              </w:tc>
              <w:tc>
                <w:tcPr>
                  <w:tcW w:w="1171" w:type="dxa"/>
                  <w:vAlign w:val="center"/>
                </w:tcPr>
                <w:p w14:paraId="08717117">
                  <w:pPr>
                    <w:snapToGrid w:val="0"/>
                    <w:jc w:val="center"/>
                    <w:rPr>
                      <w:color w:val="auto"/>
                      <w:szCs w:val="21"/>
                    </w:rPr>
                  </w:pPr>
                  <w:r>
                    <w:rPr>
                      <w:rFonts w:hint="eastAsia"/>
                      <w:color w:val="auto"/>
                      <w:szCs w:val="21"/>
                    </w:rPr>
                    <w:t>南90</w:t>
                  </w:r>
                </w:p>
              </w:tc>
              <w:tc>
                <w:tcPr>
                  <w:tcW w:w="782" w:type="dxa"/>
                  <w:vAlign w:val="center"/>
                </w:tcPr>
                <w:p w14:paraId="1B32F3C2">
                  <w:pPr>
                    <w:widowControl/>
                    <w:jc w:val="center"/>
                    <w:textAlignment w:val="center"/>
                    <w:rPr>
                      <w:color w:val="auto"/>
                      <w:szCs w:val="21"/>
                    </w:rPr>
                  </w:pPr>
                  <w:r>
                    <w:rPr>
                      <w:color w:val="auto"/>
                      <w:kern w:val="0"/>
                      <w:szCs w:val="21"/>
                      <w:lang w:bidi="ar"/>
                    </w:rPr>
                    <w:t>35.9</w:t>
                  </w:r>
                </w:p>
              </w:tc>
              <w:tc>
                <w:tcPr>
                  <w:tcW w:w="741" w:type="dxa"/>
                  <w:vMerge w:val="continue"/>
                  <w:vAlign w:val="center"/>
                </w:tcPr>
                <w:p w14:paraId="7BD8E168">
                  <w:pPr>
                    <w:snapToGrid w:val="0"/>
                    <w:jc w:val="center"/>
                    <w:rPr>
                      <w:rFonts w:hint="eastAsia"/>
                      <w:color w:val="auto"/>
                      <w:szCs w:val="21"/>
                    </w:rPr>
                  </w:pPr>
                </w:p>
              </w:tc>
              <w:tc>
                <w:tcPr>
                  <w:tcW w:w="893" w:type="dxa"/>
                  <w:vMerge w:val="continue"/>
                  <w:vAlign w:val="center"/>
                </w:tcPr>
                <w:p w14:paraId="1873EB5D">
                  <w:pPr>
                    <w:snapToGrid w:val="0"/>
                    <w:jc w:val="center"/>
                    <w:rPr>
                      <w:rFonts w:hint="eastAsia"/>
                      <w:color w:val="auto"/>
                      <w:szCs w:val="21"/>
                    </w:rPr>
                  </w:pPr>
                </w:p>
              </w:tc>
              <w:tc>
                <w:tcPr>
                  <w:tcW w:w="693" w:type="dxa"/>
                  <w:vAlign w:val="center"/>
                </w:tcPr>
                <w:p w14:paraId="7EC3991B">
                  <w:pPr>
                    <w:widowControl/>
                    <w:jc w:val="center"/>
                    <w:textAlignment w:val="center"/>
                    <w:rPr>
                      <w:color w:val="auto"/>
                      <w:szCs w:val="21"/>
                    </w:rPr>
                  </w:pPr>
                  <w:r>
                    <w:rPr>
                      <w:color w:val="auto"/>
                      <w:kern w:val="0"/>
                      <w:szCs w:val="21"/>
                      <w:lang w:bidi="ar"/>
                    </w:rPr>
                    <w:t>15.9</w:t>
                  </w:r>
                </w:p>
              </w:tc>
              <w:tc>
                <w:tcPr>
                  <w:tcW w:w="1260" w:type="dxa"/>
                  <w:vMerge w:val="continue"/>
                  <w:vAlign w:val="center"/>
                </w:tcPr>
                <w:p w14:paraId="5590259A">
                  <w:pPr>
                    <w:snapToGrid w:val="0"/>
                    <w:jc w:val="center"/>
                    <w:rPr>
                      <w:rFonts w:hint="eastAsia"/>
                      <w:color w:val="auto"/>
                      <w:szCs w:val="21"/>
                    </w:rPr>
                  </w:pPr>
                </w:p>
              </w:tc>
            </w:tr>
            <w:tr w14:paraId="042C4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84" w:type="dxa"/>
                  <w:vMerge w:val="continue"/>
                  <w:vAlign w:val="center"/>
                </w:tcPr>
                <w:p w14:paraId="29961746">
                  <w:pPr>
                    <w:snapToGrid w:val="0"/>
                    <w:jc w:val="center"/>
                    <w:rPr>
                      <w:color w:val="auto"/>
                      <w:szCs w:val="21"/>
                    </w:rPr>
                  </w:pPr>
                </w:p>
              </w:tc>
              <w:tc>
                <w:tcPr>
                  <w:tcW w:w="786" w:type="dxa"/>
                  <w:vMerge w:val="continue"/>
                  <w:vAlign w:val="center"/>
                </w:tcPr>
                <w:p w14:paraId="68B6AAAB">
                  <w:pPr>
                    <w:snapToGrid w:val="0"/>
                    <w:jc w:val="center"/>
                    <w:rPr>
                      <w:rFonts w:hint="eastAsia"/>
                      <w:color w:val="auto"/>
                      <w:szCs w:val="21"/>
                    </w:rPr>
                  </w:pPr>
                </w:p>
              </w:tc>
              <w:tc>
                <w:tcPr>
                  <w:tcW w:w="1383" w:type="dxa"/>
                  <w:vMerge w:val="continue"/>
                  <w:vAlign w:val="top"/>
                </w:tcPr>
                <w:p w14:paraId="27882F9C">
                  <w:pPr>
                    <w:snapToGrid w:val="0"/>
                    <w:jc w:val="center"/>
                    <w:rPr>
                      <w:rFonts w:hint="eastAsia"/>
                      <w:color w:val="auto"/>
                      <w:szCs w:val="21"/>
                    </w:rPr>
                  </w:pPr>
                </w:p>
              </w:tc>
              <w:tc>
                <w:tcPr>
                  <w:tcW w:w="1494" w:type="dxa"/>
                  <w:vMerge w:val="continue"/>
                  <w:vAlign w:val="center"/>
                </w:tcPr>
                <w:p w14:paraId="0D6E4C9C">
                  <w:pPr>
                    <w:snapToGrid w:val="0"/>
                    <w:jc w:val="center"/>
                    <w:rPr>
                      <w:rFonts w:hint="eastAsia"/>
                      <w:color w:val="auto"/>
                      <w:szCs w:val="21"/>
                    </w:rPr>
                  </w:pPr>
                </w:p>
              </w:tc>
              <w:tc>
                <w:tcPr>
                  <w:tcW w:w="1081" w:type="dxa"/>
                  <w:vMerge w:val="continue"/>
                  <w:vAlign w:val="center"/>
                </w:tcPr>
                <w:p w14:paraId="1A72130A">
                  <w:pPr>
                    <w:snapToGrid w:val="0"/>
                    <w:jc w:val="center"/>
                    <w:rPr>
                      <w:color w:val="auto"/>
                      <w:szCs w:val="21"/>
                    </w:rPr>
                  </w:pPr>
                </w:p>
              </w:tc>
              <w:tc>
                <w:tcPr>
                  <w:tcW w:w="768" w:type="dxa"/>
                  <w:vMerge w:val="continue"/>
                  <w:vAlign w:val="center"/>
                </w:tcPr>
                <w:p w14:paraId="3E0A7647">
                  <w:pPr>
                    <w:snapToGrid w:val="0"/>
                    <w:jc w:val="center"/>
                    <w:rPr>
                      <w:rFonts w:hint="eastAsia"/>
                      <w:color w:val="auto"/>
                      <w:szCs w:val="21"/>
                    </w:rPr>
                  </w:pPr>
                </w:p>
              </w:tc>
              <w:tc>
                <w:tcPr>
                  <w:tcW w:w="617" w:type="dxa"/>
                  <w:vMerge w:val="continue"/>
                  <w:vAlign w:val="center"/>
                </w:tcPr>
                <w:p w14:paraId="44DB2034">
                  <w:pPr>
                    <w:snapToGrid w:val="0"/>
                    <w:jc w:val="center"/>
                    <w:rPr>
                      <w:color w:val="auto"/>
                      <w:szCs w:val="21"/>
                    </w:rPr>
                  </w:pPr>
                </w:p>
              </w:tc>
              <w:tc>
                <w:tcPr>
                  <w:tcW w:w="617" w:type="dxa"/>
                  <w:vMerge w:val="continue"/>
                  <w:vAlign w:val="center"/>
                </w:tcPr>
                <w:p w14:paraId="144CA8E2">
                  <w:pPr>
                    <w:snapToGrid w:val="0"/>
                    <w:jc w:val="center"/>
                    <w:rPr>
                      <w:color w:val="auto"/>
                      <w:szCs w:val="21"/>
                    </w:rPr>
                  </w:pPr>
                </w:p>
              </w:tc>
              <w:tc>
                <w:tcPr>
                  <w:tcW w:w="623" w:type="dxa"/>
                  <w:vMerge w:val="continue"/>
                  <w:vAlign w:val="center"/>
                </w:tcPr>
                <w:p w14:paraId="5C5539B8">
                  <w:pPr>
                    <w:snapToGrid w:val="0"/>
                    <w:jc w:val="center"/>
                    <w:rPr>
                      <w:color w:val="auto"/>
                      <w:szCs w:val="21"/>
                    </w:rPr>
                  </w:pPr>
                </w:p>
              </w:tc>
              <w:tc>
                <w:tcPr>
                  <w:tcW w:w="1171" w:type="dxa"/>
                  <w:vAlign w:val="center"/>
                </w:tcPr>
                <w:p w14:paraId="69C37541">
                  <w:pPr>
                    <w:snapToGrid w:val="0"/>
                    <w:jc w:val="center"/>
                    <w:rPr>
                      <w:color w:val="auto"/>
                      <w:szCs w:val="21"/>
                    </w:rPr>
                  </w:pPr>
                  <w:r>
                    <w:rPr>
                      <w:rFonts w:hint="eastAsia"/>
                      <w:color w:val="auto"/>
                      <w:szCs w:val="21"/>
                    </w:rPr>
                    <w:t>东40</w:t>
                  </w:r>
                </w:p>
              </w:tc>
              <w:tc>
                <w:tcPr>
                  <w:tcW w:w="782" w:type="dxa"/>
                  <w:vAlign w:val="center"/>
                </w:tcPr>
                <w:p w14:paraId="60AFD4D8">
                  <w:pPr>
                    <w:widowControl/>
                    <w:jc w:val="center"/>
                    <w:textAlignment w:val="center"/>
                    <w:rPr>
                      <w:color w:val="auto"/>
                      <w:szCs w:val="21"/>
                    </w:rPr>
                  </w:pPr>
                  <w:r>
                    <w:rPr>
                      <w:color w:val="auto"/>
                      <w:kern w:val="0"/>
                      <w:szCs w:val="21"/>
                      <w:lang w:bidi="ar"/>
                    </w:rPr>
                    <w:t>43.0</w:t>
                  </w:r>
                </w:p>
              </w:tc>
              <w:tc>
                <w:tcPr>
                  <w:tcW w:w="741" w:type="dxa"/>
                  <w:vMerge w:val="continue"/>
                  <w:vAlign w:val="center"/>
                </w:tcPr>
                <w:p w14:paraId="45F19D65">
                  <w:pPr>
                    <w:snapToGrid w:val="0"/>
                    <w:jc w:val="center"/>
                    <w:rPr>
                      <w:rFonts w:hint="eastAsia"/>
                      <w:color w:val="auto"/>
                      <w:szCs w:val="21"/>
                    </w:rPr>
                  </w:pPr>
                </w:p>
              </w:tc>
              <w:tc>
                <w:tcPr>
                  <w:tcW w:w="893" w:type="dxa"/>
                  <w:vMerge w:val="continue"/>
                  <w:vAlign w:val="center"/>
                </w:tcPr>
                <w:p w14:paraId="0522E635">
                  <w:pPr>
                    <w:snapToGrid w:val="0"/>
                    <w:jc w:val="center"/>
                    <w:rPr>
                      <w:rFonts w:hint="eastAsia"/>
                      <w:color w:val="auto"/>
                      <w:szCs w:val="21"/>
                    </w:rPr>
                  </w:pPr>
                </w:p>
              </w:tc>
              <w:tc>
                <w:tcPr>
                  <w:tcW w:w="693" w:type="dxa"/>
                  <w:vAlign w:val="center"/>
                </w:tcPr>
                <w:p w14:paraId="66ED1453">
                  <w:pPr>
                    <w:widowControl/>
                    <w:jc w:val="center"/>
                    <w:textAlignment w:val="center"/>
                    <w:rPr>
                      <w:color w:val="auto"/>
                      <w:szCs w:val="21"/>
                    </w:rPr>
                  </w:pPr>
                  <w:r>
                    <w:rPr>
                      <w:color w:val="auto"/>
                      <w:kern w:val="0"/>
                      <w:szCs w:val="21"/>
                      <w:lang w:bidi="ar"/>
                    </w:rPr>
                    <w:t>23.0</w:t>
                  </w:r>
                </w:p>
              </w:tc>
              <w:tc>
                <w:tcPr>
                  <w:tcW w:w="1260" w:type="dxa"/>
                  <w:vMerge w:val="continue"/>
                  <w:vAlign w:val="center"/>
                </w:tcPr>
                <w:p w14:paraId="49E75295">
                  <w:pPr>
                    <w:snapToGrid w:val="0"/>
                    <w:jc w:val="center"/>
                    <w:rPr>
                      <w:rFonts w:hint="eastAsia"/>
                      <w:color w:val="auto"/>
                      <w:szCs w:val="21"/>
                    </w:rPr>
                  </w:pPr>
                </w:p>
              </w:tc>
            </w:tr>
            <w:tr w14:paraId="7B92E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84" w:type="dxa"/>
                  <w:vMerge w:val="continue"/>
                  <w:vAlign w:val="center"/>
                </w:tcPr>
                <w:p w14:paraId="4514E302">
                  <w:pPr>
                    <w:snapToGrid w:val="0"/>
                    <w:jc w:val="center"/>
                    <w:rPr>
                      <w:color w:val="auto"/>
                      <w:szCs w:val="21"/>
                    </w:rPr>
                  </w:pPr>
                </w:p>
              </w:tc>
              <w:tc>
                <w:tcPr>
                  <w:tcW w:w="786" w:type="dxa"/>
                  <w:vMerge w:val="continue"/>
                  <w:vAlign w:val="center"/>
                </w:tcPr>
                <w:p w14:paraId="57844F17">
                  <w:pPr>
                    <w:snapToGrid w:val="0"/>
                    <w:jc w:val="center"/>
                    <w:rPr>
                      <w:rFonts w:hint="eastAsia"/>
                      <w:color w:val="auto"/>
                      <w:szCs w:val="21"/>
                    </w:rPr>
                  </w:pPr>
                </w:p>
              </w:tc>
              <w:tc>
                <w:tcPr>
                  <w:tcW w:w="1383" w:type="dxa"/>
                  <w:vMerge w:val="continue"/>
                  <w:vAlign w:val="top"/>
                </w:tcPr>
                <w:p w14:paraId="33283129">
                  <w:pPr>
                    <w:snapToGrid w:val="0"/>
                    <w:jc w:val="center"/>
                    <w:rPr>
                      <w:rFonts w:hint="eastAsia"/>
                      <w:color w:val="auto"/>
                      <w:szCs w:val="21"/>
                    </w:rPr>
                  </w:pPr>
                </w:p>
              </w:tc>
              <w:tc>
                <w:tcPr>
                  <w:tcW w:w="1494" w:type="dxa"/>
                  <w:vMerge w:val="continue"/>
                  <w:vAlign w:val="center"/>
                </w:tcPr>
                <w:p w14:paraId="45C2C9B7">
                  <w:pPr>
                    <w:snapToGrid w:val="0"/>
                    <w:jc w:val="center"/>
                    <w:rPr>
                      <w:rFonts w:hint="eastAsia"/>
                      <w:color w:val="auto"/>
                      <w:szCs w:val="21"/>
                    </w:rPr>
                  </w:pPr>
                </w:p>
              </w:tc>
              <w:tc>
                <w:tcPr>
                  <w:tcW w:w="1081" w:type="dxa"/>
                  <w:vMerge w:val="continue"/>
                  <w:vAlign w:val="center"/>
                </w:tcPr>
                <w:p w14:paraId="1073BAA2">
                  <w:pPr>
                    <w:snapToGrid w:val="0"/>
                    <w:jc w:val="center"/>
                    <w:rPr>
                      <w:color w:val="auto"/>
                      <w:szCs w:val="21"/>
                    </w:rPr>
                  </w:pPr>
                </w:p>
              </w:tc>
              <w:tc>
                <w:tcPr>
                  <w:tcW w:w="768" w:type="dxa"/>
                  <w:vMerge w:val="continue"/>
                  <w:vAlign w:val="center"/>
                </w:tcPr>
                <w:p w14:paraId="4CC4B18C">
                  <w:pPr>
                    <w:snapToGrid w:val="0"/>
                    <w:jc w:val="center"/>
                    <w:rPr>
                      <w:rFonts w:hint="eastAsia"/>
                      <w:color w:val="auto"/>
                      <w:szCs w:val="21"/>
                    </w:rPr>
                  </w:pPr>
                </w:p>
              </w:tc>
              <w:tc>
                <w:tcPr>
                  <w:tcW w:w="617" w:type="dxa"/>
                  <w:vMerge w:val="continue"/>
                  <w:vAlign w:val="center"/>
                </w:tcPr>
                <w:p w14:paraId="73C2B823">
                  <w:pPr>
                    <w:snapToGrid w:val="0"/>
                    <w:jc w:val="center"/>
                    <w:rPr>
                      <w:color w:val="auto"/>
                      <w:szCs w:val="21"/>
                    </w:rPr>
                  </w:pPr>
                </w:p>
              </w:tc>
              <w:tc>
                <w:tcPr>
                  <w:tcW w:w="617" w:type="dxa"/>
                  <w:vMerge w:val="continue"/>
                  <w:vAlign w:val="center"/>
                </w:tcPr>
                <w:p w14:paraId="0AC6464F">
                  <w:pPr>
                    <w:snapToGrid w:val="0"/>
                    <w:jc w:val="center"/>
                    <w:rPr>
                      <w:color w:val="auto"/>
                      <w:szCs w:val="21"/>
                    </w:rPr>
                  </w:pPr>
                </w:p>
              </w:tc>
              <w:tc>
                <w:tcPr>
                  <w:tcW w:w="623" w:type="dxa"/>
                  <w:vMerge w:val="continue"/>
                  <w:vAlign w:val="center"/>
                </w:tcPr>
                <w:p w14:paraId="1CDD9B9E">
                  <w:pPr>
                    <w:snapToGrid w:val="0"/>
                    <w:jc w:val="center"/>
                    <w:rPr>
                      <w:color w:val="auto"/>
                      <w:szCs w:val="21"/>
                    </w:rPr>
                  </w:pPr>
                </w:p>
              </w:tc>
              <w:tc>
                <w:tcPr>
                  <w:tcW w:w="1171" w:type="dxa"/>
                  <w:vAlign w:val="center"/>
                </w:tcPr>
                <w:p w14:paraId="560E3888">
                  <w:pPr>
                    <w:snapToGrid w:val="0"/>
                    <w:jc w:val="center"/>
                    <w:rPr>
                      <w:color w:val="auto"/>
                      <w:szCs w:val="21"/>
                    </w:rPr>
                  </w:pPr>
                  <w:r>
                    <w:rPr>
                      <w:rFonts w:hint="eastAsia"/>
                      <w:color w:val="auto"/>
                      <w:szCs w:val="21"/>
                    </w:rPr>
                    <w:t>西20</w:t>
                  </w:r>
                </w:p>
              </w:tc>
              <w:tc>
                <w:tcPr>
                  <w:tcW w:w="782" w:type="dxa"/>
                  <w:vAlign w:val="center"/>
                </w:tcPr>
                <w:p w14:paraId="1DCE7534">
                  <w:pPr>
                    <w:widowControl/>
                    <w:jc w:val="center"/>
                    <w:textAlignment w:val="center"/>
                    <w:rPr>
                      <w:color w:val="auto"/>
                      <w:szCs w:val="21"/>
                    </w:rPr>
                  </w:pPr>
                  <w:r>
                    <w:rPr>
                      <w:color w:val="auto"/>
                      <w:kern w:val="0"/>
                      <w:szCs w:val="21"/>
                      <w:lang w:bidi="ar"/>
                    </w:rPr>
                    <w:t>49.0</w:t>
                  </w:r>
                </w:p>
              </w:tc>
              <w:tc>
                <w:tcPr>
                  <w:tcW w:w="741" w:type="dxa"/>
                  <w:vMerge w:val="continue"/>
                  <w:vAlign w:val="center"/>
                </w:tcPr>
                <w:p w14:paraId="4A087EC8">
                  <w:pPr>
                    <w:snapToGrid w:val="0"/>
                    <w:jc w:val="center"/>
                    <w:rPr>
                      <w:rFonts w:hint="eastAsia"/>
                      <w:color w:val="auto"/>
                      <w:szCs w:val="21"/>
                    </w:rPr>
                  </w:pPr>
                </w:p>
              </w:tc>
              <w:tc>
                <w:tcPr>
                  <w:tcW w:w="893" w:type="dxa"/>
                  <w:vMerge w:val="continue"/>
                  <w:vAlign w:val="center"/>
                </w:tcPr>
                <w:p w14:paraId="59D593D5">
                  <w:pPr>
                    <w:snapToGrid w:val="0"/>
                    <w:jc w:val="center"/>
                    <w:rPr>
                      <w:rFonts w:hint="eastAsia"/>
                      <w:color w:val="auto"/>
                      <w:szCs w:val="21"/>
                    </w:rPr>
                  </w:pPr>
                </w:p>
              </w:tc>
              <w:tc>
                <w:tcPr>
                  <w:tcW w:w="693" w:type="dxa"/>
                  <w:vAlign w:val="center"/>
                </w:tcPr>
                <w:p w14:paraId="47B23527">
                  <w:pPr>
                    <w:widowControl/>
                    <w:jc w:val="center"/>
                    <w:textAlignment w:val="center"/>
                    <w:rPr>
                      <w:color w:val="auto"/>
                      <w:szCs w:val="21"/>
                    </w:rPr>
                  </w:pPr>
                  <w:r>
                    <w:rPr>
                      <w:color w:val="auto"/>
                      <w:kern w:val="0"/>
                      <w:szCs w:val="21"/>
                      <w:lang w:bidi="ar"/>
                    </w:rPr>
                    <w:t>29.0</w:t>
                  </w:r>
                </w:p>
              </w:tc>
              <w:tc>
                <w:tcPr>
                  <w:tcW w:w="1260" w:type="dxa"/>
                  <w:vMerge w:val="continue"/>
                  <w:vAlign w:val="center"/>
                </w:tcPr>
                <w:p w14:paraId="36B1EBA4">
                  <w:pPr>
                    <w:snapToGrid w:val="0"/>
                    <w:jc w:val="center"/>
                    <w:rPr>
                      <w:rFonts w:hint="eastAsia"/>
                      <w:color w:val="auto"/>
                      <w:szCs w:val="21"/>
                    </w:rPr>
                  </w:pPr>
                </w:p>
              </w:tc>
            </w:tr>
            <w:tr w14:paraId="0B7C0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4" w:type="dxa"/>
                  <w:vMerge w:val="restart"/>
                  <w:vAlign w:val="center"/>
                </w:tcPr>
                <w:p w14:paraId="213B1585">
                  <w:pPr>
                    <w:widowControl/>
                    <w:jc w:val="center"/>
                    <w:textAlignment w:val="center"/>
                    <w:rPr>
                      <w:color w:val="auto"/>
                      <w:szCs w:val="21"/>
                    </w:rPr>
                  </w:pPr>
                  <w:r>
                    <w:rPr>
                      <w:color w:val="auto"/>
                      <w:kern w:val="0"/>
                      <w:szCs w:val="21"/>
                      <w:lang w:bidi="ar"/>
                    </w:rPr>
                    <w:t>19</w:t>
                  </w:r>
                </w:p>
              </w:tc>
              <w:tc>
                <w:tcPr>
                  <w:tcW w:w="786" w:type="dxa"/>
                  <w:vMerge w:val="restart"/>
                  <w:vAlign w:val="center"/>
                </w:tcPr>
                <w:p w14:paraId="08341EF1">
                  <w:pPr>
                    <w:snapToGrid w:val="0"/>
                    <w:jc w:val="center"/>
                    <w:rPr>
                      <w:rFonts w:hint="eastAsia"/>
                      <w:color w:val="auto"/>
                      <w:szCs w:val="21"/>
                    </w:rPr>
                  </w:pPr>
                  <w:r>
                    <w:rPr>
                      <w:rFonts w:hint="eastAsia"/>
                      <w:color w:val="auto"/>
                      <w:szCs w:val="21"/>
                    </w:rPr>
                    <w:t>三车间</w:t>
                  </w:r>
                </w:p>
              </w:tc>
              <w:tc>
                <w:tcPr>
                  <w:tcW w:w="1383" w:type="dxa"/>
                  <w:vMerge w:val="restart"/>
                  <w:vAlign w:val="center"/>
                </w:tcPr>
                <w:p w14:paraId="3291ACE0">
                  <w:pPr>
                    <w:autoSpaceDE w:val="0"/>
                    <w:autoSpaceDN w:val="0"/>
                    <w:adjustRightInd w:val="0"/>
                    <w:snapToGrid w:val="0"/>
                    <w:jc w:val="center"/>
                    <w:rPr>
                      <w:color w:val="auto"/>
                      <w:kern w:val="0"/>
                      <w:szCs w:val="21"/>
                    </w:rPr>
                  </w:pPr>
                  <w:r>
                    <w:rPr>
                      <w:rFonts w:hint="eastAsia"/>
                      <w:color w:val="auto"/>
                      <w:szCs w:val="21"/>
                    </w:rPr>
                    <w:t>千川1米3刨砂机</w:t>
                  </w:r>
                </w:p>
              </w:tc>
              <w:tc>
                <w:tcPr>
                  <w:tcW w:w="1494" w:type="dxa"/>
                  <w:vMerge w:val="restart"/>
                  <w:vAlign w:val="center"/>
                </w:tcPr>
                <w:p w14:paraId="54926E44">
                  <w:pPr>
                    <w:adjustRightInd w:val="0"/>
                    <w:snapToGrid w:val="0"/>
                    <w:jc w:val="center"/>
                    <w:rPr>
                      <w:rFonts w:hint="eastAsia" w:eastAsia="宋体"/>
                      <w:bCs/>
                      <w:color w:val="auto"/>
                      <w:szCs w:val="21"/>
                      <w:lang w:val="en-US" w:eastAsia="zh-CN"/>
                    </w:rPr>
                  </w:pPr>
                  <w:r>
                    <w:rPr>
                      <w:rFonts w:hint="eastAsia"/>
                      <w:bCs/>
                      <w:color w:val="auto"/>
                      <w:szCs w:val="21"/>
                      <w:lang w:val="en-US" w:eastAsia="zh-CN"/>
                    </w:rPr>
                    <w:t>/</w:t>
                  </w:r>
                </w:p>
              </w:tc>
              <w:tc>
                <w:tcPr>
                  <w:tcW w:w="1081" w:type="dxa"/>
                  <w:vMerge w:val="restart"/>
                  <w:vAlign w:val="center"/>
                </w:tcPr>
                <w:p w14:paraId="2DE9543C">
                  <w:pPr>
                    <w:widowControl/>
                    <w:jc w:val="center"/>
                    <w:textAlignment w:val="center"/>
                    <w:rPr>
                      <w:bCs/>
                      <w:color w:val="auto"/>
                      <w:szCs w:val="21"/>
                    </w:rPr>
                  </w:pPr>
                  <w:r>
                    <w:rPr>
                      <w:color w:val="auto"/>
                      <w:kern w:val="0"/>
                      <w:szCs w:val="21"/>
                      <w:lang w:bidi="ar"/>
                    </w:rPr>
                    <w:t>75</w:t>
                  </w:r>
                </w:p>
              </w:tc>
              <w:tc>
                <w:tcPr>
                  <w:tcW w:w="768" w:type="dxa"/>
                  <w:vMerge w:val="continue"/>
                  <w:vAlign w:val="center"/>
                </w:tcPr>
                <w:p w14:paraId="1C5F2029">
                  <w:pPr>
                    <w:snapToGrid w:val="0"/>
                    <w:jc w:val="center"/>
                    <w:rPr>
                      <w:b/>
                      <w:bCs/>
                      <w:color w:val="auto"/>
                      <w:szCs w:val="21"/>
                    </w:rPr>
                  </w:pPr>
                </w:p>
              </w:tc>
              <w:tc>
                <w:tcPr>
                  <w:tcW w:w="617" w:type="dxa"/>
                  <w:vMerge w:val="restart"/>
                  <w:vAlign w:val="center"/>
                </w:tcPr>
                <w:p w14:paraId="334FB150">
                  <w:pPr>
                    <w:widowControl/>
                    <w:jc w:val="center"/>
                    <w:textAlignment w:val="center"/>
                    <w:rPr>
                      <w:color w:val="auto"/>
                      <w:szCs w:val="21"/>
                    </w:rPr>
                  </w:pPr>
                  <w:r>
                    <w:rPr>
                      <w:color w:val="auto"/>
                      <w:kern w:val="0"/>
                      <w:szCs w:val="21"/>
                      <w:lang w:bidi="ar"/>
                    </w:rPr>
                    <w:t>10</w:t>
                  </w:r>
                </w:p>
              </w:tc>
              <w:tc>
                <w:tcPr>
                  <w:tcW w:w="617" w:type="dxa"/>
                  <w:vMerge w:val="restart"/>
                  <w:vAlign w:val="center"/>
                </w:tcPr>
                <w:p w14:paraId="7CC3D293">
                  <w:pPr>
                    <w:widowControl/>
                    <w:jc w:val="center"/>
                    <w:textAlignment w:val="center"/>
                    <w:rPr>
                      <w:color w:val="auto"/>
                      <w:szCs w:val="21"/>
                    </w:rPr>
                  </w:pPr>
                  <w:r>
                    <w:rPr>
                      <w:color w:val="auto"/>
                      <w:kern w:val="0"/>
                      <w:szCs w:val="21"/>
                      <w:lang w:bidi="ar"/>
                    </w:rPr>
                    <w:t>73</w:t>
                  </w:r>
                </w:p>
              </w:tc>
              <w:tc>
                <w:tcPr>
                  <w:tcW w:w="623" w:type="dxa"/>
                  <w:vMerge w:val="restart"/>
                  <w:vAlign w:val="center"/>
                </w:tcPr>
                <w:p w14:paraId="128AA3C1">
                  <w:pPr>
                    <w:widowControl/>
                    <w:jc w:val="center"/>
                    <w:textAlignment w:val="center"/>
                    <w:rPr>
                      <w:color w:val="auto"/>
                      <w:szCs w:val="21"/>
                    </w:rPr>
                  </w:pPr>
                  <w:r>
                    <w:rPr>
                      <w:color w:val="auto"/>
                      <w:kern w:val="0"/>
                      <w:szCs w:val="21"/>
                      <w:lang w:bidi="ar"/>
                    </w:rPr>
                    <w:t>1.2</w:t>
                  </w:r>
                </w:p>
              </w:tc>
              <w:tc>
                <w:tcPr>
                  <w:tcW w:w="1171" w:type="dxa"/>
                  <w:vAlign w:val="center"/>
                </w:tcPr>
                <w:p w14:paraId="4FD8B134">
                  <w:pPr>
                    <w:snapToGrid w:val="0"/>
                    <w:jc w:val="center"/>
                    <w:rPr>
                      <w:color w:val="auto"/>
                      <w:szCs w:val="21"/>
                    </w:rPr>
                  </w:pPr>
                  <w:r>
                    <w:rPr>
                      <w:rFonts w:hint="eastAsia"/>
                      <w:color w:val="auto"/>
                      <w:szCs w:val="21"/>
                    </w:rPr>
                    <w:t>北25</w:t>
                  </w:r>
                </w:p>
              </w:tc>
              <w:tc>
                <w:tcPr>
                  <w:tcW w:w="782" w:type="dxa"/>
                  <w:vAlign w:val="center"/>
                </w:tcPr>
                <w:p w14:paraId="37D9D584">
                  <w:pPr>
                    <w:widowControl/>
                    <w:jc w:val="center"/>
                    <w:textAlignment w:val="center"/>
                    <w:rPr>
                      <w:color w:val="auto"/>
                      <w:szCs w:val="21"/>
                    </w:rPr>
                  </w:pPr>
                  <w:r>
                    <w:rPr>
                      <w:color w:val="auto"/>
                      <w:kern w:val="0"/>
                      <w:szCs w:val="21"/>
                      <w:lang w:bidi="ar"/>
                    </w:rPr>
                    <w:t>47.0</w:t>
                  </w:r>
                </w:p>
              </w:tc>
              <w:tc>
                <w:tcPr>
                  <w:tcW w:w="741" w:type="dxa"/>
                  <w:vMerge w:val="continue"/>
                  <w:vAlign w:val="center"/>
                </w:tcPr>
                <w:p w14:paraId="26950186">
                  <w:pPr>
                    <w:snapToGrid w:val="0"/>
                    <w:jc w:val="center"/>
                    <w:rPr>
                      <w:color w:val="auto"/>
                      <w:szCs w:val="21"/>
                    </w:rPr>
                  </w:pPr>
                </w:p>
              </w:tc>
              <w:tc>
                <w:tcPr>
                  <w:tcW w:w="893" w:type="dxa"/>
                  <w:vMerge w:val="continue"/>
                  <w:vAlign w:val="center"/>
                </w:tcPr>
                <w:p w14:paraId="5410C74A">
                  <w:pPr>
                    <w:snapToGrid w:val="0"/>
                    <w:jc w:val="center"/>
                    <w:rPr>
                      <w:color w:val="auto"/>
                      <w:szCs w:val="21"/>
                    </w:rPr>
                  </w:pPr>
                </w:p>
              </w:tc>
              <w:tc>
                <w:tcPr>
                  <w:tcW w:w="693" w:type="dxa"/>
                  <w:vAlign w:val="center"/>
                </w:tcPr>
                <w:p w14:paraId="58436A1B">
                  <w:pPr>
                    <w:widowControl/>
                    <w:jc w:val="center"/>
                    <w:textAlignment w:val="center"/>
                    <w:rPr>
                      <w:color w:val="auto"/>
                      <w:kern w:val="0"/>
                      <w:szCs w:val="21"/>
                      <w:lang w:bidi="ar"/>
                    </w:rPr>
                  </w:pPr>
                  <w:r>
                    <w:rPr>
                      <w:color w:val="auto"/>
                      <w:kern w:val="0"/>
                      <w:szCs w:val="21"/>
                      <w:lang w:bidi="ar"/>
                    </w:rPr>
                    <w:t>27.0</w:t>
                  </w:r>
                </w:p>
              </w:tc>
              <w:tc>
                <w:tcPr>
                  <w:tcW w:w="1260" w:type="dxa"/>
                  <w:vMerge w:val="restart"/>
                  <w:vAlign w:val="center"/>
                </w:tcPr>
                <w:p w14:paraId="64FE723B">
                  <w:pPr>
                    <w:snapToGrid w:val="0"/>
                    <w:jc w:val="center"/>
                    <w:rPr>
                      <w:color w:val="auto"/>
                      <w:szCs w:val="21"/>
                    </w:rPr>
                  </w:pPr>
                  <w:r>
                    <w:rPr>
                      <w:rFonts w:hint="eastAsia"/>
                      <w:color w:val="auto"/>
                      <w:szCs w:val="21"/>
                    </w:rPr>
                    <w:t>1</w:t>
                  </w:r>
                </w:p>
              </w:tc>
            </w:tr>
            <w:tr w14:paraId="44E51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84" w:type="dxa"/>
                  <w:vMerge w:val="continue"/>
                  <w:vAlign w:val="center"/>
                </w:tcPr>
                <w:p w14:paraId="6CF936B0">
                  <w:pPr>
                    <w:snapToGrid w:val="0"/>
                    <w:jc w:val="center"/>
                    <w:rPr>
                      <w:color w:val="auto"/>
                      <w:szCs w:val="21"/>
                    </w:rPr>
                  </w:pPr>
                </w:p>
              </w:tc>
              <w:tc>
                <w:tcPr>
                  <w:tcW w:w="786" w:type="dxa"/>
                  <w:vMerge w:val="continue"/>
                  <w:vAlign w:val="center"/>
                </w:tcPr>
                <w:p w14:paraId="6E16B394">
                  <w:pPr>
                    <w:snapToGrid w:val="0"/>
                    <w:jc w:val="center"/>
                    <w:rPr>
                      <w:color w:val="auto"/>
                    </w:rPr>
                  </w:pPr>
                </w:p>
              </w:tc>
              <w:tc>
                <w:tcPr>
                  <w:tcW w:w="1383" w:type="dxa"/>
                  <w:vMerge w:val="continue"/>
                  <w:vAlign w:val="top"/>
                </w:tcPr>
                <w:p w14:paraId="6147390B">
                  <w:pPr>
                    <w:snapToGrid w:val="0"/>
                    <w:jc w:val="center"/>
                    <w:rPr>
                      <w:color w:val="auto"/>
                    </w:rPr>
                  </w:pPr>
                </w:p>
              </w:tc>
              <w:tc>
                <w:tcPr>
                  <w:tcW w:w="1494" w:type="dxa"/>
                  <w:vMerge w:val="continue"/>
                  <w:vAlign w:val="center"/>
                </w:tcPr>
                <w:p w14:paraId="742D4435">
                  <w:pPr>
                    <w:snapToGrid w:val="0"/>
                    <w:jc w:val="center"/>
                    <w:rPr>
                      <w:color w:val="auto"/>
                    </w:rPr>
                  </w:pPr>
                </w:p>
              </w:tc>
              <w:tc>
                <w:tcPr>
                  <w:tcW w:w="1081" w:type="dxa"/>
                  <w:vMerge w:val="continue"/>
                  <w:vAlign w:val="center"/>
                </w:tcPr>
                <w:p w14:paraId="29B4D2F5">
                  <w:pPr>
                    <w:snapToGrid w:val="0"/>
                    <w:jc w:val="center"/>
                    <w:rPr>
                      <w:color w:val="auto"/>
                      <w:szCs w:val="21"/>
                    </w:rPr>
                  </w:pPr>
                </w:p>
              </w:tc>
              <w:tc>
                <w:tcPr>
                  <w:tcW w:w="768" w:type="dxa"/>
                  <w:vMerge w:val="continue"/>
                  <w:vAlign w:val="center"/>
                </w:tcPr>
                <w:p w14:paraId="7FB9C8C8">
                  <w:pPr>
                    <w:snapToGrid w:val="0"/>
                    <w:jc w:val="center"/>
                    <w:rPr>
                      <w:color w:val="auto"/>
                    </w:rPr>
                  </w:pPr>
                </w:p>
              </w:tc>
              <w:tc>
                <w:tcPr>
                  <w:tcW w:w="617" w:type="dxa"/>
                  <w:vMerge w:val="continue"/>
                  <w:vAlign w:val="center"/>
                </w:tcPr>
                <w:p w14:paraId="78C0FB8D">
                  <w:pPr>
                    <w:snapToGrid w:val="0"/>
                    <w:jc w:val="center"/>
                    <w:rPr>
                      <w:color w:val="auto"/>
                      <w:szCs w:val="21"/>
                    </w:rPr>
                  </w:pPr>
                </w:p>
              </w:tc>
              <w:tc>
                <w:tcPr>
                  <w:tcW w:w="617" w:type="dxa"/>
                  <w:vMerge w:val="continue"/>
                  <w:vAlign w:val="center"/>
                </w:tcPr>
                <w:p w14:paraId="173F4C34">
                  <w:pPr>
                    <w:snapToGrid w:val="0"/>
                    <w:jc w:val="center"/>
                    <w:rPr>
                      <w:color w:val="auto"/>
                      <w:szCs w:val="21"/>
                    </w:rPr>
                  </w:pPr>
                </w:p>
              </w:tc>
              <w:tc>
                <w:tcPr>
                  <w:tcW w:w="623" w:type="dxa"/>
                  <w:vMerge w:val="continue"/>
                  <w:vAlign w:val="center"/>
                </w:tcPr>
                <w:p w14:paraId="08CDC877">
                  <w:pPr>
                    <w:snapToGrid w:val="0"/>
                    <w:jc w:val="center"/>
                    <w:rPr>
                      <w:color w:val="auto"/>
                      <w:szCs w:val="21"/>
                    </w:rPr>
                  </w:pPr>
                </w:p>
              </w:tc>
              <w:tc>
                <w:tcPr>
                  <w:tcW w:w="1171" w:type="dxa"/>
                  <w:vAlign w:val="center"/>
                </w:tcPr>
                <w:p w14:paraId="02A8E327">
                  <w:pPr>
                    <w:snapToGrid w:val="0"/>
                    <w:jc w:val="center"/>
                    <w:rPr>
                      <w:color w:val="auto"/>
                      <w:szCs w:val="21"/>
                    </w:rPr>
                  </w:pPr>
                  <w:r>
                    <w:rPr>
                      <w:rFonts w:hint="eastAsia"/>
                      <w:color w:val="auto"/>
                      <w:szCs w:val="21"/>
                    </w:rPr>
                    <w:t>南75</w:t>
                  </w:r>
                </w:p>
              </w:tc>
              <w:tc>
                <w:tcPr>
                  <w:tcW w:w="782" w:type="dxa"/>
                  <w:vAlign w:val="center"/>
                </w:tcPr>
                <w:p w14:paraId="057F97EC">
                  <w:pPr>
                    <w:widowControl/>
                    <w:jc w:val="center"/>
                    <w:textAlignment w:val="center"/>
                    <w:rPr>
                      <w:color w:val="auto"/>
                      <w:szCs w:val="21"/>
                    </w:rPr>
                  </w:pPr>
                  <w:r>
                    <w:rPr>
                      <w:color w:val="auto"/>
                      <w:kern w:val="0"/>
                      <w:szCs w:val="21"/>
                      <w:lang w:bidi="ar"/>
                    </w:rPr>
                    <w:t>37.5</w:t>
                  </w:r>
                </w:p>
              </w:tc>
              <w:tc>
                <w:tcPr>
                  <w:tcW w:w="741" w:type="dxa"/>
                  <w:vMerge w:val="continue"/>
                  <w:vAlign w:val="center"/>
                </w:tcPr>
                <w:p w14:paraId="5D31F1AF">
                  <w:pPr>
                    <w:snapToGrid w:val="0"/>
                    <w:jc w:val="center"/>
                    <w:rPr>
                      <w:rFonts w:hint="eastAsia"/>
                      <w:color w:val="auto"/>
                      <w:szCs w:val="21"/>
                    </w:rPr>
                  </w:pPr>
                </w:p>
              </w:tc>
              <w:tc>
                <w:tcPr>
                  <w:tcW w:w="893" w:type="dxa"/>
                  <w:vMerge w:val="continue"/>
                  <w:vAlign w:val="center"/>
                </w:tcPr>
                <w:p w14:paraId="54EAD290">
                  <w:pPr>
                    <w:snapToGrid w:val="0"/>
                    <w:jc w:val="center"/>
                    <w:rPr>
                      <w:rFonts w:hint="eastAsia"/>
                      <w:color w:val="auto"/>
                      <w:szCs w:val="21"/>
                    </w:rPr>
                  </w:pPr>
                </w:p>
              </w:tc>
              <w:tc>
                <w:tcPr>
                  <w:tcW w:w="693" w:type="dxa"/>
                  <w:vAlign w:val="center"/>
                </w:tcPr>
                <w:p w14:paraId="1943911D">
                  <w:pPr>
                    <w:widowControl/>
                    <w:jc w:val="center"/>
                    <w:textAlignment w:val="center"/>
                    <w:rPr>
                      <w:color w:val="auto"/>
                      <w:szCs w:val="21"/>
                    </w:rPr>
                  </w:pPr>
                  <w:r>
                    <w:rPr>
                      <w:color w:val="auto"/>
                      <w:kern w:val="0"/>
                      <w:szCs w:val="21"/>
                      <w:lang w:bidi="ar"/>
                    </w:rPr>
                    <w:t>17.5</w:t>
                  </w:r>
                </w:p>
              </w:tc>
              <w:tc>
                <w:tcPr>
                  <w:tcW w:w="1260" w:type="dxa"/>
                  <w:vMerge w:val="continue"/>
                  <w:vAlign w:val="center"/>
                </w:tcPr>
                <w:p w14:paraId="2454A02A">
                  <w:pPr>
                    <w:snapToGrid w:val="0"/>
                    <w:jc w:val="center"/>
                    <w:rPr>
                      <w:rFonts w:hint="eastAsia"/>
                      <w:color w:val="auto"/>
                      <w:szCs w:val="21"/>
                    </w:rPr>
                  </w:pPr>
                </w:p>
              </w:tc>
            </w:tr>
            <w:tr w14:paraId="730F3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84" w:type="dxa"/>
                  <w:vMerge w:val="continue"/>
                  <w:vAlign w:val="center"/>
                </w:tcPr>
                <w:p w14:paraId="63323B4D">
                  <w:pPr>
                    <w:snapToGrid w:val="0"/>
                    <w:jc w:val="center"/>
                    <w:rPr>
                      <w:color w:val="auto"/>
                      <w:szCs w:val="21"/>
                    </w:rPr>
                  </w:pPr>
                </w:p>
              </w:tc>
              <w:tc>
                <w:tcPr>
                  <w:tcW w:w="786" w:type="dxa"/>
                  <w:vMerge w:val="continue"/>
                  <w:vAlign w:val="center"/>
                </w:tcPr>
                <w:p w14:paraId="4C9C0341">
                  <w:pPr>
                    <w:snapToGrid w:val="0"/>
                    <w:jc w:val="center"/>
                    <w:rPr>
                      <w:rFonts w:hint="eastAsia"/>
                      <w:color w:val="auto"/>
                      <w:szCs w:val="21"/>
                    </w:rPr>
                  </w:pPr>
                </w:p>
              </w:tc>
              <w:tc>
                <w:tcPr>
                  <w:tcW w:w="1383" w:type="dxa"/>
                  <w:vMerge w:val="continue"/>
                  <w:vAlign w:val="top"/>
                </w:tcPr>
                <w:p w14:paraId="3679A203">
                  <w:pPr>
                    <w:snapToGrid w:val="0"/>
                    <w:jc w:val="center"/>
                    <w:rPr>
                      <w:rFonts w:hint="eastAsia"/>
                      <w:color w:val="auto"/>
                      <w:szCs w:val="21"/>
                    </w:rPr>
                  </w:pPr>
                </w:p>
              </w:tc>
              <w:tc>
                <w:tcPr>
                  <w:tcW w:w="1494" w:type="dxa"/>
                  <w:vMerge w:val="continue"/>
                  <w:vAlign w:val="center"/>
                </w:tcPr>
                <w:p w14:paraId="51FE1AE1">
                  <w:pPr>
                    <w:snapToGrid w:val="0"/>
                    <w:jc w:val="center"/>
                    <w:rPr>
                      <w:rFonts w:hint="eastAsia"/>
                      <w:color w:val="auto"/>
                      <w:szCs w:val="21"/>
                    </w:rPr>
                  </w:pPr>
                </w:p>
              </w:tc>
              <w:tc>
                <w:tcPr>
                  <w:tcW w:w="1081" w:type="dxa"/>
                  <w:vMerge w:val="continue"/>
                  <w:vAlign w:val="center"/>
                </w:tcPr>
                <w:p w14:paraId="1EBDE852">
                  <w:pPr>
                    <w:snapToGrid w:val="0"/>
                    <w:jc w:val="center"/>
                    <w:rPr>
                      <w:color w:val="auto"/>
                      <w:szCs w:val="21"/>
                    </w:rPr>
                  </w:pPr>
                </w:p>
              </w:tc>
              <w:tc>
                <w:tcPr>
                  <w:tcW w:w="768" w:type="dxa"/>
                  <w:vMerge w:val="continue"/>
                  <w:vAlign w:val="center"/>
                </w:tcPr>
                <w:p w14:paraId="4DDE29FC">
                  <w:pPr>
                    <w:snapToGrid w:val="0"/>
                    <w:jc w:val="center"/>
                    <w:rPr>
                      <w:rFonts w:hint="eastAsia"/>
                      <w:color w:val="auto"/>
                      <w:szCs w:val="21"/>
                    </w:rPr>
                  </w:pPr>
                </w:p>
              </w:tc>
              <w:tc>
                <w:tcPr>
                  <w:tcW w:w="617" w:type="dxa"/>
                  <w:vMerge w:val="continue"/>
                  <w:vAlign w:val="center"/>
                </w:tcPr>
                <w:p w14:paraId="12446658">
                  <w:pPr>
                    <w:snapToGrid w:val="0"/>
                    <w:jc w:val="center"/>
                    <w:rPr>
                      <w:color w:val="auto"/>
                      <w:szCs w:val="21"/>
                    </w:rPr>
                  </w:pPr>
                </w:p>
              </w:tc>
              <w:tc>
                <w:tcPr>
                  <w:tcW w:w="617" w:type="dxa"/>
                  <w:vMerge w:val="continue"/>
                  <w:vAlign w:val="center"/>
                </w:tcPr>
                <w:p w14:paraId="09D753A8">
                  <w:pPr>
                    <w:snapToGrid w:val="0"/>
                    <w:jc w:val="center"/>
                    <w:rPr>
                      <w:color w:val="auto"/>
                      <w:szCs w:val="21"/>
                    </w:rPr>
                  </w:pPr>
                </w:p>
              </w:tc>
              <w:tc>
                <w:tcPr>
                  <w:tcW w:w="623" w:type="dxa"/>
                  <w:vMerge w:val="continue"/>
                  <w:vAlign w:val="center"/>
                </w:tcPr>
                <w:p w14:paraId="63F7FBF1">
                  <w:pPr>
                    <w:snapToGrid w:val="0"/>
                    <w:jc w:val="center"/>
                    <w:rPr>
                      <w:color w:val="auto"/>
                      <w:szCs w:val="21"/>
                    </w:rPr>
                  </w:pPr>
                </w:p>
              </w:tc>
              <w:tc>
                <w:tcPr>
                  <w:tcW w:w="1171" w:type="dxa"/>
                  <w:vAlign w:val="center"/>
                </w:tcPr>
                <w:p w14:paraId="1AF2268A">
                  <w:pPr>
                    <w:snapToGrid w:val="0"/>
                    <w:jc w:val="center"/>
                    <w:rPr>
                      <w:color w:val="auto"/>
                      <w:szCs w:val="21"/>
                    </w:rPr>
                  </w:pPr>
                  <w:r>
                    <w:rPr>
                      <w:rFonts w:hint="eastAsia"/>
                      <w:color w:val="auto"/>
                      <w:szCs w:val="21"/>
                    </w:rPr>
                    <w:t>东34</w:t>
                  </w:r>
                </w:p>
              </w:tc>
              <w:tc>
                <w:tcPr>
                  <w:tcW w:w="782" w:type="dxa"/>
                  <w:vAlign w:val="center"/>
                </w:tcPr>
                <w:p w14:paraId="68F44B8D">
                  <w:pPr>
                    <w:widowControl/>
                    <w:jc w:val="center"/>
                    <w:textAlignment w:val="center"/>
                    <w:rPr>
                      <w:color w:val="auto"/>
                      <w:szCs w:val="21"/>
                    </w:rPr>
                  </w:pPr>
                  <w:r>
                    <w:rPr>
                      <w:color w:val="auto"/>
                      <w:kern w:val="0"/>
                      <w:szCs w:val="21"/>
                      <w:lang w:bidi="ar"/>
                    </w:rPr>
                    <w:t>44.4</w:t>
                  </w:r>
                </w:p>
              </w:tc>
              <w:tc>
                <w:tcPr>
                  <w:tcW w:w="741" w:type="dxa"/>
                  <w:vMerge w:val="continue"/>
                  <w:vAlign w:val="center"/>
                </w:tcPr>
                <w:p w14:paraId="5A9C112B">
                  <w:pPr>
                    <w:snapToGrid w:val="0"/>
                    <w:jc w:val="center"/>
                    <w:rPr>
                      <w:rFonts w:hint="eastAsia"/>
                      <w:color w:val="auto"/>
                      <w:szCs w:val="21"/>
                    </w:rPr>
                  </w:pPr>
                </w:p>
              </w:tc>
              <w:tc>
                <w:tcPr>
                  <w:tcW w:w="893" w:type="dxa"/>
                  <w:vMerge w:val="continue"/>
                  <w:vAlign w:val="center"/>
                </w:tcPr>
                <w:p w14:paraId="4856FB5D">
                  <w:pPr>
                    <w:snapToGrid w:val="0"/>
                    <w:jc w:val="center"/>
                    <w:rPr>
                      <w:rFonts w:hint="eastAsia"/>
                      <w:color w:val="auto"/>
                      <w:szCs w:val="21"/>
                    </w:rPr>
                  </w:pPr>
                </w:p>
              </w:tc>
              <w:tc>
                <w:tcPr>
                  <w:tcW w:w="693" w:type="dxa"/>
                  <w:vAlign w:val="center"/>
                </w:tcPr>
                <w:p w14:paraId="3A749139">
                  <w:pPr>
                    <w:widowControl/>
                    <w:jc w:val="center"/>
                    <w:textAlignment w:val="center"/>
                    <w:rPr>
                      <w:color w:val="auto"/>
                      <w:szCs w:val="21"/>
                    </w:rPr>
                  </w:pPr>
                  <w:r>
                    <w:rPr>
                      <w:color w:val="auto"/>
                      <w:kern w:val="0"/>
                      <w:szCs w:val="21"/>
                      <w:lang w:bidi="ar"/>
                    </w:rPr>
                    <w:t>24.4</w:t>
                  </w:r>
                </w:p>
              </w:tc>
              <w:tc>
                <w:tcPr>
                  <w:tcW w:w="1260" w:type="dxa"/>
                  <w:vMerge w:val="continue"/>
                  <w:vAlign w:val="center"/>
                </w:tcPr>
                <w:p w14:paraId="4599C0F8">
                  <w:pPr>
                    <w:snapToGrid w:val="0"/>
                    <w:jc w:val="center"/>
                    <w:rPr>
                      <w:rFonts w:hint="eastAsia"/>
                      <w:color w:val="auto"/>
                      <w:szCs w:val="21"/>
                    </w:rPr>
                  </w:pPr>
                </w:p>
              </w:tc>
            </w:tr>
            <w:tr w14:paraId="41000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84" w:type="dxa"/>
                  <w:vMerge w:val="continue"/>
                  <w:vAlign w:val="center"/>
                </w:tcPr>
                <w:p w14:paraId="6B90F7FD">
                  <w:pPr>
                    <w:snapToGrid w:val="0"/>
                    <w:jc w:val="center"/>
                    <w:rPr>
                      <w:color w:val="auto"/>
                      <w:szCs w:val="21"/>
                    </w:rPr>
                  </w:pPr>
                </w:p>
              </w:tc>
              <w:tc>
                <w:tcPr>
                  <w:tcW w:w="786" w:type="dxa"/>
                  <w:vMerge w:val="continue"/>
                  <w:vAlign w:val="center"/>
                </w:tcPr>
                <w:p w14:paraId="06AC5CE2">
                  <w:pPr>
                    <w:snapToGrid w:val="0"/>
                    <w:jc w:val="center"/>
                    <w:rPr>
                      <w:rFonts w:hint="eastAsia"/>
                      <w:color w:val="auto"/>
                      <w:szCs w:val="21"/>
                    </w:rPr>
                  </w:pPr>
                </w:p>
              </w:tc>
              <w:tc>
                <w:tcPr>
                  <w:tcW w:w="1383" w:type="dxa"/>
                  <w:vMerge w:val="continue"/>
                  <w:vAlign w:val="top"/>
                </w:tcPr>
                <w:p w14:paraId="7CCF5AAA">
                  <w:pPr>
                    <w:snapToGrid w:val="0"/>
                    <w:jc w:val="center"/>
                    <w:rPr>
                      <w:rFonts w:hint="eastAsia"/>
                      <w:color w:val="auto"/>
                      <w:szCs w:val="21"/>
                    </w:rPr>
                  </w:pPr>
                </w:p>
              </w:tc>
              <w:tc>
                <w:tcPr>
                  <w:tcW w:w="1494" w:type="dxa"/>
                  <w:vMerge w:val="continue"/>
                  <w:vAlign w:val="center"/>
                </w:tcPr>
                <w:p w14:paraId="26119374">
                  <w:pPr>
                    <w:snapToGrid w:val="0"/>
                    <w:jc w:val="center"/>
                    <w:rPr>
                      <w:rFonts w:hint="eastAsia"/>
                      <w:color w:val="auto"/>
                      <w:szCs w:val="21"/>
                    </w:rPr>
                  </w:pPr>
                </w:p>
              </w:tc>
              <w:tc>
                <w:tcPr>
                  <w:tcW w:w="1081" w:type="dxa"/>
                  <w:vMerge w:val="continue"/>
                  <w:vAlign w:val="center"/>
                </w:tcPr>
                <w:p w14:paraId="7DB3D581">
                  <w:pPr>
                    <w:snapToGrid w:val="0"/>
                    <w:jc w:val="center"/>
                    <w:rPr>
                      <w:color w:val="auto"/>
                      <w:szCs w:val="21"/>
                    </w:rPr>
                  </w:pPr>
                </w:p>
              </w:tc>
              <w:tc>
                <w:tcPr>
                  <w:tcW w:w="768" w:type="dxa"/>
                  <w:vMerge w:val="continue"/>
                  <w:vAlign w:val="center"/>
                </w:tcPr>
                <w:p w14:paraId="61BC195A">
                  <w:pPr>
                    <w:snapToGrid w:val="0"/>
                    <w:jc w:val="center"/>
                    <w:rPr>
                      <w:rFonts w:hint="eastAsia"/>
                      <w:color w:val="auto"/>
                      <w:szCs w:val="21"/>
                    </w:rPr>
                  </w:pPr>
                </w:p>
              </w:tc>
              <w:tc>
                <w:tcPr>
                  <w:tcW w:w="617" w:type="dxa"/>
                  <w:vMerge w:val="continue"/>
                  <w:vAlign w:val="center"/>
                </w:tcPr>
                <w:p w14:paraId="3C7B5B60">
                  <w:pPr>
                    <w:snapToGrid w:val="0"/>
                    <w:jc w:val="center"/>
                    <w:rPr>
                      <w:color w:val="auto"/>
                      <w:szCs w:val="21"/>
                    </w:rPr>
                  </w:pPr>
                </w:p>
              </w:tc>
              <w:tc>
                <w:tcPr>
                  <w:tcW w:w="617" w:type="dxa"/>
                  <w:vMerge w:val="continue"/>
                  <w:vAlign w:val="center"/>
                </w:tcPr>
                <w:p w14:paraId="0CEC45A5">
                  <w:pPr>
                    <w:snapToGrid w:val="0"/>
                    <w:jc w:val="center"/>
                    <w:rPr>
                      <w:color w:val="auto"/>
                      <w:szCs w:val="21"/>
                    </w:rPr>
                  </w:pPr>
                </w:p>
              </w:tc>
              <w:tc>
                <w:tcPr>
                  <w:tcW w:w="623" w:type="dxa"/>
                  <w:vMerge w:val="continue"/>
                  <w:vAlign w:val="center"/>
                </w:tcPr>
                <w:p w14:paraId="7005762D">
                  <w:pPr>
                    <w:snapToGrid w:val="0"/>
                    <w:jc w:val="center"/>
                    <w:rPr>
                      <w:color w:val="auto"/>
                      <w:szCs w:val="21"/>
                    </w:rPr>
                  </w:pPr>
                </w:p>
              </w:tc>
              <w:tc>
                <w:tcPr>
                  <w:tcW w:w="1171" w:type="dxa"/>
                  <w:vAlign w:val="center"/>
                </w:tcPr>
                <w:p w14:paraId="3B383BE9">
                  <w:pPr>
                    <w:snapToGrid w:val="0"/>
                    <w:jc w:val="center"/>
                    <w:rPr>
                      <w:color w:val="auto"/>
                      <w:szCs w:val="21"/>
                    </w:rPr>
                  </w:pPr>
                  <w:r>
                    <w:rPr>
                      <w:rFonts w:hint="eastAsia"/>
                      <w:color w:val="auto"/>
                      <w:szCs w:val="21"/>
                    </w:rPr>
                    <w:t>西26</w:t>
                  </w:r>
                </w:p>
              </w:tc>
              <w:tc>
                <w:tcPr>
                  <w:tcW w:w="782" w:type="dxa"/>
                  <w:vAlign w:val="center"/>
                </w:tcPr>
                <w:p w14:paraId="43C8828B">
                  <w:pPr>
                    <w:widowControl/>
                    <w:jc w:val="center"/>
                    <w:textAlignment w:val="center"/>
                    <w:rPr>
                      <w:color w:val="auto"/>
                      <w:szCs w:val="21"/>
                    </w:rPr>
                  </w:pPr>
                  <w:r>
                    <w:rPr>
                      <w:color w:val="auto"/>
                      <w:kern w:val="0"/>
                      <w:szCs w:val="21"/>
                      <w:lang w:bidi="ar"/>
                    </w:rPr>
                    <w:t>46.7</w:t>
                  </w:r>
                </w:p>
              </w:tc>
              <w:tc>
                <w:tcPr>
                  <w:tcW w:w="741" w:type="dxa"/>
                  <w:vMerge w:val="continue"/>
                  <w:vAlign w:val="center"/>
                </w:tcPr>
                <w:p w14:paraId="414B0E57">
                  <w:pPr>
                    <w:snapToGrid w:val="0"/>
                    <w:jc w:val="center"/>
                    <w:rPr>
                      <w:rFonts w:hint="eastAsia"/>
                      <w:color w:val="auto"/>
                      <w:szCs w:val="21"/>
                    </w:rPr>
                  </w:pPr>
                </w:p>
              </w:tc>
              <w:tc>
                <w:tcPr>
                  <w:tcW w:w="893" w:type="dxa"/>
                  <w:vMerge w:val="continue"/>
                  <w:vAlign w:val="center"/>
                </w:tcPr>
                <w:p w14:paraId="4B93DD98">
                  <w:pPr>
                    <w:snapToGrid w:val="0"/>
                    <w:jc w:val="center"/>
                    <w:rPr>
                      <w:rFonts w:hint="eastAsia"/>
                      <w:color w:val="auto"/>
                      <w:szCs w:val="21"/>
                    </w:rPr>
                  </w:pPr>
                </w:p>
              </w:tc>
              <w:tc>
                <w:tcPr>
                  <w:tcW w:w="693" w:type="dxa"/>
                  <w:vAlign w:val="center"/>
                </w:tcPr>
                <w:p w14:paraId="613F8A2D">
                  <w:pPr>
                    <w:widowControl/>
                    <w:jc w:val="center"/>
                    <w:textAlignment w:val="center"/>
                    <w:rPr>
                      <w:color w:val="auto"/>
                      <w:szCs w:val="21"/>
                    </w:rPr>
                  </w:pPr>
                  <w:r>
                    <w:rPr>
                      <w:color w:val="auto"/>
                      <w:kern w:val="0"/>
                      <w:szCs w:val="21"/>
                      <w:lang w:bidi="ar"/>
                    </w:rPr>
                    <w:t>26.7</w:t>
                  </w:r>
                </w:p>
              </w:tc>
              <w:tc>
                <w:tcPr>
                  <w:tcW w:w="1260" w:type="dxa"/>
                  <w:vMerge w:val="continue"/>
                  <w:vAlign w:val="center"/>
                </w:tcPr>
                <w:p w14:paraId="341C777C">
                  <w:pPr>
                    <w:snapToGrid w:val="0"/>
                    <w:jc w:val="center"/>
                    <w:rPr>
                      <w:rFonts w:hint="eastAsia"/>
                      <w:color w:val="auto"/>
                      <w:szCs w:val="21"/>
                    </w:rPr>
                  </w:pPr>
                </w:p>
              </w:tc>
            </w:tr>
            <w:tr w14:paraId="56496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84" w:type="dxa"/>
                  <w:vMerge w:val="restart"/>
                  <w:vAlign w:val="center"/>
                </w:tcPr>
                <w:p w14:paraId="2F2FB999">
                  <w:pPr>
                    <w:widowControl/>
                    <w:jc w:val="center"/>
                    <w:textAlignment w:val="center"/>
                    <w:rPr>
                      <w:color w:val="auto"/>
                      <w:szCs w:val="21"/>
                    </w:rPr>
                  </w:pPr>
                  <w:r>
                    <w:rPr>
                      <w:color w:val="auto"/>
                      <w:kern w:val="0"/>
                      <w:szCs w:val="21"/>
                      <w:lang w:bidi="ar"/>
                    </w:rPr>
                    <w:t>20</w:t>
                  </w:r>
                </w:p>
              </w:tc>
              <w:tc>
                <w:tcPr>
                  <w:tcW w:w="786" w:type="dxa"/>
                  <w:vMerge w:val="continue"/>
                  <w:vAlign w:val="center"/>
                </w:tcPr>
                <w:p w14:paraId="6075DACE">
                  <w:pPr>
                    <w:snapToGrid w:val="0"/>
                    <w:jc w:val="center"/>
                    <w:rPr>
                      <w:b/>
                      <w:bCs/>
                      <w:color w:val="auto"/>
                      <w:szCs w:val="21"/>
                    </w:rPr>
                  </w:pPr>
                </w:p>
              </w:tc>
              <w:tc>
                <w:tcPr>
                  <w:tcW w:w="1383" w:type="dxa"/>
                  <w:vMerge w:val="restart"/>
                  <w:vAlign w:val="center"/>
                </w:tcPr>
                <w:p w14:paraId="035C8CAE">
                  <w:pPr>
                    <w:autoSpaceDE w:val="0"/>
                    <w:autoSpaceDN w:val="0"/>
                    <w:adjustRightInd w:val="0"/>
                    <w:snapToGrid w:val="0"/>
                    <w:jc w:val="center"/>
                    <w:rPr>
                      <w:color w:val="auto"/>
                      <w:kern w:val="0"/>
                      <w:szCs w:val="21"/>
                    </w:rPr>
                  </w:pPr>
                  <w:r>
                    <w:rPr>
                      <w:rFonts w:hint="eastAsia"/>
                      <w:color w:val="auto"/>
                      <w:szCs w:val="21"/>
                    </w:rPr>
                    <w:t>华洲多片锯</w:t>
                  </w:r>
                </w:p>
              </w:tc>
              <w:tc>
                <w:tcPr>
                  <w:tcW w:w="1494" w:type="dxa"/>
                  <w:vMerge w:val="restart"/>
                  <w:vAlign w:val="center"/>
                </w:tcPr>
                <w:p w14:paraId="6BAB8127">
                  <w:pPr>
                    <w:adjustRightInd w:val="0"/>
                    <w:snapToGrid w:val="0"/>
                    <w:jc w:val="center"/>
                    <w:rPr>
                      <w:rFonts w:hint="eastAsia" w:eastAsia="宋体"/>
                      <w:bCs/>
                      <w:color w:val="auto"/>
                      <w:szCs w:val="21"/>
                      <w:lang w:val="en-US" w:eastAsia="zh-CN"/>
                    </w:rPr>
                  </w:pPr>
                  <w:r>
                    <w:rPr>
                      <w:rFonts w:hint="eastAsia"/>
                      <w:bCs/>
                      <w:color w:val="auto"/>
                      <w:szCs w:val="21"/>
                      <w:lang w:val="en-US" w:eastAsia="zh-CN"/>
                    </w:rPr>
                    <w:t>/</w:t>
                  </w:r>
                </w:p>
              </w:tc>
              <w:tc>
                <w:tcPr>
                  <w:tcW w:w="1081" w:type="dxa"/>
                  <w:vMerge w:val="restart"/>
                  <w:vAlign w:val="center"/>
                </w:tcPr>
                <w:p w14:paraId="0273E1D7">
                  <w:pPr>
                    <w:widowControl/>
                    <w:jc w:val="center"/>
                    <w:textAlignment w:val="center"/>
                    <w:rPr>
                      <w:bCs/>
                      <w:color w:val="auto"/>
                      <w:szCs w:val="21"/>
                    </w:rPr>
                  </w:pPr>
                  <w:r>
                    <w:rPr>
                      <w:rFonts w:hint="eastAsia"/>
                      <w:color w:val="auto"/>
                      <w:kern w:val="0"/>
                      <w:szCs w:val="21"/>
                      <w:lang w:bidi="ar"/>
                    </w:rPr>
                    <w:t>75</w:t>
                  </w:r>
                </w:p>
              </w:tc>
              <w:tc>
                <w:tcPr>
                  <w:tcW w:w="768" w:type="dxa"/>
                  <w:vMerge w:val="continue"/>
                  <w:vAlign w:val="center"/>
                </w:tcPr>
                <w:p w14:paraId="27C46C4A">
                  <w:pPr>
                    <w:snapToGrid w:val="0"/>
                    <w:jc w:val="center"/>
                    <w:rPr>
                      <w:b/>
                      <w:bCs/>
                      <w:color w:val="auto"/>
                      <w:szCs w:val="21"/>
                    </w:rPr>
                  </w:pPr>
                </w:p>
              </w:tc>
              <w:tc>
                <w:tcPr>
                  <w:tcW w:w="617" w:type="dxa"/>
                  <w:vMerge w:val="restart"/>
                  <w:vAlign w:val="center"/>
                </w:tcPr>
                <w:p w14:paraId="14A26554">
                  <w:pPr>
                    <w:widowControl/>
                    <w:jc w:val="center"/>
                    <w:textAlignment w:val="center"/>
                    <w:rPr>
                      <w:color w:val="auto"/>
                      <w:szCs w:val="21"/>
                    </w:rPr>
                  </w:pPr>
                  <w:r>
                    <w:rPr>
                      <w:color w:val="auto"/>
                      <w:kern w:val="0"/>
                      <w:szCs w:val="21"/>
                      <w:lang w:bidi="ar"/>
                    </w:rPr>
                    <w:t>10</w:t>
                  </w:r>
                </w:p>
              </w:tc>
              <w:tc>
                <w:tcPr>
                  <w:tcW w:w="617" w:type="dxa"/>
                  <w:vMerge w:val="restart"/>
                  <w:vAlign w:val="center"/>
                </w:tcPr>
                <w:p w14:paraId="426965F3">
                  <w:pPr>
                    <w:widowControl/>
                    <w:jc w:val="center"/>
                    <w:textAlignment w:val="center"/>
                    <w:rPr>
                      <w:color w:val="auto"/>
                      <w:szCs w:val="21"/>
                    </w:rPr>
                  </w:pPr>
                  <w:r>
                    <w:rPr>
                      <w:color w:val="auto"/>
                      <w:kern w:val="0"/>
                      <w:szCs w:val="21"/>
                      <w:lang w:bidi="ar"/>
                    </w:rPr>
                    <w:t>52</w:t>
                  </w:r>
                </w:p>
              </w:tc>
              <w:tc>
                <w:tcPr>
                  <w:tcW w:w="623" w:type="dxa"/>
                  <w:vMerge w:val="restart"/>
                  <w:vAlign w:val="center"/>
                </w:tcPr>
                <w:p w14:paraId="16F0FC47">
                  <w:pPr>
                    <w:widowControl/>
                    <w:jc w:val="center"/>
                    <w:textAlignment w:val="center"/>
                    <w:rPr>
                      <w:color w:val="auto"/>
                      <w:szCs w:val="21"/>
                    </w:rPr>
                  </w:pPr>
                  <w:r>
                    <w:rPr>
                      <w:color w:val="auto"/>
                      <w:kern w:val="0"/>
                      <w:szCs w:val="21"/>
                      <w:lang w:bidi="ar"/>
                    </w:rPr>
                    <w:t>1.2</w:t>
                  </w:r>
                </w:p>
              </w:tc>
              <w:tc>
                <w:tcPr>
                  <w:tcW w:w="1171" w:type="dxa"/>
                  <w:vAlign w:val="center"/>
                </w:tcPr>
                <w:p w14:paraId="21428D5E">
                  <w:pPr>
                    <w:snapToGrid w:val="0"/>
                    <w:jc w:val="center"/>
                    <w:rPr>
                      <w:color w:val="auto"/>
                      <w:szCs w:val="21"/>
                    </w:rPr>
                  </w:pPr>
                  <w:r>
                    <w:rPr>
                      <w:rFonts w:hint="eastAsia"/>
                      <w:color w:val="auto"/>
                      <w:szCs w:val="21"/>
                    </w:rPr>
                    <w:t>北50</w:t>
                  </w:r>
                </w:p>
              </w:tc>
              <w:tc>
                <w:tcPr>
                  <w:tcW w:w="782" w:type="dxa"/>
                  <w:vAlign w:val="center"/>
                </w:tcPr>
                <w:p w14:paraId="75BA2DE7">
                  <w:pPr>
                    <w:widowControl/>
                    <w:jc w:val="center"/>
                    <w:textAlignment w:val="center"/>
                    <w:rPr>
                      <w:color w:val="auto"/>
                      <w:szCs w:val="21"/>
                    </w:rPr>
                  </w:pPr>
                  <w:r>
                    <w:rPr>
                      <w:color w:val="auto"/>
                      <w:kern w:val="0"/>
                      <w:szCs w:val="21"/>
                      <w:lang w:bidi="ar"/>
                    </w:rPr>
                    <w:t>41.0</w:t>
                  </w:r>
                </w:p>
              </w:tc>
              <w:tc>
                <w:tcPr>
                  <w:tcW w:w="741" w:type="dxa"/>
                  <w:vMerge w:val="continue"/>
                  <w:vAlign w:val="center"/>
                </w:tcPr>
                <w:p w14:paraId="0A09B364">
                  <w:pPr>
                    <w:snapToGrid w:val="0"/>
                    <w:jc w:val="center"/>
                    <w:rPr>
                      <w:color w:val="auto"/>
                      <w:szCs w:val="21"/>
                    </w:rPr>
                  </w:pPr>
                </w:p>
              </w:tc>
              <w:tc>
                <w:tcPr>
                  <w:tcW w:w="893" w:type="dxa"/>
                  <w:vMerge w:val="continue"/>
                  <w:vAlign w:val="center"/>
                </w:tcPr>
                <w:p w14:paraId="02AFE0F4">
                  <w:pPr>
                    <w:snapToGrid w:val="0"/>
                    <w:jc w:val="center"/>
                    <w:rPr>
                      <w:color w:val="auto"/>
                      <w:szCs w:val="21"/>
                    </w:rPr>
                  </w:pPr>
                </w:p>
              </w:tc>
              <w:tc>
                <w:tcPr>
                  <w:tcW w:w="693" w:type="dxa"/>
                  <w:vAlign w:val="center"/>
                </w:tcPr>
                <w:p w14:paraId="7781B2E0">
                  <w:pPr>
                    <w:widowControl/>
                    <w:jc w:val="center"/>
                    <w:textAlignment w:val="center"/>
                    <w:rPr>
                      <w:color w:val="auto"/>
                      <w:kern w:val="0"/>
                      <w:szCs w:val="21"/>
                      <w:lang w:bidi="ar"/>
                    </w:rPr>
                  </w:pPr>
                  <w:r>
                    <w:rPr>
                      <w:color w:val="auto"/>
                      <w:kern w:val="0"/>
                      <w:szCs w:val="21"/>
                      <w:lang w:bidi="ar"/>
                    </w:rPr>
                    <w:t>21.0</w:t>
                  </w:r>
                </w:p>
              </w:tc>
              <w:tc>
                <w:tcPr>
                  <w:tcW w:w="1260" w:type="dxa"/>
                  <w:vMerge w:val="restart"/>
                  <w:vAlign w:val="center"/>
                </w:tcPr>
                <w:p w14:paraId="7DBE11E2">
                  <w:pPr>
                    <w:snapToGrid w:val="0"/>
                    <w:jc w:val="center"/>
                    <w:rPr>
                      <w:color w:val="auto"/>
                      <w:szCs w:val="21"/>
                    </w:rPr>
                  </w:pPr>
                  <w:r>
                    <w:rPr>
                      <w:rFonts w:hint="eastAsia"/>
                      <w:color w:val="auto"/>
                      <w:szCs w:val="21"/>
                    </w:rPr>
                    <w:t>1</w:t>
                  </w:r>
                </w:p>
              </w:tc>
            </w:tr>
            <w:tr w14:paraId="6C957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84" w:type="dxa"/>
                  <w:vMerge w:val="continue"/>
                  <w:vAlign w:val="center"/>
                </w:tcPr>
                <w:p w14:paraId="0A9A84BA">
                  <w:pPr>
                    <w:snapToGrid w:val="0"/>
                    <w:jc w:val="center"/>
                    <w:rPr>
                      <w:color w:val="auto"/>
                      <w:szCs w:val="21"/>
                    </w:rPr>
                  </w:pPr>
                </w:p>
              </w:tc>
              <w:tc>
                <w:tcPr>
                  <w:tcW w:w="786" w:type="dxa"/>
                  <w:vMerge w:val="continue"/>
                  <w:vAlign w:val="center"/>
                </w:tcPr>
                <w:p w14:paraId="69615392">
                  <w:pPr>
                    <w:snapToGrid w:val="0"/>
                    <w:jc w:val="center"/>
                    <w:rPr>
                      <w:color w:val="auto"/>
                    </w:rPr>
                  </w:pPr>
                </w:p>
              </w:tc>
              <w:tc>
                <w:tcPr>
                  <w:tcW w:w="1383" w:type="dxa"/>
                  <w:vMerge w:val="continue"/>
                  <w:vAlign w:val="top"/>
                </w:tcPr>
                <w:p w14:paraId="2A2D2E94">
                  <w:pPr>
                    <w:snapToGrid w:val="0"/>
                    <w:jc w:val="center"/>
                    <w:rPr>
                      <w:color w:val="auto"/>
                    </w:rPr>
                  </w:pPr>
                </w:p>
              </w:tc>
              <w:tc>
                <w:tcPr>
                  <w:tcW w:w="1494" w:type="dxa"/>
                  <w:vMerge w:val="continue"/>
                  <w:vAlign w:val="center"/>
                </w:tcPr>
                <w:p w14:paraId="332EBF4F">
                  <w:pPr>
                    <w:snapToGrid w:val="0"/>
                    <w:jc w:val="center"/>
                    <w:rPr>
                      <w:color w:val="auto"/>
                    </w:rPr>
                  </w:pPr>
                </w:p>
              </w:tc>
              <w:tc>
                <w:tcPr>
                  <w:tcW w:w="1081" w:type="dxa"/>
                  <w:vMerge w:val="continue"/>
                  <w:vAlign w:val="center"/>
                </w:tcPr>
                <w:p w14:paraId="25F56AB1">
                  <w:pPr>
                    <w:snapToGrid w:val="0"/>
                    <w:jc w:val="center"/>
                    <w:rPr>
                      <w:color w:val="auto"/>
                      <w:szCs w:val="21"/>
                    </w:rPr>
                  </w:pPr>
                </w:p>
              </w:tc>
              <w:tc>
                <w:tcPr>
                  <w:tcW w:w="768" w:type="dxa"/>
                  <w:vMerge w:val="continue"/>
                  <w:vAlign w:val="center"/>
                </w:tcPr>
                <w:p w14:paraId="29E13D06">
                  <w:pPr>
                    <w:snapToGrid w:val="0"/>
                    <w:jc w:val="center"/>
                    <w:rPr>
                      <w:color w:val="auto"/>
                    </w:rPr>
                  </w:pPr>
                </w:p>
              </w:tc>
              <w:tc>
                <w:tcPr>
                  <w:tcW w:w="617" w:type="dxa"/>
                  <w:vMerge w:val="continue"/>
                  <w:vAlign w:val="center"/>
                </w:tcPr>
                <w:p w14:paraId="47BD1E4B">
                  <w:pPr>
                    <w:snapToGrid w:val="0"/>
                    <w:jc w:val="center"/>
                    <w:rPr>
                      <w:color w:val="auto"/>
                      <w:szCs w:val="21"/>
                    </w:rPr>
                  </w:pPr>
                </w:p>
              </w:tc>
              <w:tc>
                <w:tcPr>
                  <w:tcW w:w="617" w:type="dxa"/>
                  <w:vMerge w:val="continue"/>
                  <w:vAlign w:val="center"/>
                </w:tcPr>
                <w:p w14:paraId="1A634E1D">
                  <w:pPr>
                    <w:snapToGrid w:val="0"/>
                    <w:jc w:val="center"/>
                    <w:rPr>
                      <w:color w:val="auto"/>
                      <w:szCs w:val="21"/>
                    </w:rPr>
                  </w:pPr>
                </w:p>
              </w:tc>
              <w:tc>
                <w:tcPr>
                  <w:tcW w:w="623" w:type="dxa"/>
                  <w:vMerge w:val="continue"/>
                  <w:vAlign w:val="center"/>
                </w:tcPr>
                <w:p w14:paraId="213B1ADD">
                  <w:pPr>
                    <w:snapToGrid w:val="0"/>
                    <w:jc w:val="center"/>
                    <w:rPr>
                      <w:color w:val="auto"/>
                      <w:szCs w:val="21"/>
                    </w:rPr>
                  </w:pPr>
                </w:p>
              </w:tc>
              <w:tc>
                <w:tcPr>
                  <w:tcW w:w="1171" w:type="dxa"/>
                  <w:vAlign w:val="center"/>
                </w:tcPr>
                <w:p w14:paraId="7600F00A">
                  <w:pPr>
                    <w:snapToGrid w:val="0"/>
                    <w:jc w:val="center"/>
                    <w:rPr>
                      <w:color w:val="auto"/>
                      <w:szCs w:val="21"/>
                    </w:rPr>
                  </w:pPr>
                  <w:r>
                    <w:rPr>
                      <w:rFonts w:hint="eastAsia"/>
                      <w:color w:val="auto"/>
                      <w:szCs w:val="21"/>
                    </w:rPr>
                    <w:t>南50</w:t>
                  </w:r>
                </w:p>
              </w:tc>
              <w:tc>
                <w:tcPr>
                  <w:tcW w:w="782" w:type="dxa"/>
                  <w:vAlign w:val="center"/>
                </w:tcPr>
                <w:p w14:paraId="764F8445">
                  <w:pPr>
                    <w:widowControl/>
                    <w:jc w:val="center"/>
                    <w:textAlignment w:val="center"/>
                    <w:rPr>
                      <w:color w:val="auto"/>
                      <w:szCs w:val="21"/>
                    </w:rPr>
                  </w:pPr>
                  <w:r>
                    <w:rPr>
                      <w:color w:val="auto"/>
                      <w:kern w:val="0"/>
                      <w:szCs w:val="21"/>
                      <w:lang w:bidi="ar"/>
                    </w:rPr>
                    <w:t>41.0</w:t>
                  </w:r>
                </w:p>
              </w:tc>
              <w:tc>
                <w:tcPr>
                  <w:tcW w:w="741" w:type="dxa"/>
                  <w:vMerge w:val="continue"/>
                  <w:vAlign w:val="center"/>
                </w:tcPr>
                <w:p w14:paraId="44CEB1C8">
                  <w:pPr>
                    <w:snapToGrid w:val="0"/>
                    <w:jc w:val="center"/>
                    <w:rPr>
                      <w:rFonts w:hint="eastAsia"/>
                      <w:color w:val="auto"/>
                      <w:szCs w:val="21"/>
                    </w:rPr>
                  </w:pPr>
                </w:p>
              </w:tc>
              <w:tc>
                <w:tcPr>
                  <w:tcW w:w="893" w:type="dxa"/>
                  <w:vMerge w:val="continue"/>
                  <w:vAlign w:val="center"/>
                </w:tcPr>
                <w:p w14:paraId="4BAB8995">
                  <w:pPr>
                    <w:snapToGrid w:val="0"/>
                    <w:jc w:val="center"/>
                    <w:rPr>
                      <w:rFonts w:hint="eastAsia"/>
                      <w:color w:val="auto"/>
                      <w:szCs w:val="21"/>
                    </w:rPr>
                  </w:pPr>
                </w:p>
              </w:tc>
              <w:tc>
                <w:tcPr>
                  <w:tcW w:w="693" w:type="dxa"/>
                  <w:vAlign w:val="center"/>
                </w:tcPr>
                <w:p w14:paraId="0388956E">
                  <w:pPr>
                    <w:widowControl/>
                    <w:jc w:val="center"/>
                    <w:textAlignment w:val="center"/>
                    <w:rPr>
                      <w:color w:val="auto"/>
                      <w:szCs w:val="21"/>
                    </w:rPr>
                  </w:pPr>
                  <w:r>
                    <w:rPr>
                      <w:color w:val="auto"/>
                      <w:kern w:val="0"/>
                      <w:szCs w:val="21"/>
                      <w:lang w:bidi="ar"/>
                    </w:rPr>
                    <w:t>21.0</w:t>
                  </w:r>
                </w:p>
              </w:tc>
              <w:tc>
                <w:tcPr>
                  <w:tcW w:w="1260" w:type="dxa"/>
                  <w:vMerge w:val="continue"/>
                  <w:vAlign w:val="center"/>
                </w:tcPr>
                <w:p w14:paraId="7681F327">
                  <w:pPr>
                    <w:snapToGrid w:val="0"/>
                    <w:jc w:val="center"/>
                    <w:rPr>
                      <w:rFonts w:hint="eastAsia"/>
                      <w:color w:val="auto"/>
                      <w:szCs w:val="21"/>
                    </w:rPr>
                  </w:pPr>
                </w:p>
              </w:tc>
            </w:tr>
            <w:tr w14:paraId="24480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584" w:type="dxa"/>
                  <w:vMerge w:val="continue"/>
                  <w:vAlign w:val="center"/>
                </w:tcPr>
                <w:p w14:paraId="53068ABC">
                  <w:pPr>
                    <w:snapToGrid w:val="0"/>
                    <w:jc w:val="center"/>
                    <w:rPr>
                      <w:color w:val="auto"/>
                      <w:szCs w:val="21"/>
                    </w:rPr>
                  </w:pPr>
                </w:p>
              </w:tc>
              <w:tc>
                <w:tcPr>
                  <w:tcW w:w="786" w:type="dxa"/>
                  <w:vMerge w:val="continue"/>
                  <w:vAlign w:val="center"/>
                </w:tcPr>
                <w:p w14:paraId="00F7A34A">
                  <w:pPr>
                    <w:snapToGrid w:val="0"/>
                    <w:jc w:val="center"/>
                    <w:rPr>
                      <w:rFonts w:hint="eastAsia"/>
                      <w:color w:val="auto"/>
                      <w:szCs w:val="21"/>
                    </w:rPr>
                  </w:pPr>
                </w:p>
              </w:tc>
              <w:tc>
                <w:tcPr>
                  <w:tcW w:w="1383" w:type="dxa"/>
                  <w:vMerge w:val="continue"/>
                  <w:vAlign w:val="top"/>
                </w:tcPr>
                <w:p w14:paraId="4DAB168E">
                  <w:pPr>
                    <w:snapToGrid w:val="0"/>
                    <w:jc w:val="center"/>
                    <w:rPr>
                      <w:rFonts w:hint="eastAsia"/>
                      <w:color w:val="auto"/>
                      <w:szCs w:val="21"/>
                    </w:rPr>
                  </w:pPr>
                </w:p>
              </w:tc>
              <w:tc>
                <w:tcPr>
                  <w:tcW w:w="1494" w:type="dxa"/>
                  <w:vMerge w:val="continue"/>
                  <w:vAlign w:val="center"/>
                </w:tcPr>
                <w:p w14:paraId="62BEA1F8">
                  <w:pPr>
                    <w:snapToGrid w:val="0"/>
                    <w:jc w:val="center"/>
                    <w:rPr>
                      <w:rFonts w:hint="eastAsia"/>
                      <w:color w:val="auto"/>
                      <w:szCs w:val="21"/>
                    </w:rPr>
                  </w:pPr>
                </w:p>
              </w:tc>
              <w:tc>
                <w:tcPr>
                  <w:tcW w:w="1081" w:type="dxa"/>
                  <w:vMerge w:val="continue"/>
                  <w:vAlign w:val="center"/>
                </w:tcPr>
                <w:p w14:paraId="2A8B5571">
                  <w:pPr>
                    <w:snapToGrid w:val="0"/>
                    <w:jc w:val="center"/>
                    <w:rPr>
                      <w:color w:val="auto"/>
                      <w:szCs w:val="21"/>
                    </w:rPr>
                  </w:pPr>
                </w:p>
              </w:tc>
              <w:tc>
                <w:tcPr>
                  <w:tcW w:w="768" w:type="dxa"/>
                  <w:vMerge w:val="continue"/>
                  <w:vAlign w:val="center"/>
                </w:tcPr>
                <w:p w14:paraId="125CE8CB">
                  <w:pPr>
                    <w:snapToGrid w:val="0"/>
                    <w:jc w:val="center"/>
                    <w:rPr>
                      <w:rFonts w:hint="eastAsia"/>
                      <w:color w:val="auto"/>
                      <w:szCs w:val="21"/>
                    </w:rPr>
                  </w:pPr>
                </w:p>
              </w:tc>
              <w:tc>
                <w:tcPr>
                  <w:tcW w:w="617" w:type="dxa"/>
                  <w:vMerge w:val="continue"/>
                  <w:vAlign w:val="center"/>
                </w:tcPr>
                <w:p w14:paraId="11B5D483">
                  <w:pPr>
                    <w:snapToGrid w:val="0"/>
                    <w:jc w:val="center"/>
                    <w:rPr>
                      <w:color w:val="auto"/>
                      <w:szCs w:val="21"/>
                    </w:rPr>
                  </w:pPr>
                </w:p>
              </w:tc>
              <w:tc>
                <w:tcPr>
                  <w:tcW w:w="617" w:type="dxa"/>
                  <w:vMerge w:val="continue"/>
                  <w:vAlign w:val="center"/>
                </w:tcPr>
                <w:p w14:paraId="247C1533">
                  <w:pPr>
                    <w:snapToGrid w:val="0"/>
                    <w:jc w:val="center"/>
                    <w:rPr>
                      <w:color w:val="auto"/>
                      <w:szCs w:val="21"/>
                    </w:rPr>
                  </w:pPr>
                </w:p>
              </w:tc>
              <w:tc>
                <w:tcPr>
                  <w:tcW w:w="623" w:type="dxa"/>
                  <w:vMerge w:val="continue"/>
                  <w:vAlign w:val="center"/>
                </w:tcPr>
                <w:p w14:paraId="68492656">
                  <w:pPr>
                    <w:snapToGrid w:val="0"/>
                    <w:jc w:val="center"/>
                    <w:rPr>
                      <w:color w:val="auto"/>
                      <w:szCs w:val="21"/>
                    </w:rPr>
                  </w:pPr>
                </w:p>
              </w:tc>
              <w:tc>
                <w:tcPr>
                  <w:tcW w:w="1171" w:type="dxa"/>
                  <w:vAlign w:val="center"/>
                </w:tcPr>
                <w:p w14:paraId="52071A14">
                  <w:pPr>
                    <w:snapToGrid w:val="0"/>
                    <w:jc w:val="center"/>
                    <w:rPr>
                      <w:color w:val="auto"/>
                      <w:szCs w:val="21"/>
                    </w:rPr>
                  </w:pPr>
                  <w:r>
                    <w:rPr>
                      <w:rFonts w:hint="eastAsia"/>
                      <w:color w:val="auto"/>
                      <w:szCs w:val="21"/>
                    </w:rPr>
                    <w:t>东30</w:t>
                  </w:r>
                </w:p>
              </w:tc>
              <w:tc>
                <w:tcPr>
                  <w:tcW w:w="782" w:type="dxa"/>
                  <w:vAlign w:val="center"/>
                </w:tcPr>
                <w:p w14:paraId="0B196B31">
                  <w:pPr>
                    <w:widowControl/>
                    <w:jc w:val="center"/>
                    <w:textAlignment w:val="center"/>
                    <w:rPr>
                      <w:color w:val="auto"/>
                      <w:szCs w:val="21"/>
                    </w:rPr>
                  </w:pPr>
                  <w:r>
                    <w:rPr>
                      <w:color w:val="auto"/>
                      <w:kern w:val="0"/>
                      <w:szCs w:val="21"/>
                      <w:lang w:bidi="ar"/>
                    </w:rPr>
                    <w:t>45.5</w:t>
                  </w:r>
                </w:p>
              </w:tc>
              <w:tc>
                <w:tcPr>
                  <w:tcW w:w="741" w:type="dxa"/>
                  <w:vMerge w:val="continue"/>
                  <w:vAlign w:val="center"/>
                </w:tcPr>
                <w:p w14:paraId="718B2C58">
                  <w:pPr>
                    <w:snapToGrid w:val="0"/>
                    <w:jc w:val="center"/>
                    <w:rPr>
                      <w:rFonts w:hint="eastAsia"/>
                      <w:color w:val="auto"/>
                      <w:szCs w:val="21"/>
                    </w:rPr>
                  </w:pPr>
                </w:p>
              </w:tc>
              <w:tc>
                <w:tcPr>
                  <w:tcW w:w="893" w:type="dxa"/>
                  <w:vMerge w:val="continue"/>
                  <w:vAlign w:val="center"/>
                </w:tcPr>
                <w:p w14:paraId="3584ECFB">
                  <w:pPr>
                    <w:snapToGrid w:val="0"/>
                    <w:jc w:val="center"/>
                    <w:rPr>
                      <w:rFonts w:hint="eastAsia"/>
                      <w:color w:val="auto"/>
                      <w:szCs w:val="21"/>
                    </w:rPr>
                  </w:pPr>
                </w:p>
              </w:tc>
              <w:tc>
                <w:tcPr>
                  <w:tcW w:w="693" w:type="dxa"/>
                  <w:vAlign w:val="center"/>
                </w:tcPr>
                <w:p w14:paraId="28AE6935">
                  <w:pPr>
                    <w:widowControl/>
                    <w:jc w:val="center"/>
                    <w:textAlignment w:val="center"/>
                    <w:rPr>
                      <w:color w:val="auto"/>
                      <w:szCs w:val="21"/>
                    </w:rPr>
                  </w:pPr>
                  <w:r>
                    <w:rPr>
                      <w:color w:val="auto"/>
                      <w:kern w:val="0"/>
                      <w:szCs w:val="21"/>
                      <w:lang w:bidi="ar"/>
                    </w:rPr>
                    <w:t>25.5</w:t>
                  </w:r>
                </w:p>
              </w:tc>
              <w:tc>
                <w:tcPr>
                  <w:tcW w:w="1260" w:type="dxa"/>
                  <w:vMerge w:val="continue"/>
                  <w:vAlign w:val="center"/>
                </w:tcPr>
                <w:p w14:paraId="24422EAA">
                  <w:pPr>
                    <w:snapToGrid w:val="0"/>
                    <w:jc w:val="center"/>
                    <w:rPr>
                      <w:rFonts w:hint="eastAsia"/>
                      <w:color w:val="auto"/>
                      <w:szCs w:val="21"/>
                    </w:rPr>
                  </w:pPr>
                </w:p>
              </w:tc>
            </w:tr>
            <w:tr w14:paraId="2A685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84" w:type="dxa"/>
                  <w:vMerge w:val="continue"/>
                  <w:vAlign w:val="center"/>
                </w:tcPr>
                <w:p w14:paraId="70B8727D">
                  <w:pPr>
                    <w:snapToGrid w:val="0"/>
                    <w:jc w:val="center"/>
                    <w:rPr>
                      <w:color w:val="auto"/>
                      <w:szCs w:val="21"/>
                    </w:rPr>
                  </w:pPr>
                </w:p>
              </w:tc>
              <w:tc>
                <w:tcPr>
                  <w:tcW w:w="786" w:type="dxa"/>
                  <w:vMerge w:val="continue"/>
                  <w:vAlign w:val="center"/>
                </w:tcPr>
                <w:p w14:paraId="7486A66F">
                  <w:pPr>
                    <w:snapToGrid w:val="0"/>
                    <w:jc w:val="center"/>
                    <w:rPr>
                      <w:rFonts w:hint="eastAsia"/>
                      <w:color w:val="auto"/>
                      <w:szCs w:val="21"/>
                    </w:rPr>
                  </w:pPr>
                </w:p>
              </w:tc>
              <w:tc>
                <w:tcPr>
                  <w:tcW w:w="1383" w:type="dxa"/>
                  <w:vMerge w:val="continue"/>
                  <w:vAlign w:val="top"/>
                </w:tcPr>
                <w:p w14:paraId="5C694788">
                  <w:pPr>
                    <w:snapToGrid w:val="0"/>
                    <w:jc w:val="center"/>
                    <w:rPr>
                      <w:rFonts w:hint="eastAsia"/>
                      <w:color w:val="auto"/>
                      <w:szCs w:val="21"/>
                    </w:rPr>
                  </w:pPr>
                </w:p>
              </w:tc>
              <w:tc>
                <w:tcPr>
                  <w:tcW w:w="1494" w:type="dxa"/>
                  <w:vMerge w:val="continue"/>
                  <w:vAlign w:val="center"/>
                </w:tcPr>
                <w:p w14:paraId="724F47DB">
                  <w:pPr>
                    <w:snapToGrid w:val="0"/>
                    <w:jc w:val="center"/>
                    <w:rPr>
                      <w:rFonts w:hint="eastAsia"/>
                      <w:color w:val="auto"/>
                      <w:szCs w:val="21"/>
                    </w:rPr>
                  </w:pPr>
                </w:p>
              </w:tc>
              <w:tc>
                <w:tcPr>
                  <w:tcW w:w="1081" w:type="dxa"/>
                  <w:vMerge w:val="continue"/>
                  <w:vAlign w:val="center"/>
                </w:tcPr>
                <w:p w14:paraId="76BFBABB">
                  <w:pPr>
                    <w:snapToGrid w:val="0"/>
                    <w:jc w:val="center"/>
                    <w:rPr>
                      <w:color w:val="auto"/>
                      <w:szCs w:val="21"/>
                    </w:rPr>
                  </w:pPr>
                </w:p>
              </w:tc>
              <w:tc>
                <w:tcPr>
                  <w:tcW w:w="768" w:type="dxa"/>
                  <w:vMerge w:val="continue"/>
                  <w:vAlign w:val="center"/>
                </w:tcPr>
                <w:p w14:paraId="12449E08">
                  <w:pPr>
                    <w:snapToGrid w:val="0"/>
                    <w:jc w:val="center"/>
                    <w:rPr>
                      <w:rFonts w:hint="eastAsia"/>
                      <w:color w:val="auto"/>
                      <w:szCs w:val="21"/>
                    </w:rPr>
                  </w:pPr>
                </w:p>
              </w:tc>
              <w:tc>
                <w:tcPr>
                  <w:tcW w:w="617" w:type="dxa"/>
                  <w:vMerge w:val="continue"/>
                  <w:vAlign w:val="center"/>
                </w:tcPr>
                <w:p w14:paraId="50AB19F3">
                  <w:pPr>
                    <w:snapToGrid w:val="0"/>
                    <w:jc w:val="center"/>
                    <w:rPr>
                      <w:color w:val="auto"/>
                      <w:szCs w:val="21"/>
                    </w:rPr>
                  </w:pPr>
                </w:p>
              </w:tc>
              <w:tc>
                <w:tcPr>
                  <w:tcW w:w="617" w:type="dxa"/>
                  <w:vMerge w:val="continue"/>
                  <w:vAlign w:val="center"/>
                </w:tcPr>
                <w:p w14:paraId="5A8D8388">
                  <w:pPr>
                    <w:snapToGrid w:val="0"/>
                    <w:jc w:val="center"/>
                    <w:rPr>
                      <w:color w:val="auto"/>
                      <w:szCs w:val="21"/>
                    </w:rPr>
                  </w:pPr>
                </w:p>
              </w:tc>
              <w:tc>
                <w:tcPr>
                  <w:tcW w:w="623" w:type="dxa"/>
                  <w:vMerge w:val="continue"/>
                  <w:vAlign w:val="center"/>
                </w:tcPr>
                <w:p w14:paraId="09152F39">
                  <w:pPr>
                    <w:snapToGrid w:val="0"/>
                    <w:jc w:val="center"/>
                    <w:rPr>
                      <w:color w:val="auto"/>
                      <w:szCs w:val="21"/>
                    </w:rPr>
                  </w:pPr>
                </w:p>
              </w:tc>
              <w:tc>
                <w:tcPr>
                  <w:tcW w:w="1171" w:type="dxa"/>
                  <w:vAlign w:val="center"/>
                </w:tcPr>
                <w:p w14:paraId="69077E1A">
                  <w:pPr>
                    <w:snapToGrid w:val="0"/>
                    <w:jc w:val="center"/>
                    <w:rPr>
                      <w:rFonts w:hint="eastAsia"/>
                      <w:color w:val="auto"/>
                      <w:szCs w:val="21"/>
                    </w:rPr>
                  </w:pPr>
                  <w:r>
                    <w:rPr>
                      <w:rFonts w:hint="eastAsia"/>
                      <w:color w:val="auto"/>
                      <w:szCs w:val="21"/>
                    </w:rPr>
                    <w:t>西30</w:t>
                  </w:r>
                </w:p>
              </w:tc>
              <w:tc>
                <w:tcPr>
                  <w:tcW w:w="782" w:type="dxa"/>
                  <w:vAlign w:val="center"/>
                </w:tcPr>
                <w:p w14:paraId="24A1B173">
                  <w:pPr>
                    <w:widowControl/>
                    <w:jc w:val="center"/>
                    <w:textAlignment w:val="center"/>
                    <w:rPr>
                      <w:color w:val="auto"/>
                      <w:szCs w:val="21"/>
                    </w:rPr>
                  </w:pPr>
                  <w:r>
                    <w:rPr>
                      <w:color w:val="auto"/>
                      <w:kern w:val="0"/>
                      <w:szCs w:val="21"/>
                      <w:lang w:bidi="ar"/>
                    </w:rPr>
                    <w:t>45.5</w:t>
                  </w:r>
                </w:p>
              </w:tc>
              <w:tc>
                <w:tcPr>
                  <w:tcW w:w="741" w:type="dxa"/>
                  <w:vMerge w:val="continue"/>
                  <w:vAlign w:val="center"/>
                </w:tcPr>
                <w:p w14:paraId="7177F72B">
                  <w:pPr>
                    <w:snapToGrid w:val="0"/>
                    <w:jc w:val="center"/>
                    <w:rPr>
                      <w:rFonts w:hint="eastAsia"/>
                      <w:color w:val="auto"/>
                      <w:szCs w:val="21"/>
                    </w:rPr>
                  </w:pPr>
                </w:p>
              </w:tc>
              <w:tc>
                <w:tcPr>
                  <w:tcW w:w="893" w:type="dxa"/>
                  <w:vMerge w:val="continue"/>
                  <w:vAlign w:val="center"/>
                </w:tcPr>
                <w:p w14:paraId="716CB6E0">
                  <w:pPr>
                    <w:snapToGrid w:val="0"/>
                    <w:jc w:val="center"/>
                    <w:rPr>
                      <w:rFonts w:hint="eastAsia"/>
                      <w:color w:val="auto"/>
                      <w:szCs w:val="21"/>
                    </w:rPr>
                  </w:pPr>
                </w:p>
              </w:tc>
              <w:tc>
                <w:tcPr>
                  <w:tcW w:w="693" w:type="dxa"/>
                  <w:vAlign w:val="center"/>
                </w:tcPr>
                <w:p w14:paraId="6DC8C6A3">
                  <w:pPr>
                    <w:widowControl/>
                    <w:jc w:val="center"/>
                    <w:textAlignment w:val="center"/>
                    <w:rPr>
                      <w:color w:val="auto"/>
                      <w:szCs w:val="21"/>
                    </w:rPr>
                  </w:pPr>
                  <w:r>
                    <w:rPr>
                      <w:color w:val="auto"/>
                      <w:kern w:val="0"/>
                      <w:szCs w:val="21"/>
                      <w:lang w:bidi="ar"/>
                    </w:rPr>
                    <w:t>25.5</w:t>
                  </w:r>
                </w:p>
              </w:tc>
              <w:tc>
                <w:tcPr>
                  <w:tcW w:w="1260" w:type="dxa"/>
                  <w:vMerge w:val="continue"/>
                  <w:vAlign w:val="center"/>
                </w:tcPr>
                <w:p w14:paraId="0CB1D642">
                  <w:pPr>
                    <w:snapToGrid w:val="0"/>
                    <w:jc w:val="center"/>
                    <w:rPr>
                      <w:rFonts w:hint="eastAsia"/>
                      <w:color w:val="auto"/>
                      <w:szCs w:val="21"/>
                    </w:rPr>
                  </w:pPr>
                </w:p>
              </w:tc>
            </w:tr>
            <w:tr w14:paraId="4418A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84" w:type="dxa"/>
                  <w:vMerge w:val="restart"/>
                  <w:vAlign w:val="center"/>
                </w:tcPr>
                <w:p w14:paraId="144B7F92">
                  <w:pPr>
                    <w:widowControl/>
                    <w:jc w:val="center"/>
                    <w:textAlignment w:val="center"/>
                    <w:rPr>
                      <w:color w:val="auto"/>
                      <w:szCs w:val="21"/>
                    </w:rPr>
                  </w:pPr>
                  <w:r>
                    <w:rPr>
                      <w:color w:val="auto"/>
                      <w:kern w:val="0"/>
                      <w:szCs w:val="21"/>
                      <w:lang w:bidi="ar"/>
                    </w:rPr>
                    <w:t>21</w:t>
                  </w:r>
                </w:p>
              </w:tc>
              <w:tc>
                <w:tcPr>
                  <w:tcW w:w="786" w:type="dxa"/>
                  <w:vMerge w:val="continue"/>
                  <w:vAlign w:val="center"/>
                </w:tcPr>
                <w:p w14:paraId="5FB83DDD">
                  <w:pPr>
                    <w:snapToGrid w:val="0"/>
                    <w:jc w:val="center"/>
                    <w:rPr>
                      <w:b/>
                      <w:bCs/>
                      <w:color w:val="auto"/>
                      <w:szCs w:val="21"/>
                    </w:rPr>
                  </w:pPr>
                </w:p>
              </w:tc>
              <w:tc>
                <w:tcPr>
                  <w:tcW w:w="1383" w:type="dxa"/>
                  <w:vMerge w:val="restart"/>
                  <w:vAlign w:val="center"/>
                </w:tcPr>
                <w:p w14:paraId="00DF64DD">
                  <w:pPr>
                    <w:autoSpaceDE w:val="0"/>
                    <w:autoSpaceDN w:val="0"/>
                    <w:adjustRightInd w:val="0"/>
                    <w:snapToGrid w:val="0"/>
                    <w:jc w:val="center"/>
                    <w:rPr>
                      <w:color w:val="auto"/>
                      <w:kern w:val="0"/>
                      <w:szCs w:val="21"/>
                    </w:rPr>
                  </w:pPr>
                  <w:r>
                    <w:rPr>
                      <w:rFonts w:hint="eastAsia"/>
                      <w:color w:val="auto"/>
                      <w:szCs w:val="21"/>
                    </w:rPr>
                    <w:t>荣豪拼板机</w:t>
                  </w:r>
                </w:p>
              </w:tc>
              <w:tc>
                <w:tcPr>
                  <w:tcW w:w="1494" w:type="dxa"/>
                  <w:vMerge w:val="restart"/>
                  <w:vAlign w:val="center"/>
                </w:tcPr>
                <w:p w14:paraId="258D4856">
                  <w:pPr>
                    <w:adjustRightInd w:val="0"/>
                    <w:snapToGrid w:val="0"/>
                    <w:jc w:val="center"/>
                    <w:rPr>
                      <w:rFonts w:hint="eastAsia" w:eastAsia="宋体"/>
                      <w:bCs/>
                      <w:color w:val="auto"/>
                      <w:szCs w:val="21"/>
                      <w:lang w:val="en-US" w:eastAsia="zh-CN"/>
                    </w:rPr>
                  </w:pPr>
                  <w:r>
                    <w:rPr>
                      <w:rFonts w:hint="eastAsia"/>
                      <w:bCs/>
                      <w:color w:val="auto"/>
                      <w:szCs w:val="21"/>
                      <w:lang w:val="en-US" w:eastAsia="zh-CN"/>
                    </w:rPr>
                    <w:t>/</w:t>
                  </w:r>
                </w:p>
              </w:tc>
              <w:tc>
                <w:tcPr>
                  <w:tcW w:w="1081" w:type="dxa"/>
                  <w:vMerge w:val="restart"/>
                  <w:vAlign w:val="center"/>
                </w:tcPr>
                <w:p w14:paraId="2BCF6DAC">
                  <w:pPr>
                    <w:widowControl/>
                    <w:jc w:val="center"/>
                    <w:textAlignment w:val="center"/>
                    <w:rPr>
                      <w:bCs/>
                      <w:color w:val="auto"/>
                      <w:szCs w:val="21"/>
                    </w:rPr>
                  </w:pPr>
                  <w:r>
                    <w:rPr>
                      <w:color w:val="auto"/>
                      <w:kern w:val="0"/>
                      <w:szCs w:val="21"/>
                      <w:lang w:bidi="ar"/>
                    </w:rPr>
                    <w:t>80</w:t>
                  </w:r>
                </w:p>
              </w:tc>
              <w:tc>
                <w:tcPr>
                  <w:tcW w:w="768" w:type="dxa"/>
                  <w:vMerge w:val="continue"/>
                  <w:vAlign w:val="center"/>
                </w:tcPr>
                <w:p w14:paraId="1DE2EFAD">
                  <w:pPr>
                    <w:snapToGrid w:val="0"/>
                    <w:jc w:val="center"/>
                    <w:rPr>
                      <w:b/>
                      <w:bCs/>
                      <w:color w:val="auto"/>
                      <w:szCs w:val="21"/>
                    </w:rPr>
                  </w:pPr>
                </w:p>
              </w:tc>
              <w:tc>
                <w:tcPr>
                  <w:tcW w:w="617" w:type="dxa"/>
                  <w:vMerge w:val="restart"/>
                  <w:vAlign w:val="center"/>
                </w:tcPr>
                <w:p w14:paraId="4A73EA77">
                  <w:pPr>
                    <w:widowControl/>
                    <w:jc w:val="center"/>
                    <w:textAlignment w:val="center"/>
                    <w:rPr>
                      <w:color w:val="auto"/>
                      <w:szCs w:val="21"/>
                    </w:rPr>
                  </w:pPr>
                  <w:r>
                    <w:rPr>
                      <w:color w:val="auto"/>
                      <w:kern w:val="0"/>
                      <w:szCs w:val="21"/>
                      <w:lang w:bidi="ar"/>
                    </w:rPr>
                    <w:t>15</w:t>
                  </w:r>
                </w:p>
              </w:tc>
              <w:tc>
                <w:tcPr>
                  <w:tcW w:w="617" w:type="dxa"/>
                  <w:vMerge w:val="restart"/>
                  <w:vAlign w:val="center"/>
                </w:tcPr>
                <w:p w14:paraId="19EE3419">
                  <w:pPr>
                    <w:widowControl/>
                    <w:jc w:val="center"/>
                    <w:textAlignment w:val="center"/>
                    <w:rPr>
                      <w:color w:val="auto"/>
                      <w:szCs w:val="21"/>
                    </w:rPr>
                  </w:pPr>
                  <w:r>
                    <w:rPr>
                      <w:color w:val="auto"/>
                      <w:kern w:val="0"/>
                      <w:szCs w:val="21"/>
                      <w:lang w:bidi="ar"/>
                    </w:rPr>
                    <w:t>66</w:t>
                  </w:r>
                </w:p>
              </w:tc>
              <w:tc>
                <w:tcPr>
                  <w:tcW w:w="623" w:type="dxa"/>
                  <w:vMerge w:val="restart"/>
                  <w:vAlign w:val="center"/>
                </w:tcPr>
                <w:p w14:paraId="67F4B5FA">
                  <w:pPr>
                    <w:widowControl/>
                    <w:jc w:val="center"/>
                    <w:textAlignment w:val="center"/>
                    <w:rPr>
                      <w:color w:val="auto"/>
                      <w:szCs w:val="21"/>
                    </w:rPr>
                  </w:pPr>
                  <w:r>
                    <w:rPr>
                      <w:color w:val="auto"/>
                      <w:kern w:val="0"/>
                      <w:szCs w:val="21"/>
                      <w:lang w:bidi="ar"/>
                    </w:rPr>
                    <w:t>1.2</w:t>
                  </w:r>
                </w:p>
              </w:tc>
              <w:tc>
                <w:tcPr>
                  <w:tcW w:w="1171" w:type="dxa"/>
                  <w:vAlign w:val="center"/>
                </w:tcPr>
                <w:p w14:paraId="02EEC0C6">
                  <w:pPr>
                    <w:snapToGrid w:val="0"/>
                    <w:jc w:val="center"/>
                    <w:rPr>
                      <w:rFonts w:hint="eastAsia"/>
                      <w:color w:val="auto"/>
                      <w:szCs w:val="21"/>
                    </w:rPr>
                  </w:pPr>
                  <w:r>
                    <w:rPr>
                      <w:rFonts w:hint="eastAsia"/>
                      <w:color w:val="auto"/>
                      <w:szCs w:val="21"/>
                    </w:rPr>
                    <w:t>北50</w:t>
                  </w:r>
                </w:p>
              </w:tc>
              <w:tc>
                <w:tcPr>
                  <w:tcW w:w="782" w:type="dxa"/>
                  <w:vAlign w:val="center"/>
                </w:tcPr>
                <w:p w14:paraId="202EBEF7">
                  <w:pPr>
                    <w:widowControl/>
                    <w:jc w:val="center"/>
                    <w:textAlignment w:val="center"/>
                    <w:rPr>
                      <w:color w:val="auto"/>
                      <w:szCs w:val="21"/>
                    </w:rPr>
                  </w:pPr>
                  <w:r>
                    <w:rPr>
                      <w:color w:val="auto"/>
                      <w:kern w:val="0"/>
                      <w:szCs w:val="21"/>
                      <w:lang w:bidi="ar"/>
                    </w:rPr>
                    <w:t>46.0</w:t>
                  </w:r>
                </w:p>
              </w:tc>
              <w:tc>
                <w:tcPr>
                  <w:tcW w:w="741" w:type="dxa"/>
                  <w:vMerge w:val="continue"/>
                  <w:vAlign w:val="center"/>
                </w:tcPr>
                <w:p w14:paraId="30B05FEE">
                  <w:pPr>
                    <w:snapToGrid w:val="0"/>
                    <w:jc w:val="center"/>
                    <w:rPr>
                      <w:color w:val="auto"/>
                      <w:szCs w:val="21"/>
                    </w:rPr>
                  </w:pPr>
                </w:p>
              </w:tc>
              <w:tc>
                <w:tcPr>
                  <w:tcW w:w="893" w:type="dxa"/>
                  <w:vMerge w:val="continue"/>
                  <w:vAlign w:val="center"/>
                </w:tcPr>
                <w:p w14:paraId="7AC2CF88">
                  <w:pPr>
                    <w:snapToGrid w:val="0"/>
                    <w:jc w:val="center"/>
                    <w:rPr>
                      <w:color w:val="auto"/>
                      <w:szCs w:val="21"/>
                    </w:rPr>
                  </w:pPr>
                </w:p>
              </w:tc>
              <w:tc>
                <w:tcPr>
                  <w:tcW w:w="693" w:type="dxa"/>
                  <w:vAlign w:val="center"/>
                </w:tcPr>
                <w:p w14:paraId="7FF9E544">
                  <w:pPr>
                    <w:widowControl/>
                    <w:jc w:val="center"/>
                    <w:textAlignment w:val="center"/>
                    <w:rPr>
                      <w:color w:val="auto"/>
                      <w:kern w:val="0"/>
                      <w:szCs w:val="21"/>
                      <w:lang w:bidi="ar"/>
                    </w:rPr>
                  </w:pPr>
                  <w:r>
                    <w:rPr>
                      <w:color w:val="auto"/>
                      <w:kern w:val="0"/>
                      <w:szCs w:val="21"/>
                      <w:lang w:bidi="ar"/>
                    </w:rPr>
                    <w:t>26.0</w:t>
                  </w:r>
                </w:p>
              </w:tc>
              <w:tc>
                <w:tcPr>
                  <w:tcW w:w="1260" w:type="dxa"/>
                  <w:vMerge w:val="restart"/>
                  <w:vAlign w:val="center"/>
                </w:tcPr>
                <w:p w14:paraId="32091C53">
                  <w:pPr>
                    <w:snapToGrid w:val="0"/>
                    <w:jc w:val="center"/>
                    <w:rPr>
                      <w:color w:val="auto"/>
                      <w:szCs w:val="21"/>
                    </w:rPr>
                  </w:pPr>
                  <w:r>
                    <w:rPr>
                      <w:rFonts w:hint="eastAsia"/>
                      <w:color w:val="auto"/>
                      <w:szCs w:val="21"/>
                    </w:rPr>
                    <w:t>1</w:t>
                  </w:r>
                </w:p>
              </w:tc>
            </w:tr>
            <w:tr w14:paraId="13FF0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84" w:type="dxa"/>
                  <w:vMerge w:val="continue"/>
                  <w:vAlign w:val="center"/>
                </w:tcPr>
                <w:p w14:paraId="13F500D1">
                  <w:pPr>
                    <w:snapToGrid w:val="0"/>
                    <w:jc w:val="center"/>
                    <w:rPr>
                      <w:color w:val="auto"/>
                      <w:szCs w:val="21"/>
                    </w:rPr>
                  </w:pPr>
                </w:p>
              </w:tc>
              <w:tc>
                <w:tcPr>
                  <w:tcW w:w="786" w:type="dxa"/>
                  <w:vMerge w:val="continue"/>
                  <w:vAlign w:val="center"/>
                </w:tcPr>
                <w:p w14:paraId="6D6E1F7E">
                  <w:pPr>
                    <w:snapToGrid w:val="0"/>
                    <w:jc w:val="center"/>
                    <w:rPr>
                      <w:color w:val="auto"/>
                    </w:rPr>
                  </w:pPr>
                </w:p>
              </w:tc>
              <w:tc>
                <w:tcPr>
                  <w:tcW w:w="1383" w:type="dxa"/>
                  <w:vMerge w:val="continue"/>
                  <w:vAlign w:val="top"/>
                </w:tcPr>
                <w:p w14:paraId="3814A8A1">
                  <w:pPr>
                    <w:snapToGrid w:val="0"/>
                    <w:jc w:val="center"/>
                    <w:rPr>
                      <w:color w:val="auto"/>
                    </w:rPr>
                  </w:pPr>
                </w:p>
              </w:tc>
              <w:tc>
                <w:tcPr>
                  <w:tcW w:w="1494" w:type="dxa"/>
                  <w:vMerge w:val="continue"/>
                  <w:vAlign w:val="center"/>
                </w:tcPr>
                <w:p w14:paraId="602EEFA7">
                  <w:pPr>
                    <w:snapToGrid w:val="0"/>
                    <w:jc w:val="center"/>
                    <w:rPr>
                      <w:color w:val="auto"/>
                    </w:rPr>
                  </w:pPr>
                </w:p>
              </w:tc>
              <w:tc>
                <w:tcPr>
                  <w:tcW w:w="1081" w:type="dxa"/>
                  <w:vMerge w:val="continue"/>
                  <w:vAlign w:val="center"/>
                </w:tcPr>
                <w:p w14:paraId="42AFF563">
                  <w:pPr>
                    <w:snapToGrid w:val="0"/>
                    <w:jc w:val="center"/>
                    <w:rPr>
                      <w:color w:val="auto"/>
                      <w:szCs w:val="21"/>
                    </w:rPr>
                  </w:pPr>
                </w:p>
              </w:tc>
              <w:tc>
                <w:tcPr>
                  <w:tcW w:w="768" w:type="dxa"/>
                  <w:vMerge w:val="continue"/>
                  <w:vAlign w:val="center"/>
                </w:tcPr>
                <w:p w14:paraId="5286D408">
                  <w:pPr>
                    <w:snapToGrid w:val="0"/>
                    <w:jc w:val="center"/>
                    <w:rPr>
                      <w:color w:val="auto"/>
                    </w:rPr>
                  </w:pPr>
                </w:p>
              </w:tc>
              <w:tc>
                <w:tcPr>
                  <w:tcW w:w="617" w:type="dxa"/>
                  <w:vMerge w:val="continue"/>
                  <w:vAlign w:val="center"/>
                </w:tcPr>
                <w:p w14:paraId="27BCEE74">
                  <w:pPr>
                    <w:snapToGrid w:val="0"/>
                    <w:jc w:val="center"/>
                    <w:rPr>
                      <w:color w:val="auto"/>
                      <w:szCs w:val="21"/>
                    </w:rPr>
                  </w:pPr>
                </w:p>
              </w:tc>
              <w:tc>
                <w:tcPr>
                  <w:tcW w:w="617" w:type="dxa"/>
                  <w:vMerge w:val="continue"/>
                  <w:vAlign w:val="center"/>
                </w:tcPr>
                <w:p w14:paraId="5AAD491F">
                  <w:pPr>
                    <w:snapToGrid w:val="0"/>
                    <w:jc w:val="center"/>
                    <w:rPr>
                      <w:color w:val="auto"/>
                      <w:szCs w:val="21"/>
                    </w:rPr>
                  </w:pPr>
                </w:p>
              </w:tc>
              <w:tc>
                <w:tcPr>
                  <w:tcW w:w="623" w:type="dxa"/>
                  <w:vMerge w:val="continue"/>
                  <w:vAlign w:val="center"/>
                </w:tcPr>
                <w:p w14:paraId="16956AB6">
                  <w:pPr>
                    <w:snapToGrid w:val="0"/>
                    <w:jc w:val="center"/>
                    <w:rPr>
                      <w:color w:val="auto"/>
                      <w:szCs w:val="21"/>
                    </w:rPr>
                  </w:pPr>
                </w:p>
              </w:tc>
              <w:tc>
                <w:tcPr>
                  <w:tcW w:w="1171" w:type="dxa"/>
                  <w:vAlign w:val="center"/>
                </w:tcPr>
                <w:p w14:paraId="19ABDA79">
                  <w:pPr>
                    <w:snapToGrid w:val="0"/>
                    <w:jc w:val="center"/>
                    <w:rPr>
                      <w:rFonts w:hint="eastAsia"/>
                      <w:color w:val="auto"/>
                      <w:szCs w:val="21"/>
                    </w:rPr>
                  </w:pPr>
                  <w:r>
                    <w:rPr>
                      <w:rFonts w:hint="eastAsia"/>
                      <w:color w:val="auto"/>
                      <w:szCs w:val="21"/>
                    </w:rPr>
                    <w:t>南50</w:t>
                  </w:r>
                </w:p>
              </w:tc>
              <w:tc>
                <w:tcPr>
                  <w:tcW w:w="782" w:type="dxa"/>
                  <w:vAlign w:val="center"/>
                </w:tcPr>
                <w:p w14:paraId="06A1B492">
                  <w:pPr>
                    <w:widowControl/>
                    <w:jc w:val="center"/>
                    <w:textAlignment w:val="center"/>
                    <w:rPr>
                      <w:color w:val="auto"/>
                      <w:szCs w:val="21"/>
                    </w:rPr>
                  </w:pPr>
                  <w:r>
                    <w:rPr>
                      <w:color w:val="auto"/>
                      <w:kern w:val="0"/>
                      <w:szCs w:val="21"/>
                      <w:lang w:bidi="ar"/>
                    </w:rPr>
                    <w:t>46.0</w:t>
                  </w:r>
                </w:p>
              </w:tc>
              <w:tc>
                <w:tcPr>
                  <w:tcW w:w="741" w:type="dxa"/>
                  <w:vMerge w:val="continue"/>
                  <w:vAlign w:val="center"/>
                </w:tcPr>
                <w:p w14:paraId="38A469DC">
                  <w:pPr>
                    <w:snapToGrid w:val="0"/>
                    <w:jc w:val="center"/>
                    <w:rPr>
                      <w:rFonts w:hint="eastAsia"/>
                      <w:color w:val="auto"/>
                      <w:szCs w:val="21"/>
                    </w:rPr>
                  </w:pPr>
                </w:p>
              </w:tc>
              <w:tc>
                <w:tcPr>
                  <w:tcW w:w="893" w:type="dxa"/>
                  <w:vMerge w:val="continue"/>
                  <w:vAlign w:val="center"/>
                </w:tcPr>
                <w:p w14:paraId="60C42874">
                  <w:pPr>
                    <w:snapToGrid w:val="0"/>
                    <w:jc w:val="center"/>
                    <w:rPr>
                      <w:rFonts w:hint="eastAsia"/>
                      <w:color w:val="auto"/>
                      <w:szCs w:val="21"/>
                    </w:rPr>
                  </w:pPr>
                </w:p>
              </w:tc>
              <w:tc>
                <w:tcPr>
                  <w:tcW w:w="693" w:type="dxa"/>
                  <w:vAlign w:val="center"/>
                </w:tcPr>
                <w:p w14:paraId="664D69F3">
                  <w:pPr>
                    <w:widowControl/>
                    <w:jc w:val="center"/>
                    <w:textAlignment w:val="center"/>
                    <w:rPr>
                      <w:color w:val="auto"/>
                      <w:szCs w:val="21"/>
                    </w:rPr>
                  </w:pPr>
                  <w:r>
                    <w:rPr>
                      <w:color w:val="auto"/>
                      <w:kern w:val="0"/>
                      <w:szCs w:val="21"/>
                      <w:lang w:bidi="ar"/>
                    </w:rPr>
                    <w:t>26.0</w:t>
                  </w:r>
                </w:p>
              </w:tc>
              <w:tc>
                <w:tcPr>
                  <w:tcW w:w="1260" w:type="dxa"/>
                  <w:vMerge w:val="continue"/>
                  <w:vAlign w:val="center"/>
                </w:tcPr>
                <w:p w14:paraId="79F65A90">
                  <w:pPr>
                    <w:snapToGrid w:val="0"/>
                    <w:jc w:val="center"/>
                    <w:rPr>
                      <w:rFonts w:hint="eastAsia"/>
                      <w:color w:val="auto"/>
                      <w:szCs w:val="21"/>
                    </w:rPr>
                  </w:pPr>
                </w:p>
              </w:tc>
            </w:tr>
            <w:tr w14:paraId="57FE3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84" w:type="dxa"/>
                  <w:vMerge w:val="continue"/>
                  <w:vAlign w:val="center"/>
                </w:tcPr>
                <w:p w14:paraId="07E5EEE0">
                  <w:pPr>
                    <w:snapToGrid w:val="0"/>
                    <w:jc w:val="center"/>
                    <w:rPr>
                      <w:color w:val="auto"/>
                      <w:szCs w:val="21"/>
                    </w:rPr>
                  </w:pPr>
                </w:p>
              </w:tc>
              <w:tc>
                <w:tcPr>
                  <w:tcW w:w="786" w:type="dxa"/>
                  <w:vMerge w:val="continue"/>
                  <w:vAlign w:val="center"/>
                </w:tcPr>
                <w:p w14:paraId="2F2612DF">
                  <w:pPr>
                    <w:snapToGrid w:val="0"/>
                    <w:jc w:val="center"/>
                    <w:rPr>
                      <w:rFonts w:hint="eastAsia"/>
                      <w:color w:val="auto"/>
                      <w:szCs w:val="21"/>
                    </w:rPr>
                  </w:pPr>
                </w:p>
              </w:tc>
              <w:tc>
                <w:tcPr>
                  <w:tcW w:w="1383" w:type="dxa"/>
                  <w:vMerge w:val="continue"/>
                  <w:vAlign w:val="top"/>
                </w:tcPr>
                <w:p w14:paraId="31E480A0">
                  <w:pPr>
                    <w:snapToGrid w:val="0"/>
                    <w:jc w:val="center"/>
                    <w:rPr>
                      <w:rFonts w:hint="eastAsia"/>
                      <w:color w:val="auto"/>
                      <w:szCs w:val="21"/>
                    </w:rPr>
                  </w:pPr>
                </w:p>
              </w:tc>
              <w:tc>
                <w:tcPr>
                  <w:tcW w:w="1494" w:type="dxa"/>
                  <w:vMerge w:val="continue"/>
                  <w:vAlign w:val="center"/>
                </w:tcPr>
                <w:p w14:paraId="74C544E3">
                  <w:pPr>
                    <w:snapToGrid w:val="0"/>
                    <w:jc w:val="center"/>
                    <w:rPr>
                      <w:rFonts w:hint="eastAsia"/>
                      <w:color w:val="auto"/>
                      <w:szCs w:val="21"/>
                    </w:rPr>
                  </w:pPr>
                </w:p>
              </w:tc>
              <w:tc>
                <w:tcPr>
                  <w:tcW w:w="1081" w:type="dxa"/>
                  <w:vMerge w:val="continue"/>
                  <w:vAlign w:val="center"/>
                </w:tcPr>
                <w:p w14:paraId="47961E7A">
                  <w:pPr>
                    <w:snapToGrid w:val="0"/>
                    <w:jc w:val="center"/>
                    <w:rPr>
                      <w:color w:val="auto"/>
                      <w:szCs w:val="21"/>
                    </w:rPr>
                  </w:pPr>
                </w:p>
              </w:tc>
              <w:tc>
                <w:tcPr>
                  <w:tcW w:w="768" w:type="dxa"/>
                  <w:vMerge w:val="continue"/>
                  <w:vAlign w:val="center"/>
                </w:tcPr>
                <w:p w14:paraId="1BDBE8E2">
                  <w:pPr>
                    <w:snapToGrid w:val="0"/>
                    <w:jc w:val="center"/>
                    <w:rPr>
                      <w:rFonts w:hint="eastAsia"/>
                      <w:color w:val="auto"/>
                      <w:szCs w:val="21"/>
                    </w:rPr>
                  </w:pPr>
                </w:p>
              </w:tc>
              <w:tc>
                <w:tcPr>
                  <w:tcW w:w="617" w:type="dxa"/>
                  <w:vMerge w:val="continue"/>
                  <w:vAlign w:val="center"/>
                </w:tcPr>
                <w:p w14:paraId="1606CAFC">
                  <w:pPr>
                    <w:snapToGrid w:val="0"/>
                    <w:jc w:val="center"/>
                    <w:rPr>
                      <w:color w:val="auto"/>
                      <w:szCs w:val="21"/>
                    </w:rPr>
                  </w:pPr>
                </w:p>
              </w:tc>
              <w:tc>
                <w:tcPr>
                  <w:tcW w:w="617" w:type="dxa"/>
                  <w:vMerge w:val="continue"/>
                  <w:vAlign w:val="center"/>
                </w:tcPr>
                <w:p w14:paraId="52075B85">
                  <w:pPr>
                    <w:snapToGrid w:val="0"/>
                    <w:jc w:val="center"/>
                    <w:rPr>
                      <w:color w:val="auto"/>
                      <w:szCs w:val="21"/>
                    </w:rPr>
                  </w:pPr>
                </w:p>
              </w:tc>
              <w:tc>
                <w:tcPr>
                  <w:tcW w:w="623" w:type="dxa"/>
                  <w:vMerge w:val="continue"/>
                  <w:vAlign w:val="center"/>
                </w:tcPr>
                <w:p w14:paraId="1FE04CD8">
                  <w:pPr>
                    <w:snapToGrid w:val="0"/>
                    <w:jc w:val="center"/>
                    <w:rPr>
                      <w:color w:val="auto"/>
                      <w:szCs w:val="21"/>
                    </w:rPr>
                  </w:pPr>
                </w:p>
              </w:tc>
              <w:tc>
                <w:tcPr>
                  <w:tcW w:w="1171" w:type="dxa"/>
                  <w:vAlign w:val="center"/>
                </w:tcPr>
                <w:p w14:paraId="3E1B24EE">
                  <w:pPr>
                    <w:snapToGrid w:val="0"/>
                    <w:jc w:val="center"/>
                    <w:rPr>
                      <w:rFonts w:hint="eastAsia"/>
                      <w:color w:val="auto"/>
                      <w:szCs w:val="21"/>
                    </w:rPr>
                  </w:pPr>
                  <w:r>
                    <w:rPr>
                      <w:rFonts w:hint="eastAsia"/>
                      <w:color w:val="auto"/>
                      <w:szCs w:val="21"/>
                    </w:rPr>
                    <w:t>东28</w:t>
                  </w:r>
                </w:p>
              </w:tc>
              <w:tc>
                <w:tcPr>
                  <w:tcW w:w="782" w:type="dxa"/>
                  <w:vAlign w:val="center"/>
                </w:tcPr>
                <w:p w14:paraId="2EF34816">
                  <w:pPr>
                    <w:widowControl/>
                    <w:jc w:val="center"/>
                    <w:textAlignment w:val="center"/>
                    <w:rPr>
                      <w:color w:val="auto"/>
                      <w:szCs w:val="21"/>
                    </w:rPr>
                  </w:pPr>
                  <w:r>
                    <w:rPr>
                      <w:color w:val="auto"/>
                      <w:kern w:val="0"/>
                      <w:szCs w:val="21"/>
                      <w:lang w:bidi="ar"/>
                    </w:rPr>
                    <w:t>51.1</w:t>
                  </w:r>
                </w:p>
              </w:tc>
              <w:tc>
                <w:tcPr>
                  <w:tcW w:w="741" w:type="dxa"/>
                  <w:vMerge w:val="continue"/>
                  <w:vAlign w:val="center"/>
                </w:tcPr>
                <w:p w14:paraId="4FF8F0B5">
                  <w:pPr>
                    <w:snapToGrid w:val="0"/>
                    <w:jc w:val="center"/>
                    <w:rPr>
                      <w:rFonts w:hint="eastAsia"/>
                      <w:color w:val="auto"/>
                      <w:szCs w:val="21"/>
                    </w:rPr>
                  </w:pPr>
                </w:p>
              </w:tc>
              <w:tc>
                <w:tcPr>
                  <w:tcW w:w="893" w:type="dxa"/>
                  <w:vMerge w:val="continue"/>
                  <w:vAlign w:val="center"/>
                </w:tcPr>
                <w:p w14:paraId="735463D2">
                  <w:pPr>
                    <w:snapToGrid w:val="0"/>
                    <w:jc w:val="center"/>
                    <w:rPr>
                      <w:rFonts w:hint="eastAsia"/>
                      <w:color w:val="auto"/>
                      <w:szCs w:val="21"/>
                    </w:rPr>
                  </w:pPr>
                </w:p>
              </w:tc>
              <w:tc>
                <w:tcPr>
                  <w:tcW w:w="693" w:type="dxa"/>
                  <w:vAlign w:val="center"/>
                </w:tcPr>
                <w:p w14:paraId="097AD1AE">
                  <w:pPr>
                    <w:widowControl/>
                    <w:jc w:val="center"/>
                    <w:textAlignment w:val="center"/>
                    <w:rPr>
                      <w:color w:val="auto"/>
                      <w:szCs w:val="21"/>
                    </w:rPr>
                  </w:pPr>
                  <w:r>
                    <w:rPr>
                      <w:color w:val="auto"/>
                      <w:kern w:val="0"/>
                      <w:szCs w:val="21"/>
                      <w:lang w:bidi="ar"/>
                    </w:rPr>
                    <w:t>31.1</w:t>
                  </w:r>
                </w:p>
              </w:tc>
              <w:tc>
                <w:tcPr>
                  <w:tcW w:w="1260" w:type="dxa"/>
                  <w:vMerge w:val="continue"/>
                  <w:vAlign w:val="center"/>
                </w:tcPr>
                <w:p w14:paraId="5B930276">
                  <w:pPr>
                    <w:snapToGrid w:val="0"/>
                    <w:jc w:val="center"/>
                    <w:rPr>
                      <w:rFonts w:hint="eastAsia"/>
                      <w:color w:val="auto"/>
                      <w:szCs w:val="21"/>
                    </w:rPr>
                  </w:pPr>
                </w:p>
              </w:tc>
            </w:tr>
            <w:tr w14:paraId="088A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84" w:type="dxa"/>
                  <w:vMerge w:val="continue"/>
                  <w:vAlign w:val="center"/>
                </w:tcPr>
                <w:p w14:paraId="2371FC9E">
                  <w:pPr>
                    <w:snapToGrid w:val="0"/>
                    <w:jc w:val="center"/>
                    <w:rPr>
                      <w:color w:val="auto"/>
                      <w:szCs w:val="21"/>
                    </w:rPr>
                  </w:pPr>
                </w:p>
              </w:tc>
              <w:tc>
                <w:tcPr>
                  <w:tcW w:w="786" w:type="dxa"/>
                  <w:vMerge w:val="continue"/>
                  <w:vAlign w:val="center"/>
                </w:tcPr>
                <w:p w14:paraId="775C886E">
                  <w:pPr>
                    <w:snapToGrid w:val="0"/>
                    <w:jc w:val="center"/>
                    <w:rPr>
                      <w:rFonts w:hint="eastAsia"/>
                      <w:color w:val="auto"/>
                      <w:szCs w:val="21"/>
                    </w:rPr>
                  </w:pPr>
                </w:p>
              </w:tc>
              <w:tc>
                <w:tcPr>
                  <w:tcW w:w="1383" w:type="dxa"/>
                  <w:vMerge w:val="continue"/>
                  <w:vAlign w:val="top"/>
                </w:tcPr>
                <w:p w14:paraId="00A957B7">
                  <w:pPr>
                    <w:snapToGrid w:val="0"/>
                    <w:jc w:val="center"/>
                    <w:rPr>
                      <w:rFonts w:hint="eastAsia"/>
                      <w:color w:val="auto"/>
                      <w:szCs w:val="21"/>
                    </w:rPr>
                  </w:pPr>
                </w:p>
              </w:tc>
              <w:tc>
                <w:tcPr>
                  <w:tcW w:w="1494" w:type="dxa"/>
                  <w:vMerge w:val="continue"/>
                  <w:vAlign w:val="center"/>
                </w:tcPr>
                <w:p w14:paraId="54D5CCDF">
                  <w:pPr>
                    <w:snapToGrid w:val="0"/>
                    <w:jc w:val="center"/>
                    <w:rPr>
                      <w:rFonts w:hint="eastAsia"/>
                      <w:color w:val="auto"/>
                      <w:szCs w:val="21"/>
                    </w:rPr>
                  </w:pPr>
                </w:p>
              </w:tc>
              <w:tc>
                <w:tcPr>
                  <w:tcW w:w="1081" w:type="dxa"/>
                  <w:vMerge w:val="continue"/>
                  <w:vAlign w:val="center"/>
                </w:tcPr>
                <w:p w14:paraId="7863C7D3">
                  <w:pPr>
                    <w:snapToGrid w:val="0"/>
                    <w:jc w:val="center"/>
                    <w:rPr>
                      <w:color w:val="auto"/>
                      <w:szCs w:val="21"/>
                    </w:rPr>
                  </w:pPr>
                </w:p>
              </w:tc>
              <w:tc>
                <w:tcPr>
                  <w:tcW w:w="768" w:type="dxa"/>
                  <w:vMerge w:val="continue"/>
                  <w:vAlign w:val="center"/>
                </w:tcPr>
                <w:p w14:paraId="2D81B6C0">
                  <w:pPr>
                    <w:snapToGrid w:val="0"/>
                    <w:jc w:val="center"/>
                    <w:rPr>
                      <w:rFonts w:hint="eastAsia"/>
                      <w:color w:val="auto"/>
                      <w:szCs w:val="21"/>
                    </w:rPr>
                  </w:pPr>
                </w:p>
              </w:tc>
              <w:tc>
                <w:tcPr>
                  <w:tcW w:w="617" w:type="dxa"/>
                  <w:vMerge w:val="continue"/>
                  <w:vAlign w:val="center"/>
                </w:tcPr>
                <w:p w14:paraId="231CCFFF">
                  <w:pPr>
                    <w:snapToGrid w:val="0"/>
                    <w:jc w:val="center"/>
                    <w:rPr>
                      <w:color w:val="auto"/>
                      <w:szCs w:val="21"/>
                    </w:rPr>
                  </w:pPr>
                </w:p>
              </w:tc>
              <w:tc>
                <w:tcPr>
                  <w:tcW w:w="617" w:type="dxa"/>
                  <w:vMerge w:val="continue"/>
                  <w:vAlign w:val="center"/>
                </w:tcPr>
                <w:p w14:paraId="301A0EBB">
                  <w:pPr>
                    <w:snapToGrid w:val="0"/>
                    <w:jc w:val="center"/>
                    <w:rPr>
                      <w:color w:val="auto"/>
                      <w:szCs w:val="21"/>
                    </w:rPr>
                  </w:pPr>
                </w:p>
              </w:tc>
              <w:tc>
                <w:tcPr>
                  <w:tcW w:w="623" w:type="dxa"/>
                  <w:vMerge w:val="continue"/>
                  <w:vAlign w:val="center"/>
                </w:tcPr>
                <w:p w14:paraId="3BA37C5E">
                  <w:pPr>
                    <w:snapToGrid w:val="0"/>
                    <w:jc w:val="center"/>
                    <w:rPr>
                      <w:color w:val="auto"/>
                      <w:szCs w:val="21"/>
                    </w:rPr>
                  </w:pPr>
                </w:p>
              </w:tc>
              <w:tc>
                <w:tcPr>
                  <w:tcW w:w="1171" w:type="dxa"/>
                  <w:vAlign w:val="center"/>
                </w:tcPr>
                <w:p w14:paraId="48A8F30F">
                  <w:pPr>
                    <w:snapToGrid w:val="0"/>
                    <w:jc w:val="center"/>
                    <w:rPr>
                      <w:rFonts w:hint="eastAsia"/>
                      <w:color w:val="auto"/>
                      <w:szCs w:val="21"/>
                    </w:rPr>
                  </w:pPr>
                  <w:r>
                    <w:rPr>
                      <w:rFonts w:hint="eastAsia"/>
                      <w:color w:val="auto"/>
                      <w:szCs w:val="21"/>
                    </w:rPr>
                    <w:t>西42</w:t>
                  </w:r>
                </w:p>
              </w:tc>
              <w:tc>
                <w:tcPr>
                  <w:tcW w:w="782" w:type="dxa"/>
                  <w:vAlign w:val="center"/>
                </w:tcPr>
                <w:p w14:paraId="2B6A1ECC">
                  <w:pPr>
                    <w:widowControl/>
                    <w:jc w:val="center"/>
                    <w:textAlignment w:val="center"/>
                    <w:rPr>
                      <w:color w:val="auto"/>
                      <w:szCs w:val="21"/>
                    </w:rPr>
                  </w:pPr>
                  <w:r>
                    <w:rPr>
                      <w:color w:val="auto"/>
                      <w:kern w:val="0"/>
                      <w:szCs w:val="21"/>
                      <w:lang w:bidi="ar"/>
                    </w:rPr>
                    <w:t>47.5</w:t>
                  </w:r>
                </w:p>
              </w:tc>
              <w:tc>
                <w:tcPr>
                  <w:tcW w:w="741" w:type="dxa"/>
                  <w:vMerge w:val="continue"/>
                  <w:vAlign w:val="center"/>
                </w:tcPr>
                <w:p w14:paraId="238A3E09">
                  <w:pPr>
                    <w:snapToGrid w:val="0"/>
                    <w:jc w:val="center"/>
                    <w:rPr>
                      <w:rFonts w:hint="eastAsia"/>
                      <w:color w:val="auto"/>
                      <w:szCs w:val="21"/>
                    </w:rPr>
                  </w:pPr>
                </w:p>
              </w:tc>
              <w:tc>
                <w:tcPr>
                  <w:tcW w:w="893" w:type="dxa"/>
                  <w:vMerge w:val="continue"/>
                  <w:vAlign w:val="center"/>
                </w:tcPr>
                <w:p w14:paraId="6BD62E61">
                  <w:pPr>
                    <w:snapToGrid w:val="0"/>
                    <w:jc w:val="center"/>
                    <w:rPr>
                      <w:rFonts w:hint="eastAsia"/>
                      <w:color w:val="auto"/>
                      <w:szCs w:val="21"/>
                    </w:rPr>
                  </w:pPr>
                </w:p>
              </w:tc>
              <w:tc>
                <w:tcPr>
                  <w:tcW w:w="693" w:type="dxa"/>
                  <w:vAlign w:val="center"/>
                </w:tcPr>
                <w:p w14:paraId="75B4956A">
                  <w:pPr>
                    <w:widowControl/>
                    <w:jc w:val="center"/>
                    <w:textAlignment w:val="center"/>
                    <w:rPr>
                      <w:color w:val="auto"/>
                      <w:szCs w:val="21"/>
                    </w:rPr>
                  </w:pPr>
                  <w:r>
                    <w:rPr>
                      <w:color w:val="auto"/>
                      <w:kern w:val="0"/>
                      <w:szCs w:val="21"/>
                      <w:lang w:bidi="ar"/>
                    </w:rPr>
                    <w:t>27.5</w:t>
                  </w:r>
                </w:p>
              </w:tc>
              <w:tc>
                <w:tcPr>
                  <w:tcW w:w="1260" w:type="dxa"/>
                  <w:vMerge w:val="continue"/>
                  <w:vAlign w:val="center"/>
                </w:tcPr>
                <w:p w14:paraId="5A4C772D">
                  <w:pPr>
                    <w:snapToGrid w:val="0"/>
                    <w:jc w:val="center"/>
                    <w:rPr>
                      <w:rFonts w:hint="eastAsia"/>
                      <w:color w:val="auto"/>
                      <w:szCs w:val="21"/>
                    </w:rPr>
                  </w:pPr>
                </w:p>
              </w:tc>
            </w:tr>
            <w:tr w14:paraId="58B69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84" w:type="dxa"/>
                  <w:vMerge w:val="restart"/>
                  <w:vAlign w:val="center"/>
                </w:tcPr>
                <w:p w14:paraId="16258BD1">
                  <w:pPr>
                    <w:widowControl/>
                    <w:jc w:val="center"/>
                    <w:textAlignment w:val="center"/>
                    <w:rPr>
                      <w:color w:val="auto"/>
                      <w:szCs w:val="21"/>
                    </w:rPr>
                  </w:pPr>
                  <w:r>
                    <w:rPr>
                      <w:color w:val="auto"/>
                      <w:kern w:val="0"/>
                      <w:szCs w:val="21"/>
                      <w:lang w:bidi="ar"/>
                    </w:rPr>
                    <w:t>22</w:t>
                  </w:r>
                </w:p>
              </w:tc>
              <w:tc>
                <w:tcPr>
                  <w:tcW w:w="786" w:type="dxa"/>
                  <w:vMerge w:val="continue"/>
                  <w:vAlign w:val="center"/>
                </w:tcPr>
                <w:p w14:paraId="05A77736">
                  <w:pPr>
                    <w:snapToGrid w:val="0"/>
                    <w:jc w:val="center"/>
                    <w:rPr>
                      <w:b/>
                      <w:bCs/>
                      <w:color w:val="auto"/>
                      <w:szCs w:val="21"/>
                    </w:rPr>
                  </w:pPr>
                </w:p>
              </w:tc>
              <w:tc>
                <w:tcPr>
                  <w:tcW w:w="1383" w:type="dxa"/>
                  <w:vMerge w:val="restart"/>
                  <w:vAlign w:val="center"/>
                </w:tcPr>
                <w:p w14:paraId="67D19428">
                  <w:pPr>
                    <w:widowControl/>
                    <w:jc w:val="center"/>
                    <w:rPr>
                      <w:color w:val="auto"/>
                      <w:kern w:val="0"/>
                      <w:szCs w:val="21"/>
                    </w:rPr>
                  </w:pPr>
                  <w:r>
                    <w:rPr>
                      <w:rFonts w:hint="eastAsia"/>
                      <w:color w:val="auto"/>
                      <w:kern w:val="0"/>
                      <w:szCs w:val="21"/>
                    </w:rPr>
                    <w:t>风车拼板机</w:t>
                  </w:r>
                </w:p>
              </w:tc>
              <w:tc>
                <w:tcPr>
                  <w:tcW w:w="1494" w:type="dxa"/>
                  <w:vMerge w:val="restart"/>
                  <w:vAlign w:val="center"/>
                </w:tcPr>
                <w:p w14:paraId="480662FD">
                  <w:pPr>
                    <w:adjustRightInd w:val="0"/>
                    <w:snapToGrid w:val="0"/>
                    <w:jc w:val="center"/>
                    <w:rPr>
                      <w:rFonts w:hint="eastAsia" w:eastAsia="宋体"/>
                      <w:bCs/>
                      <w:color w:val="auto"/>
                      <w:szCs w:val="21"/>
                      <w:lang w:val="en-US" w:eastAsia="zh-CN"/>
                    </w:rPr>
                  </w:pPr>
                  <w:r>
                    <w:rPr>
                      <w:rFonts w:hint="eastAsia"/>
                      <w:bCs/>
                      <w:color w:val="auto"/>
                      <w:szCs w:val="21"/>
                      <w:lang w:val="en-US" w:eastAsia="zh-CN"/>
                    </w:rPr>
                    <w:t>/</w:t>
                  </w:r>
                </w:p>
              </w:tc>
              <w:tc>
                <w:tcPr>
                  <w:tcW w:w="1081" w:type="dxa"/>
                  <w:vMerge w:val="restart"/>
                  <w:vAlign w:val="center"/>
                </w:tcPr>
                <w:p w14:paraId="1730F7CE">
                  <w:pPr>
                    <w:widowControl/>
                    <w:jc w:val="center"/>
                    <w:textAlignment w:val="center"/>
                    <w:rPr>
                      <w:bCs/>
                      <w:color w:val="auto"/>
                      <w:szCs w:val="21"/>
                    </w:rPr>
                  </w:pPr>
                  <w:r>
                    <w:rPr>
                      <w:color w:val="auto"/>
                      <w:kern w:val="0"/>
                      <w:szCs w:val="21"/>
                      <w:lang w:bidi="ar"/>
                    </w:rPr>
                    <w:t>80</w:t>
                  </w:r>
                </w:p>
              </w:tc>
              <w:tc>
                <w:tcPr>
                  <w:tcW w:w="768" w:type="dxa"/>
                  <w:vMerge w:val="continue"/>
                  <w:vAlign w:val="center"/>
                </w:tcPr>
                <w:p w14:paraId="4CC49CA5">
                  <w:pPr>
                    <w:snapToGrid w:val="0"/>
                    <w:jc w:val="center"/>
                    <w:rPr>
                      <w:b/>
                      <w:bCs/>
                      <w:color w:val="auto"/>
                      <w:szCs w:val="21"/>
                    </w:rPr>
                  </w:pPr>
                </w:p>
              </w:tc>
              <w:tc>
                <w:tcPr>
                  <w:tcW w:w="617" w:type="dxa"/>
                  <w:vMerge w:val="restart"/>
                  <w:vAlign w:val="center"/>
                </w:tcPr>
                <w:p w14:paraId="6E31BDF8">
                  <w:pPr>
                    <w:widowControl/>
                    <w:jc w:val="center"/>
                    <w:textAlignment w:val="center"/>
                    <w:rPr>
                      <w:color w:val="auto"/>
                      <w:szCs w:val="21"/>
                    </w:rPr>
                  </w:pPr>
                  <w:r>
                    <w:rPr>
                      <w:color w:val="auto"/>
                      <w:kern w:val="0"/>
                      <w:szCs w:val="21"/>
                      <w:lang w:bidi="ar"/>
                    </w:rPr>
                    <w:t>13</w:t>
                  </w:r>
                </w:p>
              </w:tc>
              <w:tc>
                <w:tcPr>
                  <w:tcW w:w="617" w:type="dxa"/>
                  <w:vMerge w:val="restart"/>
                  <w:vAlign w:val="center"/>
                </w:tcPr>
                <w:p w14:paraId="745289CB">
                  <w:pPr>
                    <w:widowControl/>
                    <w:jc w:val="center"/>
                    <w:textAlignment w:val="center"/>
                    <w:rPr>
                      <w:color w:val="auto"/>
                      <w:szCs w:val="21"/>
                    </w:rPr>
                  </w:pPr>
                  <w:r>
                    <w:rPr>
                      <w:color w:val="auto"/>
                      <w:kern w:val="0"/>
                      <w:szCs w:val="21"/>
                      <w:lang w:bidi="ar"/>
                    </w:rPr>
                    <w:t>53</w:t>
                  </w:r>
                </w:p>
              </w:tc>
              <w:tc>
                <w:tcPr>
                  <w:tcW w:w="623" w:type="dxa"/>
                  <w:vMerge w:val="restart"/>
                  <w:vAlign w:val="center"/>
                </w:tcPr>
                <w:p w14:paraId="5FBAF441">
                  <w:pPr>
                    <w:widowControl/>
                    <w:jc w:val="center"/>
                    <w:textAlignment w:val="center"/>
                    <w:rPr>
                      <w:color w:val="auto"/>
                      <w:szCs w:val="21"/>
                    </w:rPr>
                  </w:pPr>
                  <w:r>
                    <w:rPr>
                      <w:color w:val="auto"/>
                      <w:kern w:val="0"/>
                      <w:szCs w:val="21"/>
                      <w:lang w:bidi="ar"/>
                    </w:rPr>
                    <w:t>1.2</w:t>
                  </w:r>
                </w:p>
              </w:tc>
              <w:tc>
                <w:tcPr>
                  <w:tcW w:w="1171" w:type="dxa"/>
                  <w:vAlign w:val="center"/>
                </w:tcPr>
                <w:p w14:paraId="24C03D44">
                  <w:pPr>
                    <w:snapToGrid w:val="0"/>
                    <w:jc w:val="center"/>
                    <w:rPr>
                      <w:color w:val="auto"/>
                      <w:szCs w:val="21"/>
                    </w:rPr>
                  </w:pPr>
                  <w:r>
                    <w:rPr>
                      <w:rFonts w:hint="eastAsia"/>
                      <w:color w:val="auto"/>
                      <w:szCs w:val="21"/>
                    </w:rPr>
                    <w:t>北55</w:t>
                  </w:r>
                </w:p>
              </w:tc>
              <w:tc>
                <w:tcPr>
                  <w:tcW w:w="782" w:type="dxa"/>
                  <w:vAlign w:val="center"/>
                </w:tcPr>
                <w:p w14:paraId="10092962">
                  <w:pPr>
                    <w:widowControl/>
                    <w:jc w:val="center"/>
                    <w:textAlignment w:val="center"/>
                    <w:rPr>
                      <w:color w:val="auto"/>
                      <w:szCs w:val="21"/>
                    </w:rPr>
                  </w:pPr>
                  <w:r>
                    <w:rPr>
                      <w:color w:val="auto"/>
                      <w:kern w:val="0"/>
                      <w:szCs w:val="21"/>
                      <w:lang w:bidi="ar"/>
                    </w:rPr>
                    <w:t>45.2</w:t>
                  </w:r>
                </w:p>
              </w:tc>
              <w:tc>
                <w:tcPr>
                  <w:tcW w:w="741" w:type="dxa"/>
                  <w:vMerge w:val="continue"/>
                  <w:vAlign w:val="center"/>
                </w:tcPr>
                <w:p w14:paraId="22E6829A">
                  <w:pPr>
                    <w:snapToGrid w:val="0"/>
                    <w:jc w:val="center"/>
                    <w:rPr>
                      <w:color w:val="auto"/>
                      <w:szCs w:val="21"/>
                    </w:rPr>
                  </w:pPr>
                </w:p>
              </w:tc>
              <w:tc>
                <w:tcPr>
                  <w:tcW w:w="893" w:type="dxa"/>
                  <w:vMerge w:val="continue"/>
                  <w:vAlign w:val="center"/>
                </w:tcPr>
                <w:p w14:paraId="52904541">
                  <w:pPr>
                    <w:snapToGrid w:val="0"/>
                    <w:jc w:val="center"/>
                    <w:rPr>
                      <w:color w:val="auto"/>
                      <w:szCs w:val="21"/>
                    </w:rPr>
                  </w:pPr>
                </w:p>
              </w:tc>
              <w:tc>
                <w:tcPr>
                  <w:tcW w:w="693" w:type="dxa"/>
                  <w:vAlign w:val="center"/>
                </w:tcPr>
                <w:p w14:paraId="0F082676">
                  <w:pPr>
                    <w:widowControl/>
                    <w:jc w:val="center"/>
                    <w:textAlignment w:val="center"/>
                    <w:rPr>
                      <w:color w:val="auto"/>
                      <w:kern w:val="0"/>
                      <w:szCs w:val="21"/>
                      <w:lang w:bidi="ar"/>
                    </w:rPr>
                  </w:pPr>
                  <w:r>
                    <w:rPr>
                      <w:color w:val="auto"/>
                      <w:kern w:val="0"/>
                      <w:szCs w:val="21"/>
                      <w:lang w:bidi="ar"/>
                    </w:rPr>
                    <w:t>25.2</w:t>
                  </w:r>
                </w:p>
              </w:tc>
              <w:tc>
                <w:tcPr>
                  <w:tcW w:w="1260" w:type="dxa"/>
                  <w:vMerge w:val="restart"/>
                  <w:vAlign w:val="center"/>
                </w:tcPr>
                <w:p w14:paraId="64F5979F">
                  <w:pPr>
                    <w:snapToGrid w:val="0"/>
                    <w:jc w:val="center"/>
                    <w:rPr>
                      <w:color w:val="auto"/>
                      <w:szCs w:val="21"/>
                    </w:rPr>
                  </w:pPr>
                  <w:r>
                    <w:rPr>
                      <w:rFonts w:hint="eastAsia"/>
                      <w:color w:val="auto"/>
                      <w:szCs w:val="21"/>
                    </w:rPr>
                    <w:t>1</w:t>
                  </w:r>
                </w:p>
              </w:tc>
            </w:tr>
            <w:tr w14:paraId="68D5F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84" w:type="dxa"/>
                  <w:vMerge w:val="continue"/>
                  <w:vAlign w:val="center"/>
                </w:tcPr>
                <w:p w14:paraId="2EB315D9">
                  <w:pPr>
                    <w:snapToGrid w:val="0"/>
                    <w:jc w:val="center"/>
                    <w:rPr>
                      <w:color w:val="auto"/>
                      <w:szCs w:val="21"/>
                    </w:rPr>
                  </w:pPr>
                </w:p>
              </w:tc>
              <w:tc>
                <w:tcPr>
                  <w:tcW w:w="786" w:type="dxa"/>
                  <w:vMerge w:val="continue"/>
                  <w:vAlign w:val="center"/>
                </w:tcPr>
                <w:p w14:paraId="1DCC81A5">
                  <w:pPr>
                    <w:snapToGrid w:val="0"/>
                    <w:jc w:val="center"/>
                    <w:rPr>
                      <w:color w:val="auto"/>
                    </w:rPr>
                  </w:pPr>
                </w:p>
              </w:tc>
              <w:tc>
                <w:tcPr>
                  <w:tcW w:w="1383" w:type="dxa"/>
                  <w:vMerge w:val="continue"/>
                  <w:vAlign w:val="top"/>
                </w:tcPr>
                <w:p w14:paraId="078EF2BE">
                  <w:pPr>
                    <w:snapToGrid w:val="0"/>
                    <w:jc w:val="center"/>
                    <w:rPr>
                      <w:color w:val="auto"/>
                    </w:rPr>
                  </w:pPr>
                </w:p>
              </w:tc>
              <w:tc>
                <w:tcPr>
                  <w:tcW w:w="1494" w:type="dxa"/>
                  <w:vMerge w:val="continue"/>
                  <w:vAlign w:val="center"/>
                </w:tcPr>
                <w:p w14:paraId="7DF5C0BB">
                  <w:pPr>
                    <w:snapToGrid w:val="0"/>
                    <w:jc w:val="center"/>
                    <w:rPr>
                      <w:color w:val="auto"/>
                    </w:rPr>
                  </w:pPr>
                </w:p>
              </w:tc>
              <w:tc>
                <w:tcPr>
                  <w:tcW w:w="1081" w:type="dxa"/>
                  <w:vMerge w:val="continue"/>
                  <w:vAlign w:val="center"/>
                </w:tcPr>
                <w:p w14:paraId="2578795B">
                  <w:pPr>
                    <w:snapToGrid w:val="0"/>
                    <w:jc w:val="center"/>
                    <w:rPr>
                      <w:color w:val="auto"/>
                      <w:szCs w:val="21"/>
                    </w:rPr>
                  </w:pPr>
                </w:p>
              </w:tc>
              <w:tc>
                <w:tcPr>
                  <w:tcW w:w="768" w:type="dxa"/>
                  <w:vMerge w:val="continue"/>
                  <w:vAlign w:val="center"/>
                </w:tcPr>
                <w:p w14:paraId="7CD9ADE3">
                  <w:pPr>
                    <w:snapToGrid w:val="0"/>
                    <w:jc w:val="center"/>
                    <w:rPr>
                      <w:color w:val="auto"/>
                    </w:rPr>
                  </w:pPr>
                </w:p>
              </w:tc>
              <w:tc>
                <w:tcPr>
                  <w:tcW w:w="617" w:type="dxa"/>
                  <w:vMerge w:val="continue"/>
                  <w:vAlign w:val="center"/>
                </w:tcPr>
                <w:p w14:paraId="28AB5F9B">
                  <w:pPr>
                    <w:snapToGrid w:val="0"/>
                    <w:jc w:val="center"/>
                    <w:rPr>
                      <w:color w:val="auto"/>
                      <w:szCs w:val="21"/>
                    </w:rPr>
                  </w:pPr>
                </w:p>
              </w:tc>
              <w:tc>
                <w:tcPr>
                  <w:tcW w:w="617" w:type="dxa"/>
                  <w:vMerge w:val="continue"/>
                  <w:vAlign w:val="center"/>
                </w:tcPr>
                <w:p w14:paraId="3DEE1A68">
                  <w:pPr>
                    <w:snapToGrid w:val="0"/>
                    <w:jc w:val="center"/>
                    <w:rPr>
                      <w:color w:val="auto"/>
                      <w:szCs w:val="21"/>
                    </w:rPr>
                  </w:pPr>
                </w:p>
              </w:tc>
              <w:tc>
                <w:tcPr>
                  <w:tcW w:w="623" w:type="dxa"/>
                  <w:vMerge w:val="continue"/>
                  <w:vAlign w:val="center"/>
                </w:tcPr>
                <w:p w14:paraId="33844A2C">
                  <w:pPr>
                    <w:snapToGrid w:val="0"/>
                    <w:jc w:val="center"/>
                    <w:rPr>
                      <w:color w:val="auto"/>
                      <w:szCs w:val="21"/>
                    </w:rPr>
                  </w:pPr>
                </w:p>
              </w:tc>
              <w:tc>
                <w:tcPr>
                  <w:tcW w:w="1171" w:type="dxa"/>
                  <w:vAlign w:val="center"/>
                </w:tcPr>
                <w:p w14:paraId="36A662C5">
                  <w:pPr>
                    <w:snapToGrid w:val="0"/>
                    <w:jc w:val="center"/>
                    <w:rPr>
                      <w:color w:val="auto"/>
                      <w:szCs w:val="21"/>
                    </w:rPr>
                  </w:pPr>
                  <w:r>
                    <w:rPr>
                      <w:rFonts w:hint="eastAsia"/>
                      <w:color w:val="auto"/>
                      <w:szCs w:val="21"/>
                    </w:rPr>
                    <w:t>南45</w:t>
                  </w:r>
                </w:p>
              </w:tc>
              <w:tc>
                <w:tcPr>
                  <w:tcW w:w="782" w:type="dxa"/>
                  <w:vAlign w:val="center"/>
                </w:tcPr>
                <w:p w14:paraId="579F1837">
                  <w:pPr>
                    <w:widowControl/>
                    <w:jc w:val="center"/>
                    <w:textAlignment w:val="center"/>
                    <w:rPr>
                      <w:color w:val="auto"/>
                      <w:szCs w:val="21"/>
                    </w:rPr>
                  </w:pPr>
                  <w:r>
                    <w:rPr>
                      <w:color w:val="auto"/>
                      <w:kern w:val="0"/>
                      <w:szCs w:val="21"/>
                      <w:lang w:bidi="ar"/>
                    </w:rPr>
                    <w:t>46.9</w:t>
                  </w:r>
                </w:p>
              </w:tc>
              <w:tc>
                <w:tcPr>
                  <w:tcW w:w="741" w:type="dxa"/>
                  <w:vMerge w:val="continue"/>
                  <w:vAlign w:val="center"/>
                </w:tcPr>
                <w:p w14:paraId="7D3ED622">
                  <w:pPr>
                    <w:snapToGrid w:val="0"/>
                    <w:jc w:val="center"/>
                    <w:rPr>
                      <w:rFonts w:hint="eastAsia"/>
                      <w:color w:val="auto"/>
                      <w:szCs w:val="21"/>
                    </w:rPr>
                  </w:pPr>
                </w:p>
              </w:tc>
              <w:tc>
                <w:tcPr>
                  <w:tcW w:w="893" w:type="dxa"/>
                  <w:vMerge w:val="continue"/>
                  <w:vAlign w:val="center"/>
                </w:tcPr>
                <w:p w14:paraId="16F83730">
                  <w:pPr>
                    <w:snapToGrid w:val="0"/>
                    <w:jc w:val="center"/>
                    <w:rPr>
                      <w:rFonts w:hint="eastAsia"/>
                      <w:color w:val="auto"/>
                      <w:szCs w:val="21"/>
                    </w:rPr>
                  </w:pPr>
                </w:p>
              </w:tc>
              <w:tc>
                <w:tcPr>
                  <w:tcW w:w="693" w:type="dxa"/>
                  <w:vAlign w:val="center"/>
                </w:tcPr>
                <w:p w14:paraId="6903AEC6">
                  <w:pPr>
                    <w:widowControl/>
                    <w:jc w:val="center"/>
                    <w:textAlignment w:val="center"/>
                    <w:rPr>
                      <w:color w:val="auto"/>
                      <w:szCs w:val="21"/>
                    </w:rPr>
                  </w:pPr>
                  <w:r>
                    <w:rPr>
                      <w:color w:val="auto"/>
                      <w:kern w:val="0"/>
                      <w:szCs w:val="21"/>
                      <w:lang w:bidi="ar"/>
                    </w:rPr>
                    <w:t>26.9</w:t>
                  </w:r>
                </w:p>
              </w:tc>
              <w:tc>
                <w:tcPr>
                  <w:tcW w:w="1260" w:type="dxa"/>
                  <w:vMerge w:val="continue"/>
                  <w:vAlign w:val="center"/>
                </w:tcPr>
                <w:p w14:paraId="40C01A6F">
                  <w:pPr>
                    <w:snapToGrid w:val="0"/>
                    <w:jc w:val="center"/>
                    <w:rPr>
                      <w:rFonts w:hint="eastAsia"/>
                      <w:color w:val="auto"/>
                      <w:szCs w:val="21"/>
                    </w:rPr>
                  </w:pPr>
                </w:p>
              </w:tc>
            </w:tr>
            <w:tr w14:paraId="66218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84" w:type="dxa"/>
                  <w:vMerge w:val="continue"/>
                  <w:vAlign w:val="center"/>
                </w:tcPr>
                <w:p w14:paraId="6590079B">
                  <w:pPr>
                    <w:snapToGrid w:val="0"/>
                    <w:jc w:val="center"/>
                    <w:rPr>
                      <w:color w:val="auto"/>
                      <w:szCs w:val="21"/>
                    </w:rPr>
                  </w:pPr>
                </w:p>
              </w:tc>
              <w:tc>
                <w:tcPr>
                  <w:tcW w:w="786" w:type="dxa"/>
                  <w:vMerge w:val="continue"/>
                  <w:vAlign w:val="center"/>
                </w:tcPr>
                <w:p w14:paraId="56FC601F">
                  <w:pPr>
                    <w:snapToGrid w:val="0"/>
                    <w:jc w:val="center"/>
                    <w:rPr>
                      <w:rFonts w:hint="eastAsia"/>
                      <w:color w:val="auto"/>
                      <w:szCs w:val="21"/>
                    </w:rPr>
                  </w:pPr>
                </w:p>
              </w:tc>
              <w:tc>
                <w:tcPr>
                  <w:tcW w:w="1383" w:type="dxa"/>
                  <w:vMerge w:val="continue"/>
                  <w:vAlign w:val="top"/>
                </w:tcPr>
                <w:p w14:paraId="17AF55C5">
                  <w:pPr>
                    <w:snapToGrid w:val="0"/>
                    <w:jc w:val="center"/>
                    <w:rPr>
                      <w:rFonts w:hint="eastAsia"/>
                      <w:color w:val="auto"/>
                      <w:szCs w:val="21"/>
                    </w:rPr>
                  </w:pPr>
                </w:p>
              </w:tc>
              <w:tc>
                <w:tcPr>
                  <w:tcW w:w="1494" w:type="dxa"/>
                  <w:vMerge w:val="continue"/>
                  <w:vAlign w:val="center"/>
                </w:tcPr>
                <w:p w14:paraId="72C36603">
                  <w:pPr>
                    <w:snapToGrid w:val="0"/>
                    <w:jc w:val="center"/>
                    <w:rPr>
                      <w:rFonts w:hint="eastAsia"/>
                      <w:color w:val="auto"/>
                      <w:szCs w:val="21"/>
                    </w:rPr>
                  </w:pPr>
                </w:p>
              </w:tc>
              <w:tc>
                <w:tcPr>
                  <w:tcW w:w="1081" w:type="dxa"/>
                  <w:vMerge w:val="continue"/>
                  <w:vAlign w:val="center"/>
                </w:tcPr>
                <w:p w14:paraId="048BB29B">
                  <w:pPr>
                    <w:snapToGrid w:val="0"/>
                    <w:jc w:val="center"/>
                    <w:rPr>
                      <w:color w:val="auto"/>
                      <w:szCs w:val="21"/>
                    </w:rPr>
                  </w:pPr>
                </w:p>
              </w:tc>
              <w:tc>
                <w:tcPr>
                  <w:tcW w:w="768" w:type="dxa"/>
                  <w:vMerge w:val="continue"/>
                  <w:vAlign w:val="center"/>
                </w:tcPr>
                <w:p w14:paraId="0EFD67BF">
                  <w:pPr>
                    <w:snapToGrid w:val="0"/>
                    <w:jc w:val="center"/>
                    <w:rPr>
                      <w:rFonts w:hint="eastAsia"/>
                      <w:color w:val="auto"/>
                      <w:szCs w:val="21"/>
                    </w:rPr>
                  </w:pPr>
                </w:p>
              </w:tc>
              <w:tc>
                <w:tcPr>
                  <w:tcW w:w="617" w:type="dxa"/>
                  <w:vMerge w:val="continue"/>
                  <w:vAlign w:val="center"/>
                </w:tcPr>
                <w:p w14:paraId="3065579B">
                  <w:pPr>
                    <w:snapToGrid w:val="0"/>
                    <w:jc w:val="center"/>
                    <w:rPr>
                      <w:color w:val="auto"/>
                      <w:szCs w:val="21"/>
                    </w:rPr>
                  </w:pPr>
                </w:p>
              </w:tc>
              <w:tc>
                <w:tcPr>
                  <w:tcW w:w="617" w:type="dxa"/>
                  <w:vMerge w:val="continue"/>
                  <w:vAlign w:val="center"/>
                </w:tcPr>
                <w:p w14:paraId="67FC094F">
                  <w:pPr>
                    <w:snapToGrid w:val="0"/>
                    <w:jc w:val="center"/>
                    <w:rPr>
                      <w:color w:val="auto"/>
                      <w:szCs w:val="21"/>
                    </w:rPr>
                  </w:pPr>
                </w:p>
              </w:tc>
              <w:tc>
                <w:tcPr>
                  <w:tcW w:w="623" w:type="dxa"/>
                  <w:vMerge w:val="continue"/>
                  <w:vAlign w:val="center"/>
                </w:tcPr>
                <w:p w14:paraId="30E2F309">
                  <w:pPr>
                    <w:snapToGrid w:val="0"/>
                    <w:jc w:val="center"/>
                    <w:rPr>
                      <w:color w:val="auto"/>
                      <w:szCs w:val="21"/>
                    </w:rPr>
                  </w:pPr>
                </w:p>
              </w:tc>
              <w:tc>
                <w:tcPr>
                  <w:tcW w:w="1171" w:type="dxa"/>
                  <w:vAlign w:val="center"/>
                </w:tcPr>
                <w:p w14:paraId="1105F873">
                  <w:pPr>
                    <w:snapToGrid w:val="0"/>
                    <w:jc w:val="center"/>
                    <w:rPr>
                      <w:color w:val="auto"/>
                      <w:szCs w:val="21"/>
                    </w:rPr>
                  </w:pPr>
                  <w:r>
                    <w:rPr>
                      <w:rFonts w:hint="eastAsia"/>
                      <w:color w:val="auto"/>
                      <w:szCs w:val="21"/>
                    </w:rPr>
                    <w:t>东28</w:t>
                  </w:r>
                </w:p>
              </w:tc>
              <w:tc>
                <w:tcPr>
                  <w:tcW w:w="782" w:type="dxa"/>
                  <w:vAlign w:val="center"/>
                </w:tcPr>
                <w:p w14:paraId="4E496A3F">
                  <w:pPr>
                    <w:widowControl/>
                    <w:jc w:val="center"/>
                    <w:textAlignment w:val="center"/>
                    <w:rPr>
                      <w:color w:val="auto"/>
                      <w:szCs w:val="21"/>
                    </w:rPr>
                  </w:pPr>
                  <w:r>
                    <w:rPr>
                      <w:color w:val="auto"/>
                      <w:kern w:val="0"/>
                      <w:szCs w:val="21"/>
                      <w:lang w:bidi="ar"/>
                    </w:rPr>
                    <w:t>51.1</w:t>
                  </w:r>
                </w:p>
              </w:tc>
              <w:tc>
                <w:tcPr>
                  <w:tcW w:w="741" w:type="dxa"/>
                  <w:vMerge w:val="continue"/>
                  <w:vAlign w:val="center"/>
                </w:tcPr>
                <w:p w14:paraId="241FAE75">
                  <w:pPr>
                    <w:snapToGrid w:val="0"/>
                    <w:jc w:val="center"/>
                    <w:rPr>
                      <w:rFonts w:hint="eastAsia"/>
                      <w:color w:val="auto"/>
                      <w:szCs w:val="21"/>
                    </w:rPr>
                  </w:pPr>
                </w:p>
              </w:tc>
              <w:tc>
                <w:tcPr>
                  <w:tcW w:w="893" w:type="dxa"/>
                  <w:vMerge w:val="continue"/>
                  <w:vAlign w:val="center"/>
                </w:tcPr>
                <w:p w14:paraId="34283FC9">
                  <w:pPr>
                    <w:snapToGrid w:val="0"/>
                    <w:jc w:val="center"/>
                    <w:rPr>
                      <w:rFonts w:hint="eastAsia"/>
                      <w:color w:val="auto"/>
                      <w:szCs w:val="21"/>
                    </w:rPr>
                  </w:pPr>
                </w:p>
              </w:tc>
              <w:tc>
                <w:tcPr>
                  <w:tcW w:w="693" w:type="dxa"/>
                  <w:vAlign w:val="center"/>
                </w:tcPr>
                <w:p w14:paraId="07832198">
                  <w:pPr>
                    <w:widowControl/>
                    <w:jc w:val="center"/>
                    <w:textAlignment w:val="center"/>
                    <w:rPr>
                      <w:color w:val="auto"/>
                      <w:szCs w:val="21"/>
                    </w:rPr>
                  </w:pPr>
                  <w:r>
                    <w:rPr>
                      <w:color w:val="auto"/>
                      <w:kern w:val="0"/>
                      <w:szCs w:val="21"/>
                      <w:lang w:bidi="ar"/>
                    </w:rPr>
                    <w:t>31.1</w:t>
                  </w:r>
                </w:p>
              </w:tc>
              <w:tc>
                <w:tcPr>
                  <w:tcW w:w="1260" w:type="dxa"/>
                  <w:vMerge w:val="continue"/>
                  <w:vAlign w:val="center"/>
                </w:tcPr>
                <w:p w14:paraId="443E4CF9">
                  <w:pPr>
                    <w:snapToGrid w:val="0"/>
                    <w:jc w:val="center"/>
                    <w:rPr>
                      <w:rFonts w:hint="eastAsia"/>
                      <w:color w:val="auto"/>
                      <w:szCs w:val="21"/>
                    </w:rPr>
                  </w:pPr>
                </w:p>
              </w:tc>
            </w:tr>
            <w:tr w14:paraId="74E18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84" w:type="dxa"/>
                  <w:vMerge w:val="continue"/>
                  <w:vAlign w:val="center"/>
                </w:tcPr>
                <w:p w14:paraId="0F028E74">
                  <w:pPr>
                    <w:snapToGrid w:val="0"/>
                    <w:jc w:val="center"/>
                    <w:rPr>
                      <w:color w:val="auto"/>
                      <w:szCs w:val="21"/>
                    </w:rPr>
                  </w:pPr>
                </w:p>
              </w:tc>
              <w:tc>
                <w:tcPr>
                  <w:tcW w:w="786" w:type="dxa"/>
                  <w:vMerge w:val="continue"/>
                  <w:vAlign w:val="center"/>
                </w:tcPr>
                <w:p w14:paraId="135FDC7D">
                  <w:pPr>
                    <w:snapToGrid w:val="0"/>
                    <w:jc w:val="center"/>
                    <w:rPr>
                      <w:rFonts w:hint="eastAsia"/>
                      <w:color w:val="auto"/>
                      <w:szCs w:val="21"/>
                    </w:rPr>
                  </w:pPr>
                </w:p>
              </w:tc>
              <w:tc>
                <w:tcPr>
                  <w:tcW w:w="1383" w:type="dxa"/>
                  <w:vMerge w:val="continue"/>
                  <w:vAlign w:val="top"/>
                </w:tcPr>
                <w:p w14:paraId="63582938">
                  <w:pPr>
                    <w:snapToGrid w:val="0"/>
                    <w:jc w:val="center"/>
                    <w:rPr>
                      <w:rFonts w:hint="eastAsia"/>
                      <w:color w:val="auto"/>
                      <w:szCs w:val="21"/>
                    </w:rPr>
                  </w:pPr>
                </w:p>
              </w:tc>
              <w:tc>
                <w:tcPr>
                  <w:tcW w:w="1494" w:type="dxa"/>
                  <w:vMerge w:val="continue"/>
                  <w:vAlign w:val="center"/>
                </w:tcPr>
                <w:p w14:paraId="6B760E21">
                  <w:pPr>
                    <w:snapToGrid w:val="0"/>
                    <w:jc w:val="center"/>
                    <w:rPr>
                      <w:rFonts w:hint="eastAsia"/>
                      <w:color w:val="auto"/>
                      <w:szCs w:val="21"/>
                    </w:rPr>
                  </w:pPr>
                </w:p>
              </w:tc>
              <w:tc>
                <w:tcPr>
                  <w:tcW w:w="1081" w:type="dxa"/>
                  <w:vMerge w:val="continue"/>
                  <w:vAlign w:val="center"/>
                </w:tcPr>
                <w:p w14:paraId="263F5E62">
                  <w:pPr>
                    <w:snapToGrid w:val="0"/>
                    <w:jc w:val="center"/>
                    <w:rPr>
                      <w:color w:val="auto"/>
                      <w:szCs w:val="21"/>
                    </w:rPr>
                  </w:pPr>
                </w:p>
              </w:tc>
              <w:tc>
                <w:tcPr>
                  <w:tcW w:w="768" w:type="dxa"/>
                  <w:vMerge w:val="continue"/>
                  <w:vAlign w:val="center"/>
                </w:tcPr>
                <w:p w14:paraId="6C3EFD48">
                  <w:pPr>
                    <w:snapToGrid w:val="0"/>
                    <w:jc w:val="center"/>
                    <w:rPr>
                      <w:rFonts w:hint="eastAsia"/>
                      <w:color w:val="auto"/>
                      <w:szCs w:val="21"/>
                    </w:rPr>
                  </w:pPr>
                </w:p>
              </w:tc>
              <w:tc>
                <w:tcPr>
                  <w:tcW w:w="617" w:type="dxa"/>
                  <w:vMerge w:val="continue"/>
                  <w:vAlign w:val="center"/>
                </w:tcPr>
                <w:p w14:paraId="3FA39745">
                  <w:pPr>
                    <w:snapToGrid w:val="0"/>
                    <w:jc w:val="center"/>
                    <w:rPr>
                      <w:color w:val="auto"/>
                      <w:szCs w:val="21"/>
                    </w:rPr>
                  </w:pPr>
                </w:p>
              </w:tc>
              <w:tc>
                <w:tcPr>
                  <w:tcW w:w="617" w:type="dxa"/>
                  <w:vMerge w:val="continue"/>
                  <w:vAlign w:val="center"/>
                </w:tcPr>
                <w:p w14:paraId="58DEC9C4">
                  <w:pPr>
                    <w:snapToGrid w:val="0"/>
                    <w:jc w:val="center"/>
                    <w:rPr>
                      <w:color w:val="auto"/>
                      <w:szCs w:val="21"/>
                    </w:rPr>
                  </w:pPr>
                </w:p>
              </w:tc>
              <w:tc>
                <w:tcPr>
                  <w:tcW w:w="623" w:type="dxa"/>
                  <w:vMerge w:val="continue"/>
                  <w:vAlign w:val="center"/>
                </w:tcPr>
                <w:p w14:paraId="792242A5">
                  <w:pPr>
                    <w:snapToGrid w:val="0"/>
                    <w:jc w:val="center"/>
                    <w:rPr>
                      <w:color w:val="auto"/>
                      <w:szCs w:val="21"/>
                    </w:rPr>
                  </w:pPr>
                </w:p>
              </w:tc>
              <w:tc>
                <w:tcPr>
                  <w:tcW w:w="1171" w:type="dxa"/>
                  <w:vAlign w:val="center"/>
                </w:tcPr>
                <w:p w14:paraId="23966987">
                  <w:pPr>
                    <w:snapToGrid w:val="0"/>
                    <w:jc w:val="center"/>
                    <w:rPr>
                      <w:color w:val="auto"/>
                      <w:szCs w:val="21"/>
                    </w:rPr>
                  </w:pPr>
                  <w:r>
                    <w:rPr>
                      <w:rFonts w:hint="eastAsia"/>
                      <w:color w:val="auto"/>
                      <w:szCs w:val="21"/>
                    </w:rPr>
                    <w:t>西42</w:t>
                  </w:r>
                </w:p>
              </w:tc>
              <w:tc>
                <w:tcPr>
                  <w:tcW w:w="782" w:type="dxa"/>
                  <w:vAlign w:val="center"/>
                </w:tcPr>
                <w:p w14:paraId="267A452E">
                  <w:pPr>
                    <w:widowControl/>
                    <w:jc w:val="center"/>
                    <w:textAlignment w:val="center"/>
                    <w:rPr>
                      <w:color w:val="auto"/>
                      <w:szCs w:val="21"/>
                    </w:rPr>
                  </w:pPr>
                  <w:r>
                    <w:rPr>
                      <w:color w:val="auto"/>
                      <w:kern w:val="0"/>
                      <w:szCs w:val="21"/>
                      <w:lang w:bidi="ar"/>
                    </w:rPr>
                    <w:t>47.5</w:t>
                  </w:r>
                </w:p>
              </w:tc>
              <w:tc>
                <w:tcPr>
                  <w:tcW w:w="741" w:type="dxa"/>
                  <w:vMerge w:val="continue"/>
                  <w:vAlign w:val="center"/>
                </w:tcPr>
                <w:p w14:paraId="1B737B85">
                  <w:pPr>
                    <w:snapToGrid w:val="0"/>
                    <w:jc w:val="center"/>
                    <w:rPr>
                      <w:rFonts w:hint="eastAsia"/>
                      <w:color w:val="auto"/>
                      <w:szCs w:val="21"/>
                    </w:rPr>
                  </w:pPr>
                </w:p>
              </w:tc>
              <w:tc>
                <w:tcPr>
                  <w:tcW w:w="893" w:type="dxa"/>
                  <w:vMerge w:val="continue"/>
                  <w:vAlign w:val="center"/>
                </w:tcPr>
                <w:p w14:paraId="74922D4D">
                  <w:pPr>
                    <w:snapToGrid w:val="0"/>
                    <w:jc w:val="center"/>
                    <w:rPr>
                      <w:rFonts w:hint="eastAsia"/>
                      <w:color w:val="auto"/>
                      <w:szCs w:val="21"/>
                    </w:rPr>
                  </w:pPr>
                </w:p>
              </w:tc>
              <w:tc>
                <w:tcPr>
                  <w:tcW w:w="693" w:type="dxa"/>
                  <w:vAlign w:val="center"/>
                </w:tcPr>
                <w:p w14:paraId="1E2F5E4B">
                  <w:pPr>
                    <w:widowControl/>
                    <w:jc w:val="center"/>
                    <w:textAlignment w:val="center"/>
                    <w:rPr>
                      <w:color w:val="auto"/>
                      <w:szCs w:val="21"/>
                    </w:rPr>
                  </w:pPr>
                  <w:r>
                    <w:rPr>
                      <w:color w:val="auto"/>
                      <w:kern w:val="0"/>
                      <w:szCs w:val="21"/>
                      <w:lang w:bidi="ar"/>
                    </w:rPr>
                    <w:t>27.5</w:t>
                  </w:r>
                </w:p>
              </w:tc>
              <w:tc>
                <w:tcPr>
                  <w:tcW w:w="1260" w:type="dxa"/>
                  <w:vMerge w:val="continue"/>
                  <w:vAlign w:val="center"/>
                </w:tcPr>
                <w:p w14:paraId="00AE01D5">
                  <w:pPr>
                    <w:snapToGrid w:val="0"/>
                    <w:jc w:val="center"/>
                    <w:rPr>
                      <w:rFonts w:hint="eastAsia"/>
                      <w:color w:val="auto"/>
                      <w:szCs w:val="21"/>
                    </w:rPr>
                  </w:pPr>
                </w:p>
              </w:tc>
            </w:tr>
            <w:tr w14:paraId="4F1ED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84" w:type="dxa"/>
                  <w:vMerge w:val="restart"/>
                  <w:vAlign w:val="center"/>
                </w:tcPr>
                <w:p w14:paraId="32828884">
                  <w:pPr>
                    <w:widowControl/>
                    <w:jc w:val="center"/>
                    <w:textAlignment w:val="center"/>
                    <w:rPr>
                      <w:color w:val="auto"/>
                      <w:szCs w:val="21"/>
                    </w:rPr>
                  </w:pPr>
                  <w:r>
                    <w:rPr>
                      <w:color w:val="auto"/>
                      <w:kern w:val="0"/>
                      <w:szCs w:val="21"/>
                      <w:lang w:bidi="ar"/>
                    </w:rPr>
                    <w:t>23</w:t>
                  </w:r>
                </w:p>
              </w:tc>
              <w:tc>
                <w:tcPr>
                  <w:tcW w:w="786" w:type="dxa"/>
                  <w:vMerge w:val="continue"/>
                  <w:vAlign w:val="center"/>
                </w:tcPr>
                <w:p w14:paraId="5CC9BB7B">
                  <w:pPr>
                    <w:snapToGrid w:val="0"/>
                    <w:jc w:val="center"/>
                    <w:rPr>
                      <w:b/>
                      <w:bCs/>
                      <w:color w:val="auto"/>
                      <w:szCs w:val="21"/>
                    </w:rPr>
                  </w:pPr>
                </w:p>
              </w:tc>
              <w:tc>
                <w:tcPr>
                  <w:tcW w:w="1383" w:type="dxa"/>
                  <w:vMerge w:val="restart"/>
                  <w:vAlign w:val="center"/>
                </w:tcPr>
                <w:p w14:paraId="127F534F">
                  <w:pPr>
                    <w:autoSpaceDE w:val="0"/>
                    <w:autoSpaceDN w:val="0"/>
                    <w:adjustRightInd w:val="0"/>
                    <w:snapToGrid w:val="0"/>
                    <w:jc w:val="center"/>
                    <w:rPr>
                      <w:color w:val="auto"/>
                      <w:kern w:val="0"/>
                      <w:szCs w:val="21"/>
                    </w:rPr>
                  </w:pPr>
                  <w:r>
                    <w:rPr>
                      <w:rFonts w:hint="eastAsia"/>
                      <w:color w:val="auto"/>
                      <w:szCs w:val="21"/>
                    </w:rPr>
                    <w:t>推台锯</w:t>
                  </w:r>
                </w:p>
              </w:tc>
              <w:tc>
                <w:tcPr>
                  <w:tcW w:w="1494" w:type="dxa"/>
                  <w:vMerge w:val="restart"/>
                  <w:vAlign w:val="center"/>
                </w:tcPr>
                <w:p w14:paraId="11EC16A8">
                  <w:pPr>
                    <w:adjustRightInd w:val="0"/>
                    <w:snapToGrid w:val="0"/>
                    <w:jc w:val="center"/>
                    <w:rPr>
                      <w:rFonts w:hint="eastAsia" w:eastAsia="宋体"/>
                      <w:bCs/>
                      <w:color w:val="auto"/>
                      <w:szCs w:val="21"/>
                      <w:lang w:val="en-US" w:eastAsia="zh-CN"/>
                    </w:rPr>
                  </w:pPr>
                  <w:r>
                    <w:rPr>
                      <w:rFonts w:hint="eastAsia"/>
                      <w:bCs/>
                      <w:color w:val="auto"/>
                      <w:szCs w:val="21"/>
                      <w:lang w:val="en-US" w:eastAsia="zh-CN"/>
                    </w:rPr>
                    <w:t>/</w:t>
                  </w:r>
                </w:p>
              </w:tc>
              <w:tc>
                <w:tcPr>
                  <w:tcW w:w="1081" w:type="dxa"/>
                  <w:vMerge w:val="restart"/>
                  <w:vAlign w:val="center"/>
                </w:tcPr>
                <w:p w14:paraId="66EF2C37">
                  <w:pPr>
                    <w:widowControl/>
                    <w:jc w:val="center"/>
                    <w:textAlignment w:val="center"/>
                    <w:rPr>
                      <w:bCs/>
                      <w:color w:val="auto"/>
                      <w:szCs w:val="21"/>
                    </w:rPr>
                  </w:pPr>
                  <w:r>
                    <w:rPr>
                      <w:color w:val="auto"/>
                      <w:kern w:val="0"/>
                      <w:szCs w:val="21"/>
                      <w:lang w:bidi="ar"/>
                    </w:rPr>
                    <w:t>75</w:t>
                  </w:r>
                </w:p>
              </w:tc>
              <w:tc>
                <w:tcPr>
                  <w:tcW w:w="768" w:type="dxa"/>
                  <w:vMerge w:val="continue"/>
                  <w:vAlign w:val="center"/>
                </w:tcPr>
                <w:p w14:paraId="6FDFF3D2">
                  <w:pPr>
                    <w:snapToGrid w:val="0"/>
                    <w:jc w:val="center"/>
                    <w:rPr>
                      <w:b/>
                      <w:bCs/>
                      <w:color w:val="auto"/>
                      <w:szCs w:val="21"/>
                    </w:rPr>
                  </w:pPr>
                </w:p>
              </w:tc>
              <w:tc>
                <w:tcPr>
                  <w:tcW w:w="617" w:type="dxa"/>
                  <w:vMerge w:val="restart"/>
                  <w:vAlign w:val="center"/>
                </w:tcPr>
                <w:p w14:paraId="627ABAC0">
                  <w:pPr>
                    <w:widowControl/>
                    <w:jc w:val="center"/>
                    <w:textAlignment w:val="center"/>
                    <w:rPr>
                      <w:color w:val="auto"/>
                      <w:szCs w:val="21"/>
                    </w:rPr>
                  </w:pPr>
                  <w:r>
                    <w:rPr>
                      <w:color w:val="auto"/>
                      <w:kern w:val="0"/>
                      <w:szCs w:val="21"/>
                      <w:lang w:bidi="ar"/>
                    </w:rPr>
                    <w:t>4</w:t>
                  </w:r>
                </w:p>
              </w:tc>
              <w:tc>
                <w:tcPr>
                  <w:tcW w:w="617" w:type="dxa"/>
                  <w:vMerge w:val="restart"/>
                  <w:vAlign w:val="center"/>
                </w:tcPr>
                <w:p w14:paraId="0F5C9F5E">
                  <w:pPr>
                    <w:widowControl/>
                    <w:jc w:val="center"/>
                    <w:textAlignment w:val="center"/>
                    <w:rPr>
                      <w:color w:val="auto"/>
                      <w:szCs w:val="21"/>
                    </w:rPr>
                  </w:pPr>
                  <w:r>
                    <w:rPr>
                      <w:color w:val="auto"/>
                      <w:kern w:val="0"/>
                      <w:szCs w:val="21"/>
                      <w:lang w:bidi="ar"/>
                    </w:rPr>
                    <w:t>37</w:t>
                  </w:r>
                </w:p>
              </w:tc>
              <w:tc>
                <w:tcPr>
                  <w:tcW w:w="623" w:type="dxa"/>
                  <w:vMerge w:val="restart"/>
                  <w:vAlign w:val="center"/>
                </w:tcPr>
                <w:p w14:paraId="1636BF2C">
                  <w:pPr>
                    <w:widowControl/>
                    <w:jc w:val="center"/>
                    <w:textAlignment w:val="center"/>
                    <w:rPr>
                      <w:color w:val="auto"/>
                      <w:szCs w:val="21"/>
                    </w:rPr>
                  </w:pPr>
                  <w:r>
                    <w:rPr>
                      <w:color w:val="auto"/>
                      <w:kern w:val="0"/>
                      <w:szCs w:val="21"/>
                      <w:lang w:bidi="ar"/>
                    </w:rPr>
                    <w:t>1.2</w:t>
                  </w:r>
                </w:p>
              </w:tc>
              <w:tc>
                <w:tcPr>
                  <w:tcW w:w="1171" w:type="dxa"/>
                  <w:vAlign w:val="center"/>
                </w:tcPr>
                <w:p w14:paraId="41F6441B">
                  <w:pPr>
                    <w:snapToGrid w:val="0"/>
                    <w:jc w:val="center"/>
                    <w:rPr>
                      <w:rFonts w:hint="eastAsia"/>
                      <w:color w:val="auto"/>
                      <w:szCs w:val="21"/>
                    </w:rPr>
                  </w:pPr>
                  <w:r>
                    <w:rPr>
                      <w:rFonts w:hint="eastAsia"/>
                      <w:color w:val="auto"/>
                      <w:szCs w:val="21"/>
                    </w:rPr>
                    <w:t>北80</w:t>
                  </w:r>
                </w:p>
              </w:tc>
              <w:tc>
                <w:tcPr>
                  <w:tcW w:w="782" w:type="dxa"/>
                  <w:vAlign w:val="center"/>
                </w:tcPr>
                <w:p w14:paraId="4931FDCE">
                  <w:pPr>
                    <w:widowControl/>
                    <w:jc w:val="center"/>
                    <w:textAlignment w:val="center"/>
                    <w:rPr>
                      <w:color w:val="auto"/>
                      <w:szCs w:val="21"/>
                    </w:rPr>
                  </w:pPr>
                  <w:r>
                    <w:rPr>
                      <w:color w:val="auto"/>
                      <w:kern w:val="0"/>
                      <w:szCs w:val="21"/>
                      <w:lang w:bidi="ar"/>
                    </w:rPr>
                    <w:t>36.9</w:t>
                  </w:r>
                </w:p>
              </w:tc>
              <w:tc>
                <w:tcPr>
                  <w:tcW w:w="741" w:type="dxa"/>
                  <w:vMerge w:val="continue"/>
                  <w:vAlign w:val="center"/>
                </w:tcPr>
                <w:p w14:paraId="680E885C">
                  <w:pPr>
                    <w:snapToGrid w:val="0"/>
                    <w:jc w:val="center"/>
                    <w:rPr>
                      <w:color w:val="auto"/>
                      <w:szCs w:val="21"/>
                    </w:rPr>
                  </w:pPr>
                </w:p>
              </w:tc>
              <w:tc>
                <w:tcPr>
                  <w:tcW w:w="893" w:type="dxa"/>
                  <w:vMerge w:val="continue"/>
                  <w:vAlign w:val="center"/>
                </w:tcPr>
                <w:p w14:paraId="4E7A18E9">
                  <w:pPr>
                    <w:snapToGrid w:val="0"/>
                    <w:jc w:val="center"/>
                    <w:rPr>
                      <w:color w:val="auto"/>
                      <w:szCs w:val="21"/>
                    </w:rPr>
                  </w:pPr>
                </w:p>
              </w:tc>
              <w:tc>
                <w:tcPr>
                  <w:tcW w:w="693" w:type="dxa"/>
                  <w:vAlign w:val="center"/>
                </w:tcPr>
                <w:p w14:paraId="33E15C47">
                  <w:pPr>
                    <w:widowControl/>
                    <w:jc w:val="center"/>
                    <w:textAlignment w:val="center"/>
                    <w:rPr>
                      <w:color w:val="auto"/>
                      <w:kern w:val="0"/>
                      <w:szCs w:val="21"/>
                      <w:lang w:bidi="ar"/>
                    </w:rPr>
                  </w:pPr>
                  <w:r>
                    <w:rPr>
                      <w:color w:val="auto"/>
                      <w:kern w:val="0"/>
                      <w:szCs w:val="21"/>
                      <w:lang w:bidi="ar"/>
                    </w:rPr>
                    <w:t>16.9</w:t>
                  </w:r>
                </w:p>
              </w:tc>
              <w:tc>
                <w:tcPr>
                  <w:tcW w:w="1260" w:type="dxa"/>
                  <w:vMerge w:val="restart"/>
                  <w:vAlign w:val="center"/>
                </w:tcPr>
                <w:p w14:paraId="6158BC76">
                  <w:pPr>
                    <w:snapToGrid w:val="0"/>
                    <w:jc w:val="center"/>
                    <w:rPr>
                      <w:color w:val="auto"/>
                      <w:szCs w:val="21"/>
                    </w:rPr>
                  </w:pPr>
                  <w:r>
                    <w:rPr>
                      <w:rFonts w:hint="eastAsia"/>
                      <w:color w:val="auto"/>
                      <w:szCs w:val="21"/>
                    </w:rPr>
                    <w:t>1</w:t>
                  </w:r>
                </w:p>
              </w:tc>
            </w:tr>
            <w:tr w14:paraId="1C450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84" w:type="dxa"/>
                  <w:vMerge w:val="continue"/>
                  <w:vAlign w:val="center"/>
                </w:tcPr>
                <w:p w14:paraId="2F28B986">
                  <w:pPr>
                    <w:snapToGrid w:val="0"/>
                    <w:jc w:val="center"/>
                    <w:rPr>
                      <w:color w:val="auto"/>
                      <w:szCs w:val="21"/>
                    </w:rPr>
                  </w:pPr>
                </w:p>
              </w:tc>
              <w:tc>
                <w:tcPr>
                  <w:tcW w:w="786" w:type="dxa"/>
                  <w:vMerge w:val="continue"/>
                  <w:vAlign w:val="center"/>
                </w:tcPr>
                <w:p w14:paraId="06098522">
                  <w:pPr>
                    <w:snapToGrid w:val="0"/>
                    <w:jc w:val="center"/>
                    <w:rPr>
                      <w:color w:val="auto"/>
                    </w:rPr>
                  </w:pPr>
                </w:p>
              </w:tc>
              <w:tc>
                <w:tcPr>
                  <w:tcW w:w="1383" w:type="dxa"/>
                  <w:vMerge w:val="continue"/>
                  <w:vAlign w:val="top"/>
                </w:tcPr>
                <w:p w14:paraId="448ED381">
                  <w:pPr>
                    <w:snapToGrid w:val="0"/>
                    <w:jc w:val="center"/>
                    <w:rPr>
                      <w:color w:val="auto"/>
                    </w:rPr>
                  </w:pPr>
                </w:p>
              </w:tc>
              <w:tc>
                <w:tcPr>
                  <w:tcW w:w="1494" w:type="dxa"/>
                  <w:vMerge w:val="continue"/>
                  <w:vAlign w:val="center"/>
                </w:tcPr>
                <w:p w14:paraId="5E03343A">
                  <w:pPr>
                    <w:snapToGrid w:val="0"/>
                    <w:jc w:val="center"/>
                    <w:rPr>
                      <w:color w:val="auto"/>
                    </w:rPr>
                  </w:pPr>
                </w:p>
              </w:tc>
              <w:tc>
                <w:tcPr>
                  <w:tcW w:w="1081" w:type="dxa"/>
                  <w:vMerge w:val="continue"/>
                  <w:vAlign w:val="center"/>
                </w:tcPr>
                <w:p w14:paraId="4E8B5AE4">
                  <w:pPr>
                    <w:snapToGrid w:val="0"/>
                    <w:jc w:val="center"/>
                    <w:rPr>
                      <w:color w:val="auto"/>
                      <w:szCs w:val="21"/>
                    </w:rPr>
                  </w:pPr>
                </w:p>
              </w:tc>
              <w:tc>
                <w:tcPr>
                  <w:tcW w:w="768" w:type="dxa"/>
                  <w:vMerge w:val="continue"/>
                  <w:vAlign w:val="center"/>
                </w:tcPr>
                <w:p w14:paraId="362FC047">
                  <w:pPr>
                    <w:snapToGrid w:val="0"/>
                    <w:jc w:val="center"/>
                    <w:rPr>
                      <w:color w:val="auto"/>
                    </w:rPr>
                  </w:pPr>
                </w:p>
              </w:tc>
              <w:tc>
                <w:tcPr>
                  <w:tcW w:w="617" w:type="dxa"/>
                  <w:vMerge w:val="continue"/>
                  <w:vAlign w:val="center"/>
                </w:tcPr>
                <w:p w14:paraId="51447B72">
                  <w:pPr>
                    <w:snapToGrid w:val="0"/>
                    <w:jc w:val="center"/>
                    <w:rPr>
                      <w:color w:val="auto"/>
                      <w:szCs w:val="21"/>
                    </w:rPr>
                  </w:pPr>
                </w:p>
              </w:tc>
              <w:tc>
                <w:tcPr>
                  <w:tcW w:w="617" w:type="dxa"/>
                  <w:vMerge w:val="continue"/>
                  <w:vAlign w:val="center"/>
                </w:tcPr>
                <w:p w14:paraId="6C405E45">
                  <w:pPr>
                    <w:snapToGrid w:val="0"/>
                    <w:jc w:val="center"/>
                    <w:rPr>
                      <w:color w:val="auto"/>
                      <w:szCs w:val="21"/>
                    </w:rPr>
                  </w:pPr>
                </w:p>
              </w:tc>
              <w:tc>
                <w:tcPr>
                  <w:tcW w:w="623" w:type="dxa"/>
                  <w:vMerge w:val="continue"/>
                  <w:vAlign w:val="center"/>
                </w:tcPr>
                <w:p w14:paraId="72C1592B">
                  <w:pPr>
                    <w:snapToGrid w:val="0"/>
                    <w:jc w:val="center"/>
                    <w:rPr>
                      <w:color w:val="auto"/>
                      <w:szCs w:val="21"/>
                    </w:rPr>
                  </w:pPr>
                </w:p>
              </w:tc>
              <w:tc>
                <w:tcPr>
                  <w:tcW w:w="1171" w:type="dxa"/>
                  <w:vAlign w:val="center"/>
                </w:tcPr>
                <w:p w14:paraId="0F9EA660">
                  <w:pPr>
                    <w:snapToGrid w:val="0"/>
                    <w:jc w:val="center"/>
                    <w:rPr>
                      <w:rFonts w:hint="eastAsia"/>
                      <w:color w:val="auto"/>
                      <w:szCs w:val="21"/>
                    </w:rPr>
                  </w:pPr>
                  <w:r>
                    <w:rPr>
                      <w:rFonts w:hint="eastAsia"/>
                      <w:color w:val="auto"/>
                      <w:szCs w:val="21"/>
                    </w:rPr>
                    <w:t>南20</w:t>
                  </w:r>
                </w:p>
              </w:tc>
              <w:tc>
                <w:tcPr>
                  <w:tcW w:w="782" w:type="dxa"/>
                  <w:vAlign w:val="center"/>
                </w:tcPr>
                <w:p w14:paraId="60EB63F4">
                  <w:pPr>
                    <w:widowControl/>
                    <w:jc w:val="center"/>
                    <w:textAlignment w:val="center"/>
                    <w:rPr>
                      <w:color w:val="auto"/>
                      <w:szCs w:val="21"/>
                    </w:rPr>
                  </w:pPr>
                  <w:r>
                    <w:rPr>
                      <w:color w:val="auto"/>
                      <w:kern w:val="0"/>
                      <w:szCs w:val="21"/>
                      <w:lang w:bidi="ar"/>
                    </w:rPr>
                    <w:t>49.0</w:t>
                  </w:r>
                </w:p>
              </w:tc>
              <w:tc>
                <w:tcPr>
                  <w:tcW w:w="741" w:type="dxa"/>
                  <w:vMerge w:val="continue"/>
                  <w:vAlign w:val="center"/>
                </w:tcPr>
                <w:p w14:paraId="3A9F7CB3">
                  <w:pPr>
                    <w:snapToGrid w:val="0"/>
                    <w:jc w:val="center"/>
                    <w:rPr>
                      <w:rFonts w:hint="eastAsia"/>
                      <w:color w:val="auto"/>
                      <w:szCs w:val="21"/>
                    </w:rPr>
                  </w:pPr>
                </w:p>
              </w:tc>
              <w:tc>
                <w:tcPr>
                  <w:tcW w:w="893" w:type="dxa"/>
                  <w:vMerge w:val="continue"/>
                  <w:vAlign w:val="center"/>
                </w:tcPr>
                <w:p w14:paraId="514D02A3">
                  <w:pPr>
                    <w:snapToGrid w:val="0"/>
                    <w:jc w:val="center"/>
                    <w:rPr>
                      <w:rFonts w:hint="eastAsia"/>
                      <w:color w:val="auto"/>
                      <w:szCs w:val="21"/>
                    </w:rPr>
                  </w:pPr>
                </w:p>
              </w:tc>
              <w:tc>
                <w:tcPr>
                  <w:tcW w:w="693" w:type="dxa"/>
                  <w:vAlign w:val="center"/>
                </w:tcPr>
                <w:p w14:paraId="619B7969">
                  <w:pPr>
                    <w:widowControl/>
                    <w:jc w:val="center"/>
                    <w:textAlignment w:val="center"/>
                    <w:rPr>
                      <w:color w:val="auto"/>
                      <w:szCs w:val="21"/>
                    </w:rPr>
                  </w:pPr>
                  <w:r>
                    <w:rPr>
                      <w:color w:val="auto"/>
                      <w:kern w:val="0"/>
                      <w:szCs w:val="21"/>
                      <w:lang w:bidi="ar"/>
                    </w:rPr>
                    <w:t>29.0</w:t>
                  </w:r>
                </w:p>
              </w:tc>
              <w:tc>
                <w:tcPr>
                  <w:tcW w:w="1260" w:type="dxa"/>
                  <w:vMerge w:val="continue"/>
                  <w:vAlign w:val="center"/>
                </w:tcPr>
                <w:p w14:paraId="5926F66B">
                  <w:pPr>
                    <w:snapToGrid w:val="0"/>
                    <w:jc w:val="center"/>
                    <w:rPr>
                      <w:rFonts w:hint="eastAsia"/>
                      <w:color w:val="auto"/>
                      <w:szCs w:val="21"/>
                    </w:rPr>
                  </w:pPr>
                </w:p>
              </w:tc>
            </w:tr>
            <w:tr w14:paraId="0470C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84" w:type="dxa"/>
                  <w:vMerge w:val="continue"/>
                  <w:vAlign w:val="center"/>
                </w:tcPr>
                <w:p w14:paraId="4D46411F">
                  <w:pPr>
                    <w:snapToGrid w:val="0"/>
                    <w:jc w:val="center"/>
                    <w:rPr>
                      <w:color w:val="auto"/>
                      <w:szCs w:val="21"/>
                    </w:rPr>
                  </w:pPr>
                </w:p>
              </w:tc>
              <w:tc>
                <w:tcPr>
                  <w:tcW w:w="786" w:type="dxa"/>
                  <w:vMerge w:val="continue"/>
                  <w:vAlign w:val="center"/>
                </w:tcPr>
                <w:p w14:paraId="6AB725A2">
                  <w:pPr>
                    <w:snapToGrid w:val="0"/>
                    <w:jc w:val="center"/>
                    <w:rPr>
                      <w:rFonts w:hint="eastAsia"/>
                      <w:color w:val="auto"/>
                      <w:szCs w:val="21"/>
                    </w:rPr>
                  </w:pPr>
                </w:p>
              </w:tc>
              <w:tc>
                <w:tcPr>
                  <w:tcW w:w="1383" w:type="dxa"/>
                  <w:vMerge w:val="continue"/>
                  <w:vAlign w:val="top"/>
                </w:tcPr>
                <w:p w14:paraId="335DF25D">
                  <w:pPr>
                    <w:snapToGrid w:val="0"/>
                    <w:jc w:val="center"/>
                    <w:rPr>
                      <w:rFonts w:hint="eastAsia"/>
                      <w:color w:val="auto"/>
                      <w:szCs w:val="21"/>
                    </w:rPr>
                  </w:pPr>
                </w:p>
              </w:tc>
              <w:tc>
                <w:tcPr>
                  <w:tcW w:w="1494" w:type="dxa"/>
                  <w:vMerge w:val="continue"/>
                  <w:vAlign w:val="center"/>
                </w:tcPr>
                <w:p w14:paraId="503ED97B">
                  <w:pPr>
                    <w:snapToGrid w:val="0"/>
                    <w:jc w:val="center"/>
                    <w:rPr>
                      <w:rFonts w:hint="eastAsia"/>
                      <w:color w:val="auto"/>
                      <w:szCs w:val="21"/>
                    </w:rPr>
                  </w:pPr>
                </w:p>
              </w:tc>
              <w:tc>
                <w:tcPr>
                  <w:tcW w:w="1081" w:type="dxa"/>
                  <w:vMerge w:val="continue"/>
                  <w:vAlign w:val="center"/>
                </w:tcPr>
                <w:p w14:paraId="79FE83CF">
                  <w:pPr>
                    <w:snapToGrid w:val="0"/>
                    <w:jc w:val="center"/>
                    <w:rPr>
                      <w:color w:val="auto"/>
                      <w:szCs w:val="21"/>
                    </w:rPr>
                  </w:pPr>
                </w:p>
              </w:tc>
              <w:tc>
                <w:tcPr>
                  <w:tcW w:w="768" w:type="dxa"/>
                  <w:vMerge w:val="continue"/>
                  <w:vAlign w:val="center"/>
                </w:tcPr>
                <w:p w14:paraId="4ACB3C31">
                  <w:pPr>
                    <w:snapToGrid w:val="0"/>
                    <w:jc w:val="center"/>
                    <w:rPr>
                      <w:rFonts w:hint="eastAsia"/>
                      <w:color w:val="auto"/>
                      <w:szCs w:val="21"/>
                    </w:rPr>
                  </w:pPr>
                </w:p>
              </w:tc>
              <w:tc>
                <w:tcPr>
                  <w:tcW w:w="617" w:type="dxa"/>
                  <w:vMerge w:val="continue"/>
                  <w:vAlign w:val="center"/>
                </w:tcPr>
                <w:p w14:paraId="4982A778">
                  <w:pPr>
                    <w:snapToGrid w:val="0"/>
                    <w:jc w:val="center"/>
                    <w:rPr>
                      <w:color w:val="auto"/>
                      <w:szCs w:val="21"/>
                    </w:rPr>
                  </w:pPr>
                </w:p>
              </w:tc>
              <w:tc>
                <w:tcPr>
                  <w:tcW w:w="617" w:type="dxa"/>
                  <w:vMerge w:val="continue"/>
                  <w:vAlign w:val="center"/>
                </w:tcPr>
                <w:p w14:paraId="389A6651">
                  <w:pPr>
                    <w:snapToGrid w:val="0"/>
                    <w:jc w:val="center"/>
                    <w:rPr>
                      <w:color w:val="auto"/>
                      <w:szCs w:val="21"/>
                    </w:rPr>
                  </w:pPr>
                </w:p>
              </w:tc>
              <w:tc>
                <w:tcPr>
                  <w:tcW w:w="623" w:type="dxa"/>
                  <w:vMerge w:val="continue"/>
                  <w:vAlign w:val="center"/>
                </w:tcPr>
                <w:p w14:paraId="6772BC50">
                  <w:pPr>
                    <w:snapToGrid w:val="0"/>
                    <w:jc w:val="center"/>
                    <w:rPr>
                      <w:color w:val="auto"/>
                      <w:szCs w:val="21"/>
                    </w:rPr>
                  </w:pPr>
                </w:p>
              </w:tc>
              <w:tc>
                <w:tcPr>
                  <w:tcW w:w="1171" w:type="dxa"/>
                  <w:vAlign w:val="center"/>
                </w:tcPr>
                <w:p w14:paraId="0B7FE920">
                  <w:pPr>
                    <w:snapToGrid w:val="0"/>
                    <w:jc w:val="center"/>
                    <w:rPr>
                      <w:color w:val="auto"/>
                      <w:szCs w:val="21"/>
                    </w:rPr>
                  </w:pPr>
                  <w:r>
                    <w:rPr>
                      <w:rFonts w:hint="eastAsia"/>
                      <w:color w:val="auto"/>
                      <w:szCs w:val="21"/>
                    </w:rPr>
                    <w:t>东32</w:t>
                  </w:r>
                </w:p>
              </w:tc>
              <w:tc>
                <w:tcPr>
                  <w:tcW w:w="782" w:type="dxa"/>
                  <w:vAlign w:val="center"/>
                </w:tcPr>
                <w:p w14:paraId="361D1168">
                  <w:pPr>
                    <w:widowControl/>
                    <w:jc w:val="center"/>
                    <w:textAlignment w:val="center"/>
                    <w:rPr>
                      <w:color w:val="auto"/>
                      <w:szCs w:val="21"/>
                    </w:rPr>
                  </w:pPr>
                  <w:r>
                    <w:rPr>
                      <w:color w:val="auto"/>
                      <w:kern w:val="0"/>
                      <w:szCs w:val="21"/>
                      <w:lang w:bidi="ar"/>
                    </w:rPr>
                    <w:t>44.9</w:t>
                  </w:r>
                </w:p>
              </w:tc>
              <w:tc>
                <w:tcPr>
                  <w:tcW w:w="741" w:type="dxa"/>
                  <w:vMerge w:val="continue"/>
                  <w:vAlign w:val="center"/>
                </w:tcPr>
                <w:p w14:paraId="6DEDA80B">
                  <w:pPr>
                    <w:snapToGrid w:val="0"/>
                    <w:jc w:val="center"/>
                    <w:rPr>
                      <w:rFonts w:hint="eastAsia"/>
                      <w:color w:val="auto"/>
                      <w:szCs w:val="21"/>
                    </w:rPr>
                  </w:pPr>
                </w:p>
              </w:tc>
              <w:tc>
                <w:tcPr>
                  <w:tcW w:w="893" w:type="dxa"/>
                  <w:vMerge w:val="continue"/>
                  <w:vAlign w:val="center"/>
                </w:tcPr>
                <w:p w14:paraId="6F89CAB0">
                  <w:pPr>
                    <w:snapToGrid w:val="0"/>
                    <w:jc w:val="center"/>
                    <w:rPr>
                      <w:rFonts w:hint="eastAsia"/>
                      <w:color w:val="auto"/>
                      <w:szCs w:val="21"/>
                    </w:rPr>
                  </w:pPr>
                </w:p>
              </w:tc>
              <w:tc>
                <w:tcPr>
                  <w:tcW w:w="693" w:type="dxa"/>
                  <w:vAlign w:val="center"/>
                </w:tcPr>
                <w:p w14:paraId="6FCC612B">
                  <w:pPr>
                    <w:widowControl/>
                    <w:jc w:val="center"/>
                    <w:textAlignment w:val="center"/>
                    <w:rPr>
                      <w:color w:val="auto"/>
                      <w:szCs w:val="21"/>
                    </w:rPr>
                  </w:pPr>
                  <w:r>
                    <w:rPr>
                      <w:color w:val="auto"/>
                      <w:kern w:val="0"/>
                      <w:szCs w:val="21"/>
                      <w:lang w:bidi="ar"/>
                    </w:rPr>
                    <w:t>24.9</w:t>
                  </w:r>
                </w:p>
              </w:tc>
              <w:tc>
                <w:tcPr>
                  <w:tcW w:w="1260" w:type="dxa"/>
                  <w:vMerge w:val="continue"/>
                  <w:vAlign w:val="center"/>
                </w:tcPr>
                <w:p w14:paraId="6BA74677">
                  <w:pPr>
                    <w:snapToGrid w:val="0"/>
                    <w:jc w:val="center"/>
                    <w:rPr>
                      <w:rFonts w:hint="eastAsia"/>
                      <w:color w:val="auto"/>
                      <w:szCs w:val="21"/>
                    </w:rPr>
                  </w:pPr>
                </w:p>
              </w:tc>
            </w:tr>
            <w:tr w14:paraId="6DEFB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84" w:type="dxa"/>
                  <w:vMerge w:val="continue"/>
                  <w:vAlign w:val="center"/>
                </w:tcPr>
                <w:p w14:paraId="2DAC2539">
                  <w:pPr>
                    <w:snapToGrid w:val="0"/>
                    <w:jc w:val="center"/>
                    <w:rPr>
                      <w:color w:val="auto"/>
                      <w:szCs w:val="21"/>
                    </w:rPr>
                  </w:pPr>
                </w:p>
              </w:tc>
              <w:tc>
                <w:tcPr>
                  <w:tcW w:w="786" w:type="dxa"/>
                  <w:vMerge w:val="continue"/>
                  <w:vAlign w:val="center"/>
                </w:tcPr>
                <w:p w14:paraId="5D225D20">
                  <w:pPr>
                    <w:snapToGrid w:val="0"/>
                    <w:jc w:val="center"/>
                    <w:rPr>
                      <w:rFonts w:hint="eastAsia"/>
                      <w:color w:val="auto"/>
                      <w:szCs w:val="21"/>
                    </w:rPr>
                  </w:pPr>
                </w:p>
              </w:tc>
              <w:tc>
                <w:tcPr>
                  <w:tcW w:w="1383" w:type="dxa"/>
                  <w:vMerge w:val="continue"/>
                  <w:vAlign w:val="top"/>
                </w:tcPr>
                <w:p w14:paraId="2506E0B9">
                  <w:pPr>
                    <w:snapToGrid w:val="0"/>
                    <w:jc w:val="center"/>
                    <w:rPr>
                      <w:rFonts w:hint="eastAsia"/>
                      <w:color w:val="auto"/>
                      <w:szCs w:val="21"/>
                    </w:rPr>
                  </w:pPr>
                </w:p>
              </w:tc>
              <w:tc>
                <w:tcPr>
                  <w:tcW w:w="1494" w:type="dxa"/>
                  <w:vMerge w:val="continue"/>
                  <w:vAlign w:val="center"/>
                </w:tcPr>
                <w:p w14:paraId="559AEF7A">
                  <w:pPr>
                    <w:snapToGrid w:val="0"/>
                    <w:jc w:val="center"/>
                    <w:rPr>
                      <w:rFonts w:hint="eastAsia"/>
                      <w:color w:val="auto"/>
                      <w:szCs w:val="21"/>
                    </w:rPr>
                  </w:pPr>
                </w:p>
              </w:tc>
              <w:tc>
                <w:tcPr>
                  <w:tcW w:w="1081" w:type="dxa"/>
                  <w:vMerge w:val="continue"/>
                  <w:vAlign w:val="center"/>
                </w:tcPr>
                <w:p w14:paraId="50AB3CDC">
                  <w:pPr>
                    <w:snapToGrid w:val="0"/>
                    <w:jc w:val="center"/>
                    <w:rPr>
                      <w:color w:val="auto"/>
                      <w:szCs w:val="21"/>
                    </w:rPr>
                  </w:pPr>
                </w:p>
              </w:tc>
              <w:tc>
                <w:tcPr>
                  <w:tcW w:w="768" w:type="dxa"/>
                  <w:vMerge w:val="continue"/>
                  <w:vAlign w:val="center"/>
                </w:tcPr>
                <w:p w14:paraId="021AB98F">
                  <w:pPr>
                    <w:snapToGrid w:val="0"/>
                    <w:jc w:val="center"/>
                    <w:rPr>
                      <w:rFonts w:hint="eastAsia"/>
                      <w:color w:val="auto"/>
                      <w:szCs w:val="21"/>
                    </w:rPr>
                  </w:pPr>
                </w:p>
              </w:tc>
              <w:tc>
                <w:tcPr>
                  <w:tcW w:w="617" w:type="dxa"/>
                  <w:vMerge w:val="continue"/>
                  <w:vAlign w:val="center"/>
                </w:tcPr>
                <w:p w14:paraId="4205BFED">
                  <w:pPr>
                    <w:snapToGrid w:val="0"/>
                    <w:jc w:val="center"/>
                    <w:rPr>
                      <w:color w:val="auto"/>
                      <w:szCs w:val="21"/>
                    </w:rPr>
                  </w:pPr>
                </w:p>
              </w:tc>
              <w:tc>
                <w:tcPr>
                  <w:tcW w:w="617" w:type="dxa"/>
                  <w:vMerge w:val="continue"/>
                  <w:vAlign w:val="center"/>
                </w:tcPr>
                <w:p w14:paraId="13A24CA2">
                  <w:pPr>
                    <w:snapToGrid w:val="0"/>
                    <w:jc w:val="center"/>
                    <w:rPr>
                      <w:color w:val="auto"/>
                      <w:szCs w:val="21"/>
                    </w:rPr>
                  </w:pPr>
                </w:p>
              </w:tc>
              <w:tc>
                <w:tcPr>
                  <w:tcW w:w="623" w:type="dxa"/>
                  <w:vMerge w:val="continue"/>
                  <w:vAlign w:val="center"/>
                </w:tcPr>
                <w:p w14:paraId="2BF250B2">
                  <w:pPr>
                    <w:snapToGrid w:val="0"/>
                    <w:jc w:val="center"/>
                    <w:rPr>
                      <w:color w:val="auto"/>
                      <w:szCs w:val="21"/>
                    </w:rPr>
                  </w:pPr>
                </w:p>
              </w:tc>
              <w:tc>
                <w:tcPr>
                  <w:tcW w:w="1171" w:type="dxa"/>
                  <w:vAlign w:val="center"/>
                </w:tcPr>
                <w:p w14:paraId="50F098D5">
                  <w:pPr>
                    <w:snapToGrid w:val="0"/>
                    <w:jc w:val="center"/>
                    <w:rPr>
                      <w:color w:val="auto"/>
                      <w:szCs w:val="21"/>
                    </w:rPr>
                  </w:pPr>
                  <w:r>
                    <w:rPr>
                      <w:rFonts w:hint="eastAsia"/>
                      <w:color w:val="auto"/>
                      <w:szCs w:val="21"/>
                    </w:rPr>
                    <w:t>西28</w:t>
                  </w:r>
                </w:p>
              </w:tc>
              <w:tc>
                <w:tcPr>
                  <w:tcW w:w="782" w:type="dxa"/>
                  <w:vAlign w:val="center"/>
                </w:tcPr>
                <w:p w14:paraId="3E18FE21">
                  <w:pPr>
                    <w:widowControl/>
                    <w:jc w:val="center"/>
                    <w:textAlignment w:val="center"/>
                    <w:rPr>
                      <w:color w:val="auto"/>
                      <w:szCs w:val="21"/>
                    </w:rPr>
                  </w:pPr>
                  <w:r>
                    <w:rPr>
                      <w:color w:val="auto"/>
                      <w:kern w:val="0"/>
                      <w:szCs w:val="21"/>
                      <w:lang w:bidi="ar"/>
                    </w:rPr>
                    <w:t>46.1</w:t>
                  </w:r>
                </w:p>
              </w:tc>
              <w:tc>
                <w:tcPr>
                  <w:tcW w:w="741" w:type="dxa"/>
                  <w:vMerge w:val="continue"/>
                  <w:vAlign w:val="center"/>
                </w:tcPr>
                <w:p w14:paraId="0A29E8AD">
                  <w:pPr>
                    <w:snapToGrid w:val="0"/>
                    <w:jc w:val="center"/>
                    <w:rPr>
                      <w:rFonts w:hint="eastAsia"/>
                      <w:color w:val="auto"/>
                      <w:szCs w:val="21"/>
                    </w:rPr>
                  </w:pPr>
                </w:p>
              </w:tc>
              <w:tc>
                <w:tcPr>
                  <w:tcW w:w="893" w:type="dxa"/>
                  <w:vMerge w:val="continue"/>
                  <w:vAlign w:val="center"/>
                </w:tcPr>
                <w:p w14:paraId="74BF9D0C">
                  <w:pPr>
                    <w:snapToGrid w:val="0"/>
                    <w:jc w:val="center"/>
                    <w:rPr>
                      <w:rFonts w:hint="eastAsia"/>
                      <w:color w:val="auto"/>
                      <w:szCs w:val="21"/>
                    </w:rPr>
                  </w:pPr>
                </w:p>
              </w:tc>
              <w:tc>
                <w:tcPr>
                  <w:tcW w:w="693" w:type="dxa"/>
                  <w:vAlign w:val="center"/>
                </w:tcPr>
                <w:p w14:paraId="3B515E9C">
                  <w:pPr>
                    <w:widowControl/>
                    <w:jc w:val="center"/>
                    <w:textAlignment w:val="center"/>
                    <w:rPr>
                      <w:color w:val="auto"/>
                      <w:szCs w:val="21"/>
                    </w:rPr>
                  </w:pPr>
                  <w:r>
                    <w:rPr>
                      <w:color w:val="auto"/>
                      <w:kern w:val="0"/>
                      <w:szCs w:val="21"/>
                      <w:lang w:bidi="ar"/>
                    </w:rPr>
                    <w:t>26.1</w:t>
                  </w:r>
                </w:p>
              </w:tc>
              <w:tc>
                <w:tcPr>
                  <w:tcW w:w="1260" w:type="dxa"/>
                  <w:vMerge w:val="continue"/>
                  <w:vAlign w:val="center"/>
                </w:tcPr>
                <w:p w14:paraId="6F12589E">
                  <w:pPr>
                    <w:snapToGrid w:val="0"/>
                    <w:jc w:val="center"/>
                    <w:rPr>
                      <w:rFonts w:hint="eastAsia"/>
                      <w:color w:val="auto"/>
                      <w:szCs w:val="21"/>
                    </w:rPr>
                  </w:pPr>
                </w:p>
              </w:tc>
            </w:tr>
            <w:tr w14:paraId="5B095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84" w:type="dxa"/>
                  <w:vMerge w:val="restart"/>
                  <w:vAlign w:val="center"/>
                </w:tcPr>
                <w:p w14:paraId="0FBE6B5D">
                  <w:pPr>
                    <w:widowControl/>
                    <w:jc w:val="center"/>
                    <w:textAlignment w:val="center"/>
                    <w:rPr>
                      <w:color w:val="auto"/>
                      <w:szCs w:val="21"/>
                    </w:rPr>
                  </w:pPr>
                  <w:r>
                    <w:rPr>
                      <w:color w:val="auto"/>
                      <w:kern w:val="0"/>
                      <w:szCs w:val="21"/>
                      <w:lang w:bidi="ar"/>
                    </w:rPr>
                    <w:t>24</w:t>
                  </w:r>
                </w:p>
              </w:tc>
              <w:tc>
                <w:tcPr>
                  <w:tcW w:w="786" w:type="dxa"/>
                  <w:vMerge w:val="continue"/>
                  <w:vAlign w:val="center"/>
                </w:tcPr>
                <w:p w14:paraId="1F799116">
                  <w:pPr>
                    <w:snapToGrid w:val="0"/>
                    <w:jc w:val="center"/>
                    <w:rPr>
                      <w:b/>
                      <w:bCs/>
                      <w:color w:val="auto"/>
                      <w:szCs w:val="21"/>
                    </w:rPr>
                  </w:pPr>
                </w:p>
              </w:tc>
              <w:tc>
                <w:tcPr>
                  <w:tcW w:w="1383" w:type="dxa"/>
                  <w:vMerge w:val="restart"/>
                  <w:vAlign w:val="center"/>
                </w:tcPr>
                <w:p w14:paraId="179FD60E">
                  <w:pPr>
                    <w:autoSpaceDE w:val="0"/>
                    <w:autoSpaceDN w:val="0"/>
                    <w:adjustRightInd w:val="0"/>
                    <w:snapToGrid w:val="0"/>
                    <w:jc w:val="center"/>
                    <w:rPr>
                      <w:color w:val="auto"/>
                      <w:kern w:val="0"/>
                      <w:szCs w:val="21"/>
                    </w:rPr>
                  </w:pPr>
                  <w:r>
                    <w:rPr>
                      <w:rFonts w:hint="eastAsia"/>
                      <w:color w:val="auto"/>
                      <w:szCs w:val="21"/>
                    </w:rPr>
                    <w:t>截锯</w:t>
                  </w:r>
                </w:p>
              </w:tc>
              <w:tc>
                <w:tcPr>
                  <w:tcW w:w="1494" w:type="dxa"/>
                  <w:vMerge w:val="restart"/>
                  <w:vAlign w:val="center"/>
                </w:tcPr>
                <w:p w14:paraId="6E96447B">
                  <w:pPr>
                    <w:adjustRightInd w:val="0"/>
                    <w:snapToGrid w:val="0"/>
                    <w:jc w:val="center"/>
                    <w:rPr>
                      <w:rFonts w:hint="eastAsia" w:eastAsia="宋体"/>
                      <w:bCs/>
                      <w:color w:val="auto"/>
                      <w:szCs w:val="21"/>
                      <w:lang w:val="en-US" w:eastAsia="zh-CN"/>
                    </w:rPr>
                  </w:pPr>
                  <w:r>
                    <w:rPr>
                      <w:rFonts w:hint="eastAsia"/>
                      <w:bCs/>
                      <w:color w:val="auto"/>
                      <w:szCs w:val="21"/>
                      <w:lang w:val="en-US" w:eastAsia="zh-CN"/>
                    </w:rPr>
                    <w:t>/</w:t>
                  </w:r>
                </w:p>
              </w:tc>
              <w:tc>
                <w:tcPr>
                  <w:tcW w:w="1081" w:type="dxa"/>
                  <w:vMerge w:val="restart"/>
                  <w:vAlign w:val="center"/>
                </w:tcPr>
                <w:p w14:paraId="6D13B3F6">
                  <w:pPr>
                    <w:widowControl/>
                    <w:jc w:val="center"/>
                    <w:textAlignment w:val="center"/>
                    <w:rPr>
                      <w:bCs/>
                      <w:color w:val="auto"/>
                      <w:szCs w:val="21"/>
                    </w:rPr>
                  </w:pPr>
                  <w:r>
                    <w:rPr>
                      <w:color w:val="auto"/>
                      <w:kern w:val="0"/>
                      <w:szCs w:val="21"/>
                      <w:lang w:bidi="ar"/>
                    </w:rPr>
                    <w:t>75</w:t>
                  </w:r>
                </w:p>
              </w:tc>
              <w:tc>
                <w:tcPr>
                  <w:tcW w:w="768" w:type="dxa"/>
                  <w:vMerge w:val="continue"/>
                  <w:vAlign w:val="center"/>
                </w:tcPr>
                <w:p w14:paraId="2D171690">
                  <w:pPr>
                    <w:snapToGrid w:val="0"/>
                    <w:jc w:val="center"/>
                    <w:rPr>
                      <w:b/>
                      <w:bCs/>
                      <w:color w:val="auto"/>
                      <w:szCs w:val="21"/>
                    </w:rPr>
                  </w:pPr>
                </w:p>
              </w:tc>
              <w:tc>
                <w:tcPr>
                  <w:tcW w:w="617" w:type="dxa"/>
                  <w:vMerge w:val="restart"/>
                  <w:vAlign w:val="center"/>
                </w:tcPr>
                <w:p w14:paraId="0FA0728B">
                  <w:pPr>
                    <w:widowControl/>
                    <w:jc w:val="center"/>
                    <w:textAlignment w:val="center"/>
                    <w:rPr>
                      <w:color w:val="auto"/>
                      <w:szCs w:val="21"/>
                    </w:rPr>
                  </w:pPr>
                  <w:r>
                    <w:rPr>
                      <w:color w:val="auto"/>
                      <w:kern w:val="0"/>
                      <w:szCs w:val="21"/>
                      <w:lang w:bidi="ar"/>
                    </w:rPr>
                    <w:t>17</w:t>
                  </w:r>
                </w:p>
              </w:tc>
              <w:tc>
                <w:tcPr>
                  <w:tcW w:w="617" w:type="dxa"/>
                  <w:vMerge w:val="restart"/>
                  <w:vAlign w:val="center"/>
                </w:tcPr>
                <w:p w14:paraId="4442F5E8">
                  <w:pPr>
                    <w:widowControl/>
                    <w:jc w:val="center"/>
                    <w:textAlignment w:val="center"/>
                    <w:rPr>
                      <w:color w:val="auto"/>
                      <w:szCs w:val="21"/>
                    </w:rPr>
                  </w:pPr>
                  <w:r>
                    <w:rPr>
                      <w:color w:val="auto"/>
                      <w:kern w:val="0"/>
                      <w:szCs w:val="21"/>
                      <w:lang w:bidi="ar"/>
                    </w:rPr>
                    <w:t>80</w:t>
                  </w:r>
                </w:p>
              </w:tc>
              <w:tc>
                <w:tcPr>
                  <w:tcW w:w="623" w:type="dxa"/>
                  <w:vMerge w:val="restart"/>
                  <w:vAlign w:val="center"/>
                </w:tcPr>
                <w:p w14:paraId="701C2FE5">
                  <w:pPr>
                    <w:widowControl/>
                    <w:jc w:val="center"/>
                    <w:textAlignment w:val="center"/>
                    <w:rPr>
                      <w:color w:val="auto"/>
                      <w:szCs w:val="21"/>
                    </w:rPr>
                  </w:pPr>
                  <w:r>
                    <w:rPr>
                      <w:color w:val="auto"/>
                      <w:kern w:val="0"/>
                      <w:szCs w:val="21"/>
                      <w:lang w:bidi="ar"/>
                    </w:rPr>
                    <w:t>1.2</w:t>
                  </w:r>
                </w:p>
              </w:tc>
              <w:tc>
                <w:tcPr>
                  <w:tcW w:w="1171" w:type="dxa"/>
                  <w:vAlign w:val="center"/>
                </w:tcPr>
                <w:p w14:paraId="5D997284">
                  <w:pPr>
                    <w:snapToGrid w:val="0"/>
                    <w:jc w:val="center"/>
                    <w:rPr>
                      <w:color w:val="auto"/>
                      <w:szCs w:val="21"/>
                    </w:rPr>
                  </w:pPr>
                  <w:r>
                    <w:rPr>
                      <w:rFonts w:hint="eastAsia"/>
                      <w:color w:val="auto"/>
                      <w:szCs w:val="21"/>
                    </w:rPr>
                    <w:t>北20</w:t>
                  </w:r>
                </w:p>
              </w:tc>
              <w:tc>
                <w:tcPr>
                  <w:tcW w:w="782" w:type="dxa"/>
                  <w:vAlign w:val="center"/>
                </w:tcPr>
                <w:p w14:paraId="5AA75786">
                  <w:pPr>
                    <w:widowControl/>
                    <w:jc w:val="center"/>
                    <w:textAlignment w:val="center"/>
                    <w:rPr>
                      <w:color w:val="auto"/>
                      <w:szCs w:val="21"/>
                    </w:rPr>
                  </w:pPr>
                  <w:r>
                    <w:rPr>
                      <w:color w:val="auto"/>
                      <w:kern w:val="0"/>
                      <w:szCs w:val="21"/>
                      <w:lang w:bidi="ar"/>
                    </w:rPr>
                    <w:t>49.0</w:t>
                  </w:r>
                </w:p>
              </w:tc>
              <w:tc>
                <w:tcPr>
                  <w:tcW w:w="741" w:type="dxa"/>
                  <w:vMerge w:val="continue"/>
                  <w:vAlign w:val="center"/>
                </w:tcPr>
                <w:p w14:paraId="18BFE890">
                  <w:pPr>
                    <w:snapToGrid w:val="0"/>
                    <w:jc w:val="center"/>
                    <w:rPr>
                      <w:color w:val="auto"/>
                      <w:szCs w:val="21"/>
                    </w:rPr>
                  </w:pPr>
                </w:p>
              </w:tc>
              <w:tc>
                <w:tcPr>
                  <w:tcW w:w="893" w:type="dxa"/>
                  <w:vMerge w:val="continue"/>
                  <w:vAlign w:val="center"/>
                </w:tcPr>
                <w:p w14:paraId="46BA5084">
                  <w:pPr>
                    <w:snapToGrid w:val="0"/>
                    <w:jc w:val="center"/>
                    <w:rPr>
                      <w:color w:val="auto"/>
                      <w:szCs w:val="21"/>
                    </w:rPr>
                  </w:pPr>
                </w:p>
              </w:tc>
              <w:tc>
                <w:tcPr>
                  <w:tcW w:w="693" w:type="dxa"/>
                  <w:vAlign w:val="center"/>
                </w:tcPr>
                <w:p w14:paraId="5298DA68">
                  <w:pPr>
                    <w:widowControl/>
                    <w:jc w:val="center"/>
                    <w:textAlignment w:val="center"/>
                    <w:rPr>
                      <w:color w:val="auto"/>
                      <w:kern w:val="0"/>
                      <w:szCs w:val="21"/>
                      <w:lang w:bidi="ar"/>
                    </w:rPr>
                  </w:pPr>
                  <w:r>
                    <w:rPr>
                      <w:color w:val="auto"/>
                      <w:kern w:val="0"/>
                      <w:szCs w:val="21"/>
                      <w:lang w:bidi="ar"/>
                    </w:rPr>
                    <w:t>29.0</w:t>
                  </w:r>
                </w:p>
              </w:tc>
              <w:tc>
                <w:tcPr>
                  <w:tcW w:w="1260" w:type="dxa"/>
                  <w:vMerge w:val="restart"/>
                  <w:vAlign w:val="center"/>
                </w:tcPr>
                <w:p w14:paraId="2D320FDD">
                  <w:pPr>
                    <w:snapToGrid w:val="0"/>
                    <w:jc w:val="center"/>
                    <w:rPr>
                      <w:color w:val="auto"/>
                      <w:szCs w:val="21"/>
                    </w:rPr>
                  </w:pPr>
                  <w:r>
                    <w:rPr>
                      <w:rFonts w:hint="eastAsia"/>
                      <w:color w:val="auto"/>
                      <w:szCs w:val="21"/>
                    </w:rPr>
                    <w:t>1</w:t>
                  </w:r>
                </w:p>
              </w:tc>
            </w:tr>
            <w:tr w14:paraId="37C80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84" w:type="dxa"/>
                  <w:vMerge w:val="continue"/>
                  <w:vAlign w:val="center"/>
                </w:tcPr>
                <w:p w14:paraId="041169D4">
                  <w:pPr>
                    <w:snapToGrid w:val="0"/>
                    <w:jc w:val="center"/>
                    <w:rPr>
                      <w:color w:val="auto"/>
                      <w:szCs w:val="21"/>
                    </w:rPr>
                  </w:pPr>
                </w:p>
              </w:tc>
              <w:tc>
                <w:tcPr>
                  <w:tcW w:w="786" w:type="dxa"/>
                  <w:vMerge w:val="continue"/>
                  <w:vAlign w:val="center"/>
                </w:tcPr>
                <w:p w14:paraId="651D49B7">
                  <w:pPr>
                    <w:snapToGrid w:val="0"/>
                    <w:jc w:val="center"/>
                    <w:rPr>
                      <w:color w:val="auto"/>
                    </w:rPr>
                  </w:pPr>
                </w:p>
              </w:tc>
              <w:tc>
                <w:tcPr>
                  <w:tcW w:w="1383" w:type="dxa"/>
                  <w:vMerge w:val="continue"/>
                  <w:vAlign w:val="top"/>
                </w:tcPr>
                <w:p w14:paraId="2F4B7D96">
                  <w:pPr>
                    <w:snapToGrid w:val="0"/>
                    <w:jc w:val="center"/>
                    <w:rPr>
                      <w:color w:val="auto"/>
                    </w:rPr>
                  </w:pPr>
                </w:p>
              </w:tc>
              <w:tc>
                <w:tcPr>
                  <w:tcW w:w="1494" w:type="dxa"/>
                  <w:vMerge w:val="continue"/>
                  <w:vAlign w:val="center"/>
                </w:tcPr>
                <w:p w14:paraId="364B2B27">
                  <w:pPr>
                    <w:snapToGrid w:val="0"/>
                    <w:jc w:val="center"/>
                    <w:rPr>
                      <w:color w:val="auto"/>
                    </w:rPr>
                  </w:pPr>
                </w:p>
              </w:tc>
              <w:tc>
                <w:tcPr>
                  <w:tcW w:w="1081" w:type="dxa"/>
                  <w:vMerge w:val="continue"/>
                  <w:vAlign w:val="center"/>
                </w:tcPr>
                <w:p w14:paraId="3EA410D6">
                  <w:pPr>
                    <w:snapToGrid w:val="0"/>
                    <w:jc w:val="center"/>
                    <w:rPr>
                      <w:color w:val="auto"/>
                      <w:szCs w:val="21"/>
                    </w:rPr>
                  </w:pPr>
                </w:p>
              </w:tc>
              <w:tc>
                <w:tcPr>
                  <w:tcW w:w="768" w:type="dxa"/>
                  <w:vMerge w:val="continue"/>
                  <w:vAlign w:val="center"/>
                </w:tcPr>
                <w:p w14:paraId="5E18450F">
                  <w:pPr>
                    <w:snapToGrid w:val="0"/>
                    <w:jc w:val="center"/>
                    <w:rPr>
                      <w:color w:val="auto"/>
                    </w:rPr>
                  </w:pPr>
                </w:p>
              </w:tc>
              <w:tc>
                <w:tcPr>
                  <w:tcW w:w="617" w:type="dxa"/>
                  <w:vMerge w:val="continue"/>
                  <w:vAlign w:val="center"/>
                </w:tcPr>
                <w:p w14:paraId="480EC9AC">
                  <w:pPr>
                    <w:snapToGrid w:val="0"/>
                    <w:jc w:val="center"/>
                    <w:rPr>
                      <w:color w:val="auto"/>
                      <w:szCs w:val="21"/>
                    </w:rPr>
                  </w:pPr>
                </w:p>
              </w:tc>
              <w:tc>
                <w:tcPr>
                  <w:tcW w:w="617" w:type="dxa"/>
                  <w:vMerge w:val="continue"/>
                  <w:vAlign w:val="center"/>
                </w:tcPr>
                <w:p w14:paraId="1CB0B150">
                  <w:pPr>
                    <w:snapToGrid w:val="0"/>
                    <w:jc w:val="center"/>
                    <w:rPr>
                      <w:color w:val="auto"/>
                      <w:szCs w:val="21"/>
                    </w:rPr>
                  </w:pPr>
                </w:p>
              </w:tc>
              <w:tc>
                <w:tcPr>
                  <w:tcW w:w="623" w:type="dxa"/>
                  <w:vMerge w:val="continue"/>
                  <w:vAlign w:val="center"/>
                </w:tcPr>
                <w:p w14:paraId="64B7D6D1">
                  <w:pPr>
                    <w:snapToGrid w:val="0"/>
                    <w:jc w:val="center"/>
                    <w:rPr>
                      <w:color w:val="auto"/>
                      <w:szCs w:val="21"/>
                    </w:rPr>
                  </w:pPr>
                </w:p>
              </w:tc>
              <w:tc>
                <w:tcPr>
                  <w:tcW w:w="1171" w:type="dxa"/>
                  <w:vAlign w:val="center"/>
                </w:tcPr>
                <w:p w14:paraId="7378B438">
                  <w:pPr>
                    <w:snapToGrid w:val="0"/>
                    <w:jc w:val="center"/>
                    <w:rPr>
                      <w:color w:val="auto"/>
                      <w:szCs w:val="21"/>
                    </w:rPr>
                  </w:pPr>
                  <w:r>
                    <w:rPr>
                      <w:rFonts w:hint="eastAsia"/>
                      <w:color w:val="auto"/>
                      <w:szCs w:val="21"/>
                    </w:rPr>
                    <w:t>南80</w:t>
                  </w:r>
                </w:p>
              </w:tc>
              <w:tc>
                <w:tcPr>
                  <w:tcW w:w="782" w:type="dxa"/>
                  <w:vAlign w:val="center"/>
                </w:tcPr>
                <w:p w14:paraId="366296ED">
                  <w:pPr>
                    <w:widowControl/>
                    <w:jc w:val="center"/>
                    <w:textAlignment w:val="center"/>
                    <w:rPr>
                      <w:color w:val="auto"/>
                      <w:szCs w:val="21"/>
                    </w:rPr>
                  </w:pPr>
                  <w:r>
                    <w:rPr>
                      <w:color w:val="auto"/>
                      <w:kern w:val="0"/>
                      <w:szCs w:val="21"/>
                      <w:lang w:bidi="ar"/>
                    </w:rPr>
                    <w:t>36.9</w:t>
                  </w:r>
                </w:p>
              </w:tc>
              <w:tc>
                <w:tcPr>
                  <w:tcW w:w="741" w:type="dxa"/>
                  <w:vMerge w:val="continue"/>
                  <w:vAlign w:val="center"/>
                </w:tcPr>
                <w:p w14:paraId="3EDA1432">
                  <w:pPr>
                    <w:snapToGrid w:val="0"/>
                    <w:jc w:val="center"/>
                    <w:rPr>
                      <w:rFonts w:hint="eastAsia"/>
                      <w:color w:val="auto"/>
                      <w:szCs w:val="21"/>
                    </w:rPr>
                  </w:pPr>
                </w:p>
              </w:tc>
              <w:tc>
                <w:tcPr>
                  <w:tcW w:w="893" w:type="dxa"/>
                  <w:vMerge w:val="continue"/>
                  <w:vAlign w:val="center"/>
                </w:tcPr>
                <w:p w14:paraId="75A76417">
                  <w:pPr>
                    <w:snapToGrid w:val="0"/>
                    <w:jc w:val="center"/>
                    <w:rPr>
                      <w:rFonts w:hint="eastAsia"/>
                      <w:color w:val="auto"/>
                      <w:szCs w:val="21"/>
                    </w:rPr>
                  </w:pPr>
                </w:p>
              </w:tc>
              <w:tc>
                <w:tcPr>
                  <w:tcW w:w="693" w:type="dxa"/>
                  <w:vAlign w:val="center"/>
                </w:tcPr>
                <w:p w14:paraId="0856C637">
                  <w:pPr>
                    <w:widowControl/>
                    <w:jc w:val="center"/>
                    <w:textAlignment w:val="center"/>
                    <w:rPr>
                      <w:color w:val="auto"/>
                      <w:szCs w:val="21"/>
                    </w:rPr>
                  </w:pPr>
                  <w:r>
                    <w:rPr>
                      <w:color w:val="auto"/>
                      <w:kern w:val="0"/>
                      <w:szCs w:val="21"/>
                      <w:lang w:bidi="ar"/>
                    </w:rPr>
                    <w:t>16.9</w:t>
                  </w:r>
                </w:p>
              </w:tc>
              <w:tc>
                <w:tcPr>
                  <w:tcW w:w="1260" w:type="dxa"/>
                  <w:vMerge w:val="continue"/>
                  <w:vAlign w:val="center"/>
                </w:tcPr>
                <w:p w14:paraId="5E9612B2">
                  <w:pPr>
                    <w:snapToGrid w:val="0"/>
                    <w:jc w:val="center"/>
                    <w:rPr>
                      <w:rFonts w:hint="eastAsia"/>
                      <w:color w:val="auto"/>
                      <w:szCs w:val="21"/>
                    </w:rPr>
                  </w:pPr>
                </w:p>
              </w:tc>
            </w:tr>
            <w:tr w14:paraId="50380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84" w:type="dxa"/>
                  <w:vMerge w:val="continue"/>
                  <w:vAlign w:val="center"/>
                </w:tcPr>
                <w:p w14:paraId="18ED42BA">
                  <w:pPr>
                    <w:snapToGrid w:val="0"/>
                    <w:jc w:val="center"/>
                    <w:rPr>
                      <w:color w:val="auto"/>
                      <w:szCs w:val="21"/>
                    </w:rPr>
                  </w:pPr>
                </w:p>
              </w:tc>
              <w:tc>
                <w:tcPr>
                  <w:tcW w:w="786" w:type="dxa"/>
                  <w:vMerge w:val="continue"/>
                  <w:vAlign w:val="center"/>
                </w:tcPr>
                <w:p w14:paraId="151E6DE7">
                  <w:pPr>
                    <w:snapToGrid w:val="0"/>
                    <w:jc w:val="center"/>
                    <w:rPr>
                      <w:rFonts w:hint="eastAsia"/>
                      <w:color w:val="auto"/>
                      <w:szCs w:val="21"/>
                    </w:rPr>
                  </w:pPr>
                </w:p>
              </w:tc>
              <w:tc>
                <w:tcPr>
                  <w:tcW w:w="1383" w:type="dxa"/>
                  <w:vMerge w:val="continue"/>
                  <w:vAlign w:val="top"/>
                </w:tcPr>
                <w:p w14:paraId="7D316D96">
                  <w:pPr>
                    <w:snapToGrid w:val="0"/>
                    <w:jc w:val="center"/>
                    <w:rPr>
                      <w:rFonts w:hint="eastAsia"/>
                      <w:color w:val="auto"/>
                      <w:szCs w:val="21"/>
                    </w:rPr>
                  </w:pPr>
                </w:p>
              </w:tc>
              <w:tc>
                <w:tcPr>
                  <w:tcW w:w="1494" w:type="dxa"/>
                  <w:vMerge w:val="continue"/>
                  <w:vAlign w:val="center"/>
                </w:tcPr>
                <w:p w14:paraId="2B7CB1ED">
                  <w:pPr>
                    <w:snapToGrid w:val="0"/>
                    <w:jc w:val="center"/>
                    <w:rPr>
                      <w:rFonts w:hint="eastAsia"/>
                      <w:color w:val="auto"/>
                      <w:szCs w:val="21"/>
                    </w:rPr>
                  </w:pPr>
                </w:p>
              </w:tc>
              <w:tc>
                <w:tcPr>
                  <w:tcW w:w="1081" w:type="dxa"/>
                  <w:vMerge w:val="continue"/>
                  <w:vAlign w:val="center"/>
                </w:tcPr>
                <w:p w14:paraId="6DA202FB">
                  <w:pPr>
                    <w:snapToGrid w:val="0"/>
                    <w:jc w:val="center"/>
                    <w:rPr>
                      <w:color w:val="auto"/>
                      <w:szCs w:val="21"/>
                    </w:rPr>
                  </w:pPr>
                </w:p>
              </w:tc>
              <w:tc>
                <w:tcPr>
                  <w:tcW w:w="768" w:type="dxa"/>
                  <w:vMerge w:val="continue"/>
                  <w:vAlign w:val="center"/>
                </w:tcPr>
                <w:p w14:paraId="64D4006D">
                  <w:pPr>
                    <w:snapToGrid w:val="0"/>
                    <w:jc w:val="center"/>
                    <w:rPr>
                      <w:rFonts w:hint="eastAsia"/>
                      <w:color w:val="auto"/>
                      <w:szCs w:val="21"/>
                    </w:rPr>
                  </w:pPr>
                </w:p>
              </w:tc>
              <w:tc>
                <w:tcPr>
                  <w:tcW w:w="617" w:type="dxa"/>
                  <w:vMerge w:val="continue"/>
                  <w:vAlign w:val="center"/>
                </w:tcPr>
                <w:p w14:paraId="0B3BC90C">
                  <w:pPr>
                    <w:snapToGrid w:val="0"/>
                    <w:jc w:val="center"/>
                    <w:rPr>
                      <w:color w:val="auto"/>
                      <w:szCs w:val="21"/>
                    </w:rPr>
                  </w:pPr>
                </w:p>
              </w:tc>
              <w:tc>
                <w:tcPr>
                  <w:tcW w:w="617" w:type="dxa"/>
                  <w:vMerge w:val="continue"/>
                  <w:vAlign w:val="center"/>
                </w:tcPr>
                <w:p w14:paraId="40340A74">
                  <w:pPr>
                    <w:snapToGrid w:val="0"/>
                    <w:jc w:val="center"/>
                    <w:rPr>
                      <w:color w:val="auto"/>
                      <w:szCs w:val="21"/>
                    </w:rPr>
                  </w:pPr>
                </w:p>
              </w:tc>
              <w:tc>
                <w:tcPr>
                  <w:tcW w:w="623" w:type="dxa"/>
                  <w:vMerge w:val="continue"/>
                  <w:vAlign w:val="center"/>
                </w:tcPr>
                <w:p w14:paraId="352E9DCD">
                  <w:pPr>
                    <w:snapToGrid w:val="0"/>
                    <w:jc w:val="center"/>
                    <w:rPr>
                      <w:color w:val="auto"/>
                      <w:szCs w:val="21"/>
                    </w:rPr>
                  </w:pPr>
                </w:p>
              </w:tc>
              <w:tc>
                <w:tcPr>
                  <w:tcW w:w="1171" w:type="dxa"/>
                  <w:vAlign w:val="center"/>
                </w:tcPr>
                <w:p w14:paraId="182C12A1">
                  <w:pPr>
                    <w:snapToGrid w:val="0"/>
                    <w:jc w:val="center"/>
                    <w:rPr>
                      <w:rFonts w:hint="eastAsia"/>
                      <w:color w:val="auto"/>
                      <w:szCs w:val="21"/>
                    </w:rPr>
                  </w:pPr>
                  <w:r>
                    <w:rPr>
                      <w:rFonts w:hint="eastAsia"/>
                      <w:color w:val="auto"/>
                      <w:szCs w:val="21"/>
                    </w:rPr>
                    <w:t>东30</w:t>
                  </w:r>
                </w:p>
              </w:tc>
              <w:tc>
                <w:tcPr>
                  <w:tcW w:w="782" w:type="dxa"/>
                  <w:vAlign w:val="center"/>
                </w:tcPr>
                <w:p w14:paraId="7DF9519F">
                  <w:pPr>
                    <w:widowControl/>
                    <w:jc w:val="center"/>
                    <w:textAlignment w:val="center"/>
                    <w:rPr>
                      <w:color w:val="auto"/>
                      <w:szCs w:val="21"/>
                    </w:rPr>
                  </w:pPr>
                  <w:r>
                    <w:rPr>
                      <w:color w:val="auto"/>
                      <w:kern w:val="0"/>
                      <w:szCs w:val="21"/>
                      <w:lang w:bidi="ar"/>
                    </w:rPr>
                    <w:t>45.5</w:t>
                  </w:r>
                </w:p>
              </w:tc>
              <w:tc>
                <w:tcPr>
                  <w:tcW w:w="741" w:type="dxa"/>
                  <w:vMerge w:val="continue"/>
                  <w:vAlign w:val="center"/>
                </w:tcPr>
                <w:p w14:paraId="0719D2C1">
                  <w:pPr>
                    <w:snapToGrid w:val="0"/>
                    <w:jc w:val="center"/>
                    <w:rPr>
                      <w:rFonts w:hint="eastAsia"/>
                      <w:color w:val="auto"/>
                      <w:szCs w:val="21"/>
                    </w:rPr>
                  </w:pPr>
                </w:p>
              </w:tc>
              <w:tc>
                <w:tcPr>
                  <w:tcW w:w="893" w:type="dxa"/>
                  <w:vMerge w:val="continue"/>
                  <w:vAlign w:val="center"/>
                </w:tcPr>
                <w:p w14:paraId="0018F947">
                  <w:pPr>
                    <w:snapToGrid w:val="0"/>
                    <w:jc w:val="center"/>
                    <w:rPr>
                      <w:rFonts w:hint="eastAsia"/>
                      <w:color w:val="auto"/>
                      <w:szCs w:val="21"/>
                    </w:rPr>
                  </w:pPr>
                </w:p>
              </w:tc>
              <w:tc>
                <w:tcPr>
                  <w:tcW w:w="693" w:type="dxa"/>
                  <w:vAlign w:val="center"/>
                </w:tcPr>
                <w:p w14:paraId="4EF751D9">
                  <w:pPr>
                    <w:widowControl/>
                    <w:jc w:val="center"/>
                    <w:textAlignment w:val="center"/>
                    <w:rPr>
                      <w:color w:val="auto"/>
                      <w:szCs w:val="21"/>
                    </w:rPr>
                  </w:pPr>
                  <w:r>
                    <w:rPr>
                      <w:color w:val="auto"/>
                      <w:kern w:val="0"/>
                      <w:szCs w:val="21"/>
                      <w:lang w:bidi="ar"/>
                    </w:rPr>
                    <w:t>25.5</w:t>
                  </w:r>
                </w:p>
              </w:tc>
              <w:tc>
                <w:tcPr>
                  <w:tcW w:w="1260" w:type="dxa"/>
                  <w:vMerge w:val="continue"/>
                  <w:vAlign w:val="center"/>
                </w:tcPr>
                <w:p w14:paraId="45F4CA2D">
                  <w:pPr>
                    <w:snapToGrid w:val="0"/>
                    <w:jc w:val="center"/>
                    <w:rPr>
                      <w:rFonts w:hint="eastAsia"/>
                      <w:color w:val="auto"/>
                      <w:szCs w:val="21"/>
                    </w:rPr>
                  </w:pPr>
                </w:p>
              </w:tc>
            </w:tr>
            <w:tr w14:paraId="45DF4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84" w:type="dxa"/>
                  <w:vMerge w:val="continue"/>
                  <w:vAlign w:val="center"/>
                </w:tcPr>
                <w:p w14:paraId="06176AA5">
                  <w:pPr>
                    <w:snapToGrid w:val="0"/>
                    <w:jc w:val="center"/>
                    <w:rPr>
                      <w:color w:val="auto"/>
                      <w:szCs w:val="21"/>
                    </w:rPr>
                  </w:pPr>
                </w:p>
              </w:tc>
              <w:tc>
                <w:tcPr>
                  <w:tcW w:w="786" w:type="dxa"/>
                  <w:vMerge w:val="continue"/>
                  <w:vAlign w:val="center"/>
                </w:tcPr>
                <w:p w14:paraId="1DD9AF8E">
                  <w:pPr>
                    <w:snapToGrid w:val="0"/>
                    <w:jc w:val="center"/>
                    <w:rPr>
                      <w:rFonts w:hint="eastAsia"/>
                      <w:color w:val="auto"/>
                      <w:szCs w:val="21"/>
                    </w:rPr>
                  </w:pPr>
                </w:p>
              </w:tc>
              <w:tc>
                <w:tcPr>
                  <w:tcW w:w="1383" w:type="dxa"/>
                  <w:vMerge w:val="continue"/>
                  <w:vAlign w:val="top"/>
                </w:tcPr>
                <w:p w14:paraId="0E2F8C42">
                  <w:pPr>
                    <w:snapToGrid w:val="0"/>
                    <w:jc w:val="center"/>
                    <w:rPr>
                      <w:rFonts w:hint="eastAsia"/>
                      <w:color w:val="auto"/>
                      <w:szCs w:val="21"/>
                    </w:rPr>
                  </w:pPr>
                </w:p>
              </w:tc>
              <w:tc>
                <w:tcPr>
                  <w:tcW w:w="1494" w:type="dxa"/>
                  <w:vMerge w:val="continue"/>
                  <w:vAlign w:val="center"/>
                </w:tcPr>
                <w:p w14:paraId="2FEAEC52">
                  <w:pPr>
                    <w:snapToGrid w:val="0"/>
                    <w:jc w:val="center"/>
                    <w:rPr>
                      <w:rFonts w:hint="eastAsia"/>
                      <w:color w:val="auto"/>
                      <w:szCs w:val="21"/>
                    </w:rPr>
                  </w:pPr>
                </w:p>
              </w:tc>
              <w:tc>
                <w:tcPr>
                  <w:tcW w:w="1081" w:type="dxa"/>
                  <w:vMerge w:val="continue"/>
                  <w:vAlign w:val="center"/>
                </w:tcPr>
                <w:p w14:paraId="099875F3">
                  <w:pPr>
                    <w:snapToGrid w:val="0"/>
                    <w:jc w:val="center"/>
                    <w:rPr>
                      <w:color w:val="auto"/>
                      <w:szCs w:val="21"/>
                    </w:rPr>
                  </w:pPr>
                </w:p>
              </w:tc>
              <w:tc>
                <w:tcPr>
                  <w:tcW w:w="768" w:type="dxa"/>
                  <w:vMerge w:val="continue"/>
                  <w:vAlign w:val="center"/>
                </w:tcPr>
                <w:p w14:paraId="6973FDE2">
                  <w:pPr>
                    <w:snapToGrid w:val="0"/>
                    <w:jc w:val="center"/>
                    <w:rPr>
                      <w:rFonts w:hint="eastAsia"/>
                      <w:color w:val="auto"/>
                      <w:szCs w:val="21"/>
                    </w:rPr>
                  </w:pPr>
                </w:p>
              </w:tc>
              <w:tc>
                <w:tcPr>
                  <w:tcW w:w="617" w:type="dxa"/>
                  <w:vMerge w:val="continue"/>
                  <w:vAlign w:val="center"/>
                </w:tcPr>
                <w:p w14:paraId="3972AD01">
                  <w:pPr>
                    <w:snapToGrid w:val="0"/>
                    <w:jc w:val="center"/>
                    <w:rPr>
                      <w:color w:val="auto"/>
                      <w:szCs w:val="21"/>
                    </w:rPr>
                  </w:pPr>
                </w:p>
              </w:tc>
              <w:tc>
                <w:tcPr>
                  <w:tcW w:w="617" w:type="dxa"/>
                  <w:vMerge w:val="continue"/>
                  <w:vAlign w:val="center"/>
                </w:tcPr>
                <w:p w14:paraId="353C6BB8">
                  <w:pPr>
                    <w:snapToGrid w:val="0"/>
                    <w:jc w:val="center"/>
                    <w:rPr>
                      <w:color w:val="auto"/>
                      <w:szCs w:val="21"/>
                    </w:rPr>
                  </w:pPr>
                </w:p>
              </w:tc>
              <w:tc>
                <w:tcPr>
                  <w:tcW w:w="623" w:type="dxa"/>
                  <w:vMerge w:val="continue"/>
                  <w:vAlign w:val="center"/>
                </w:tcPr>
                <w:p w14:paraId="07FC13DE">
                  <w:pPr>
                    <w:snapToGrid w:val="0"/>
                    <w:jc w:val="center"/>
                    <w:rPr>
                      <w:color w:val="auto"/>
                      <w:szCs w:val="21"/>
                    </w:rPr>
                  </w:pPr>
                </w:p>
              </w:tc>
              <w:tc>
                <w:tcPr>
                  <w:tcW w:w="1171" w:type="dxa"/>
                  <w:vAlign w:val="center"/>
                </w:tcPr>
                <w:p w14:paraId="783A3BC9">
                  <w:pPr>
                    <w:snapToGrid w:val="0"/>
                    <w:jc w:val="center"/>
                    <w:rPr>
                      <w:color w:val="auto"/>
                      <w:szCs w:val="21"/>
                    </w:rPr>
                  </w:pPr>
                  <w:r>
                    <w:rPr>
                      <w:rFonts w:hint="eastAsia"/>
                      <w:color w:val="auto"/>
                      <w:szCs w:val="21"/>
                    </w:rPr>
                    <w:t>西30</w:t>
                  </w:r>
                </w:p>
              </w:tc>
              <w:tc>
                <w:tcPr>
                  <w:tcW w:w="782" w:type="dxa"/>
                  <w:vAlign w:val="center"/>
                </w:tcPr>
                <w:p w14:paraId="5C7B8842">
                  <w:pPr>
                    <w:widowControl/>
                    <w:jc w:val="center"/>
                    <w:textAlignment w:val="center"/>
                    <w:rPr>
                      <w:color w:val="auto"/>
                      <w:szCs w:val="21"/>
                    </w:rPr>
                  </w:pPr>
                  <w:r>
                    <w:rPr>
                      <w:color w:val="auto"/>
                      <w:kern w:val="0"/>
                      <w:szCs w:val="21"/>
                      <w:lang w:bidi="ar"/>
                    </w:rPr>
                    <w:t>45.5</w:t>
                  </w:r>
                </w:p>
              </w:tc>
              <w:tc>
                <w:tcPr>
                  <w:tcW w:w="741" w:type="dxa"/>
                  <w:vMerge w:val="continue"/>
                  <w:vAlign w:val="center"/>
                </w:tcPr>
                <w:p w14:paraId="35011E87">
                  <w:pPr>
                    <w:snapToGrid w:val="0"/>
                    <w:jc w:val="center"/>
                    <w:rPr>
                      <w:rFonts w:hint="eastAsia"/>
                      <w:color w:val="auto"/>
                      <w:szCs w:val="21"/>
                    </w:rPr>
                  </w:pPr>
                </w:p>
              </w:tc>
              <w:tc>
                <w:tcPr>
                  <w:tcW w:w="893" w:type="dxa"/>
                  <w:vMerge w:val="continue"/>
                  <w:vAlign w:val="center"/>
                </w:tcPr>
                <w:p w14:paraId="025717C7">
                  <w:pPr>
                    <w:snapToGrid w:val="0"/>
                    <w:jc w:val="center"/>
                    <w:rPr>
                      <w:rFonts w:hint="eastAsia"/>
                      <w:color w:val="auto"/>
                      <w:szCs w:val="21"/>
                    </w:rPr>
                  </w:pPr>
                </w:p>
              </w:tc>
              <w:tc>
                <w:tcPr>
                  <w:tcW w:w="693" w:type="dxa"/>
                  <w:vAlign w:val="center"/>
                </w:tcPr>
                <w:p w14:paraId="06FEC0F4">
                  <w:pPr>
                    <w:widowControl/>
                    <w:jc w:val="center"/>
                    <w:textAlignment w:val="center"/>
                    <w:rPr>
                      <w:color w:val="auto"/>
                      <w:szCs w:val="21"/>
                    </w:rPr>
                  </w:pPr>
                  <w:r>
                    <w:rPr>
                      <w:color w:val="auto"/>
                      <w:kern w:val="0"/>
                      <w:szCs w:val="21"/>
                      <w:lang w:bidi="ar"/>
                    </w:rPr>
                    <w:t>25.5</w:t>
                  </w:r>
                </w:p>
              </w:tc>
              <w:tc>
                <w:tcPr>
                  <w:tcW w:w="1260" w:type="dxa"/>
                  <w:vMerge w:val="continue"/>
                  <w:vAlign w:val="center"/>
                </w:tcPr>
                <w:p w14:paraId="4F4AC928">
                  <w:pPr>
                    <w:snapToGrid w:val="0"/>
                    <w:jc w:val="center"/>
                    <w:rPr>
                      <w:rFonts w:hint="eastAsia"/>
                      <w:color w:val="auto"/>
                      <w:szCs w:val="21"/>
                    </w:rPr>
                  </w:pPr>
                </w:p>
              </w:tc>
            </w:tr>
            <w:tr w14:paraId="21FF6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84" w:type="dxa"/>
                  <w:vMerge w:val="restart"/>
                  <w:vAlign w:val="center"/>
                </w:tcPr>
                <w:p w14:paraId="7A7B0BFD">
                  <w:pPr>
                    <w:widowControl/>
                    <w:jc w:val="center"/>
                    <w:textAlignment w:val="center"/>
                    <w:rPr>
                      <w:color w:val="auto"/>
                      <w:szCs w:val="21"/>
                    </w:rPr>
                  </w:pPr>
                  <w:r>
                    <w:rPr>
                      <w:color w:val="auto"/>
                      <w:kern w:val="0"/>
                      <w:szCs w:val="21"/>
                      <w:lang w:bidi="ar"/>
                    </w:rPr>
                    <w:t>25</w:t>
                  </w:r>
                </w:p>
              </w:tc>
              <w:tc>
                <w:tcPr>
                  <w:tcW w:w="786" w:type="dxa"/>
                  <w:vMerge w:val="continue"/>
                  <w:vAlign w:val="center"/>
                </w:tcPr>
                <w:p w14:paraId="332233DD">
                  <w:pPr>
                    <w:snapToGrid w:val="0"/>
                    <w:jc w:val="center"/>
                    <w:rPr>
                      <w:b/>
                      <w:bCs/>
                      <w:color w:val="auto"/>
                      <w:szCs w:val="21"/>
                    </w:rPr>
                  </w:pPr>
                </w:p>
              </w:tc>
              <w:tc>
                <w:tcPr>
                  <w:tcW w:w="1383" w:type="dxa"/>
                  <w:vMerge w:val="restart"/>
                  <w:vAlign w:val="center"/>
                </w:tcPr>
                <w:p w14:paraId="35F84A27">
                  <w:pPr>
                    <w:autoSpaceDE w:val="0"/>
                    <w:autoSpaceDN w:val="0"/>
                    <w:adjustRightInd w:val="0"/>
                    <w:snapToGrid w:val="0"/>
                    <w:jc w:val="center"/>
                    <w:rPr>
                      <w:color w:val="auto"/>
                      <w:kern w:val="0"/>
                      <w:szCs w:val="21"/>
                    </w:rPr>
                  </w:pPr>
                  <w:r>
                    <w:rPr>
                      <w:rFonts w:hint="eastAsia"/>
                      <w:color w:val="auto"/>
                      <w:szCs w:val="21"/>
                    </w:rPr>
                    <w:t>鲁森刨砂机</w:t>
                  </w:r>
                </w:p>
              </w:tc>
              <w:tc>
                <w:tcPr>
                  <w:tcW w:w="1494" w:type="dxa"/>
                  <w:vMerge w:val="restart"/>
                  <w:vAlign w:val="center"/>
                </w:tcPr>
                <w:p w14:paraId="5CB42525">
                  <w:pPr>
                    <w:adjustRightInd w:val="0"/>
                    <w:snapToGrid w:val="0"/>
                    <w:jc w:val="center"/>
                    <w:rPr>
                      <w:rFonts w:hint="eastAsia" w:eastAsia="宋体"/>
                      <w:bCs/>
                      <w:color w:val="auto"/>
                      <w:szCs w:val="21"/>
                      <w:lang w:val="en-US" w:eastAsia="zh-CN"/>
                    </w:rPr>
                  </w:pPr>
                  <w:r>
                    <w:rPr>
                      <w:rFonts w:hint="eastAsia"/>
                      <w:bCs/>
                      <w:color w:val="auto"/>
                      <w:szCs w:val="21"/>
                      <w:lang w:val="en-US" w:eastAsia="zh-CN"/>
                    </w:rPr>
                    <w:t>/</w:t>
                  </w:r>
                </w:p>
              </w:tc>
              <w:tc>
                <w:tcPr>
                  <w:tcW w:w="1081" w:type="dxa"/>
                  <w:vMerge w:val="restart"/>
                  <w:vAlign w:val="center"/>
                </w:tcPr>
                <w:p w14:paraId="4322C4D4">
                  <w:pPr>
                    <w:widowControl/>
                    <w:jc w:val="center"/>
                    <w:textAlignment w:val="center"/>
                    <w:rPr>
                      <w:bCs/>
                      <w:color w:val="auto"/>
                      <w:szCs w:val="21"/>
                    </w:rPr>
                  </w:pPr>
                  <w:r>
                    <w:rPr>
                      <w:color w:val="auto"/>
                      <w:kern w:val="0"/>
                      <w:szCs w:val="21"/>
                      <w:lang w:bidi="ar"/>
                    </w:rPr>
                    <w:t>80</w:t>
                  </w:r>
                </w:p>
              </w:tc>
              <w:tc>
                <w:tcPr>
                  <w:tcW w:w="768" w:type="dxa"/>
                  <w:vMerge w:val="continue"/>
                  <w:vAlign w:val="center"/>
                </w:tcPr>
                <w:p w14:paraId="172FBE14">
                  <w:pPr>
                    <w:snapToGrid w:val="0"/>
                    <w:jc w:val="center"/>
                    <w:rPr>
                      <w:b/>
                      <w:bCs/>
                      <w:color w:val="auto"/>
                      <w:szCs w:val="21"/>
                    </w:rPr>
                  </w:pPr>
                </w:p>
              </w:tc>
              <w:tc>
                <w:tcPr>
                  <w:tcW w:w="617" w:type="dxa"/>
                  <w:vMerge w:val="restart"/>
                  <w:vAlign w:val="center"/>
                </w:tcPr>
                <w:p w14:paraId="3A803243">
                  <w:pPr>
                    <w:widowControl/>
                    <w:jc w:val="center"/>
                    <w:textAlignment w:val="center"/>
                    <w:rPr>
                      <w:color w:val="auto"/>
                      <w:szCs w:val="21"/>
                    </w:rPr>
                  </w:pPr>
                  <w:r>
                    <w:rPr>
                      <w:color w:val="auto"/>
                      <w:kern w:val="0"/>
                      <w:szCs w:val="21"/>
                      <w:lang w:bidi="ar"/>
                    </w:rPr>
                    <w:t>0</w:t>
                  </w:r>
                </w:p>
              </w:tc>
              <w:tc>
                <w:tcPr>
                  <w:tcW w:w="617" w:type="dxa"/>
                  <w:vMerge w:val="restart"/>
                  <w:vAlign w:val="center"/>
                </w:tcPr>
                <w:p w14:paraId="67098B8F">
                  <w:pPr>
                    <w:widowControl/>
                    <w:jc w:val="center"/>
                    <w:textAlignment w:val="center"/>
                    <w:rPr>
                      <w:color w:val="auto"/>
                      <w:szCs w:val="21"/>
                    </w:rPr>
                  </w:pPr>
                  <w:r>
                    <w:rPr>
                      <w:color w:val="auto"/>
                      <w:kern w:val="0"/>
                      <w:szCs w:val="21"/>
                      <w:lang w:bidi="ar"/>
                    </w:rPr>
                    <w:t>32</w:t>
                  </w:r>
                </w:p>
              </w:tc>
              <w:tc>
                <w:tcPr>
                  <w:tcW w:w="623" w:type="dxa"/>
                  <w:vMerge w:val="restart"/>
                  <w:vAlign w:val="center"/>
                </w:tcPr>
                <w:p w14:paraId="39155A83">
                  <w:pPr>
                    <w:widowControl/>
                    <w:jc w:val="center"/>
                    <w:textAlignment w:val="center"/>
                    <w:rPr>
                      <w:color w:val="auto"/>
                      <w:szCs w:val="21"/>
                    </w:rPr>
                  </w:pPr>
                  <w:r>
                    <w:rPr>
                      <w:color w:val="auto"/>
                      <w:kern w:val="0"/>
                      <w:szCs w:val="21"/>
                      <w:lang w:bidi="ar"/>
                    </w:rPr>
                    <w:t>1.2</w:t>
                  </w:r>
                </w:p>
              </w:tc>
              <w:tc>
                <w:tcPr>
                  <w:tcW w:w="1171" w:type="dxa"/>
                  <w:vAlign w:val="center"/>
                </w:tcPr>
                <w:p w14:paraId="50533895">
                  <w:pPr>
                    <w:snapToGrid w:val="0"/>
                    <w:jc w:val="center"/>
                    <w:rPr>
                      <w:color w:val="auto"/>
                      <w:szCs w:val="21"/>
                    </w:rPr>
                  </w:pPr>
                  <w:r>
                    <w:rPr>
                      <w:rFonts w:hint="eastAsia"/>
                      <w:color w:val="auto"/>
                      <w:szCs w:val="21"/>
                    </w:rPr>
                    <w:t>北75</w:t>
                  </w:r>
                </w:p>
              </w:tc>
              <w:tc>
                <w:tcPr>
                  <w:tcW w:w="782" w:type="dxa"/>
                  <w:vAlign w:val="center"/>
                </w:tcPr>
                <w:p w14:paraId="22ECF6F0">
                  <w:pPr>
                    <w:widowControl/>
                    <w:jc w:val="center"/>
                    <w:textAlignment w:val="center"/>
                    <w:rPr>
                      <w:color w:val="auto"/>
                      <w:szCs w:val="21"/>
                    </w:rPr>
                  </w:pPr>
                  <w:r>
                    <w:rPr>
                      <w:color w:val="auto"/>
                      <w:kern w:val="0"/>
                      <w:szCs w:val="21"/>
                      <w:lang w:bidi="ar"/>
                    </w:rPr>
                    <w:t>42.5</w:t>
                  </w:r>
                </w:p>
              </w:tc>
              <w:tc>
                <w:tcPr>
                  <w:tcW w:w="741" w:type="dxa"/>
                  <w:vMerge w:val="continue"/>
                  <w:vAlign w:val="center"/>
                </w:tcPr>
                <w:p w14:paraId="76EA2E80">
                  <w:pPr>
                    <w:snapToGrid w:val="0"/>
                    <w:jc w:val="center"/>
                    <w:rPr>
                      <w:color w:val="auto"/>
                      <w:szCs w:val="21"/>
                    </w:rPr>
                  </w:pPr>
                </w:p>
              </w:tc>
              <w:tc>
                <w:tcPr>
                  <w:tcW w:w="893" w:type="dxa"/>
                  <w:vMerge w:val="continue"/>
                  <w:vAlign w:val="center"/>
                </w:tcPr>
                <w:p w14:paraId="23295629">
                  <w:pPr>
                    <w:snapToGrid w:val="0"/>
                    <w:jc w:val="center"/>
                    <w:rPr>
                      <w:color w:val="auto"/>
                      <w:szCs w:val="21"/>
                    </w:rPr>
                  </w:pPr>
                </w:p>
              </w:tc>
              <w:tc>
                <w:tcPr>
                  <w:tcW w:w="693" w:type="dxa"/>
                  <w:vAlign w:val="center"/>
                </w:tcPr>
                <w:p w14:paraId="66BCFFC3">
                  <w:pPr>
                    <w:widowControl/>
                    <w:jc w:val="center"/>
                    <w:textAlignment w:val="center"/>
                    <w:rPr>
                      <w:color w:val="auto"/>
                      <w:kern w:val="0"/>
                      <w:szCs w:val="21"/>
                      <w:lang w:bidi="ar"/>
                    </w:rPr>
                  </w:pPr>
                  <w:r>
                    <w:rPr>
                      <w:color w:val="auto"/>
                      <w:kern w:val="0"/>
                      <w:szCs w:val="21"/>
                      <w:lang w:bidi="ar"/>
                    </w:rPr>
                    <w:t>22.5</w:t>
                  </w:r>
                </w:p>
              </w:tc>
              <w:tc>
                <w:tcPr>
                  <w:tcW w:w="1260" w:type="dxa"/>
                  <w:vMerge w:val="restart"/>
                  <w:vAlign w:val="center"/>
                </w:tcPr>
                <w:p w14:paraId="071721E7">
                  <w:pPr>
                    <w:snapToGrid w:val="0"/>
                    <w:jc w:val="center"/>
                    <w:rPr>
                      <w:color w:val="auto"/>
                      <w:szCs w:val="21"/>
                    </w:rPr>
                  </w:pPr>
                  <w:r>
                    <w:rPr>
                      <w:rFonts w:hint="eastAsia"/>
                      <w:color w:val="auto"/>
                      <w:szCs w:val="21"/>
                    </w:rPr>
                    <w:t>1</w:t>
                  </w:r>
                </w:p>
              </w:tc>
            </w:tr>
            <w:tr w14:paraId="3CEAD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84" w:type="dxa"/>
                  <w:vMerge w:val="continue"/>
                  <w:vAlign w:val="center"/>
                </w:tcPr>
                <w:p w14:paraId="00834D2D">
                  <w:pPr>
                    <w:snapToGrid w:val="0"/>
                    <w:jc w:val="center"/>
                    <w:rPr>
                      <w:color w:val="auto"/>
                    </w:rPr>
                  </w:pPr>
                </w:p>
              </w:tc>
              <w:tc>
                <w:tcPr>
                  <w:tcW w:w="786" w:type="dxa"/>
                  <w:vMerge w:val="continue"/>
                  <w:vAlign w:val="center"/>
                </w:tcPr>
                <w:p w14:paraId="779146F8">
                  <w:pPr>
                    <w:snapToGrid w:val="0"/>
                    <w:jc w:val="center"/>
                    <w:rPr>
                      <w:color w:val="auto"/>
                    </w:rPr>
                  </w:pPr>
                </w:p>
              </w:tc>
              <w:tc>
                <w:tcPr>
                  <w:tcW w:w="1383" w:type="dxa"/>
                  <w:vMerge w:val="continue"/>
                  <w:vAlign w:val="top"/>
                </w:tcPr>
                <w:p w14:paraId="18B00FA5">
                  <w:pPr>
                    <w:snapToGrid w:val="0"/>
                    <w:jc w:val="center"/>
                    <w:rPr>
                      <w:color w:val="auto"/>
                    </w:rPr>
                  </w:pPr>
                </w:p>
              </w:tc>
              <w:tc>
                <w:tcPr>
                  <w:tcW w:w="1494" w:type="dxa"/>
                  <w:vMerge w:val="continue"/>
                  <w:vAlign w:val="center"/>
                </w:tcPr>
                <w:p w14:paraId="37B0C8A2">
                  <w:pPr>
                    <w:snapToGrid w:val="0"/>
                    <w:jc w:val="center"/>
                    <w:rPr>
                      <w:color w:val="auto"/>
                    </w:rPr>
                  </w:pPr>
                </w:p>
              </w:tc>
              <w:tc>
                <w:tcPr>
                  <w:tcW w:w="1081" w:type="dxa"/>
                  <w:vMerge w:val="continue"/>
                  <w:vAlign w:val="center"/>
                </w:tcPr>
                <w:p w14:paraId="38B5C6F3">
                  <w:pPr>
                    <w:snapToGrid w:val="0"/>
                    <w:jc w:val="center"/>
                    <w:rPr>
                      <w:color w:val="auto"/>
                    </w:rPr>
                  </w:pPr>
                </w:p>
              </w:tc>
              <w:tc>
                <w:tcPr>
                  <w:tcW w:w="768" w:type="dxa"/>
                  <w:vMerge w:val="continue"/>
                  <w:vAlign w:val="center"/>
                </w:tcPr>
                <w:p w14:paraId="73B684C9">
                  <w:pPr>
                    <w:snapToGrid w:val="0"/>
                    <w:jc w:val="center"/>
                    <w:rPr>
                      <w:color w:val="auto"/>
                    </w:rPr>
                  </w:pPr>
                </w:p>
              </w:tc>
              <w:tc>
                <w:tcPr>
                  <w:tcW w:w="617" w:type="dxa"/>
                  <w:vMerge w:val="continue"/>
                  <w:vAlign w:val="center"/>
                </w:tcPr>
                <w:p w14:paraId="50210B4D">
                  <w:pPr>
                    <w:snapToGrid w:val="0"/>
                    <w:jc w:val="center"/>
                    <w:rPr>
                      <w:color w:val="auto"/>
                    </w:rPr>
                  </w:pPr>
                </w:p>
              </w:tc>
              <w:tc>
                <w:tcPr>
                  <w:tcW w:w="617" w:type="dxa"/>
                  <w:vMerge w:val="continue"/>
                  <w:vAlign w:val="center"/>
                </w:tcPr>
                <w:p w14:paraId="73FF7C1C">
                  <w:pPr>
                    <w:snapToGrid w:val="0"/>
                    <w:jc w:val="center"/>
                    <w:rPr>
                      <w:color w:val="auto"/>
                    </w:rPr>
                  </w:pPr>
                </w:p>
              </w:tc>
              <w:tc>
                <w:tcPr>
                  <w:tcW w:w="623" w:type="dxa"/>
                  <w:vMerge w:val="continue"/>
                  <w:vAlign w:val="center"/>
                </w:tcPr>
                <w:p w14:paraId="75D86022">
                  <w:pPr>
                    <w:snapToGrid w:val="0"/>
                    <w:jc w:val="center"/>
                    <w:rPr>
                      <w:color w:val="auto"/>
                    </w:rPr>
                  </w:pPr>
                </w:p>
              </w:tc>
              <w:tc>
                <w:tcPr>
                  <w:tcW w:w="1171" w:type="dxa"/>
                  <w:vAlign w:val="center"/>
                </w:tcPr>
                <w:p w14:paraId="7BFDBAD5">
                  <w:pPr>
                    <w:snapToGrid w:val="0"/>
                    <w:jc w:val="center"/>
                    <w:rPr>
                      <w:color w:val="auto"/>
                      <w:szCs w:val="21"/>
                    </w:rPr>
                  </w:pPr>
                  <w:r>
                    <w:rPr>
                      <w:rFonts w:hint="eastAsia"/>
                      <w:color w:val="auto"/>
                      <w:szCs w:val="21"/>
                    </w:rPr>
                    <w:t>南25</w:t>
                  </w:r>
                </w:p>
              </w:tc>
              <w:tc>
                <w:tcPr>
                  <w:tcW w:w="782" w:type="dxa"/>
                  <w:vAlign w:val="center"/>
                </w:tcPr>
                <w:p w14:paraId="5BD1350F">
                  <w:pPr>
                    <w:widowControl/>
                    <w:jc w:val="center"/>
                    <w:textAlignment w:val="center"/>
                    <w:rPr>
                      <w:color w:val="auto"/>
                      <w:szCs w:val="21"/>
                    </w:rPr>
                  </w:pPr>
                  <w:r>
                    <w:rPr>
                      <w:color w:val="auto"/>
                      <w:kern w:val="0"/>
                      <w:szCs w:val="21"/>
                      <w:lang w:bidi="ar"/>
                    </w:rPr>
                    <w:t>52.0</w:t>
                  </w:r>
                </w:p>
              </w:tc>
              <w:tc>
                <w:tcPr>
                  <w:tcW w:w="741" w:type="dxa"/>
                  <w:vMerge w:val="continue"/>
                  <w:vAlign w:val="center"/>
                </w:tcPr>
                <w:p w14:paraId="25CB858C">
                  <w:pPr>
                    <w:snapToGrid w:val="0"/>
                    <w:jc w:val="center"/>
                    <w:rPr>
                      <w:rFonts w:hint="eastAsia"/>
                      <w:color w:val="auto"/>
                      <w:szCs w:val="21"/>
                    </w:rPr>
                  </w:pPr>
                </w:p>
              </w:tc>
              <w:tc>
                <w:tcPr>
                  <w:tcW w:w="893" w:type="dxa"/>
                  <w:vMerge w:val="continue"/>
                  <w:vAlign w:val="center"/>
                </w:tcPr>
                <w:p w14:paraId="5CC9D2BF">
                  <w:pPr>
                    <w:snapToGrid w:val="0"/>
                    <w:jc w:val="center"/>
                    <w:rPr>
                      <w:rFonts w:hint="eastAsia"/>
                      <w:color w:val="auto"/>
                      <w:szCs w:val="21"/>
                    </w:rPr>
                  </w:pPr>
                </w:p>
              </w:tc>
              <w:tc>
                <w:tcPr>
                  <w:tcW w:w="693" w:type="dxa"/>
                  <w:vAlign w:val="center"/>
                </w:tcPr>
                <w:p w14:paraId="232431EA">
                  <w:pPr>
                    <w:widowControl/>
                    <w:jc w:val="center"/>
                    <w:textAlignment w:val="center"/>
                    <w:rPr>
                      <w:color w:val="auto"/>
                      <w:szCs w:val="21"/>
                    </w:rPr>
                  </w:pPr>
                  <w:r>
                    <w:rPr>
                      <w:color w:val="auto"/>
                      <w:kern w:val="0"/>
                      <w:szCs w:val="21"/>
                      <w:lang w:bidi="ar"/>
                    </w:rPr>
                    <w:t>32.0</w:t>
                  </w:r>
                </w:p>
              </w:tc>
              <w:tc>
                <w:tcPr>
                  <w:tcW w:w="1260" w:type="dxa"/>
                  <w:vMerge w:val="continue"/>
                  <w:vAlign w:val="center"/>
                </w:tcPr>
                <w:p w14:paraId="41205431">
                  <w:pPr>
                    <w:snapToGrid w:val="0"/>
                    <w:jc w:val="center"/>
                    <w:rPr>
                      <w:rFonts w:hint="eastAsia"/>
                      <w:color w:val="auto"/>
                      <w:szCs w:val="21"/>
                    </w:rPr>
                  </w:pPr>
                </w:p>
              </w:tc>
            </w:tr>
            <w:tr w14:paraId="1E56E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84" w:type="dxa"/>
                  <w:vMerge w:val="continue"/>
                  <w:vAlign w:val="center"/>
                </w:tcPr>
                <w:p w14:paraId="26FE9C61">
                  <w:pPr>
                    <w:snapToGrid w:val="0"/>
                    <w:jc w:val="center"/>
                    <w:rPr>
                      <w:rFonts w:hint="eastAsia"/>
                      <w:color w:val="auto"/>
                      <w:szCs w:val="21"/>
                    </w:rPr>
                  </w:pPr>
                </w:p>
              </w:tc>
              <w:tc>
                <w:tcPr>
                  <w:tcW w:w="786" w:type="dxa"/>
                  <w:vMerge w:val="continue"/>
                  <w:vAlign w:val="center"/>
                </w:tcPr>
                <w:p w14:paraId="22AC5B53">
                  <w:pPr>
                    <w:snapToGrid w:val="0"/>
                    <w:jc w:val="center"/>
                    <w:rPr>
                      <w:rFonts w:hint="eastAsia"/>
                      <w:color w:val="auto"/>
                      <w:szCs w:val="21"/>
                    </w:rPr>
                  </w:pPr>
                </w:p>
              </w:tc>
              <w:tc>
                <w:tcPr>
                  <w:tcW w:w="1383" w:type="dxa"/>
                  <w:vMerge w:val="continue"/>
                  <w:vAlign w:val="top"/>
                </w:tcPr>
                <w:p w14:paraId="38BB0F41">
                  <w:pPr>
                    <w:snapToGrid w:val="0"/>
                    <w:jc w:val="center"/>
                    <w:rPr>
                      <w:rFonts w:hint="eastAsia"/>
                      <w:color w:val="auto"/>
                      <w:szCs w:val="21"/>
                    </w:rPr>
                  </w:pPr>
                </w:p>
              </w:tc>
              <w:tc>
                <w:tcPr>
                  <w:tcW w:w="1494" w:type="dxa"/>
                  <w:vMerge w:val="continue"/>
                  <w:vAlign w:val="center"/>
                </w:tcPr>
                <w:p w14:paraId="65DCF71C">
                  <w:pPr>
                    <w:snapToGrid w:val="0"/>
                    <w:jc w:val="center"/>
                    <w:rPr>
                      <w:rFonts w:hint="eastAsia"/>
                      <w:color w:val="auto"/>
                      <w:szCs w:val="21"/>
                    </w:rPr>
                  </w:pPr>
                </w:p>
              </w:tc>
              <w:tc>
                <w:tcPr>
                  <w:tcW w:w="1081" w:type="dxa"/>
                  <w:vMerge w:val="continue"/>
                  <w:vAlign w:val="center"/>
                </w:tcPr>
                <w:p w14:paraId="4E0914C6">
                  <w:pPr>
                    <w:snapToGrid w:val="0"/>
                    <w:jc w:val="center"/>
                    <w:rPr>
                      <w:rFonts w:hint="eastAsia"/>
                      <w:color w:val="auto"/>
                      <w:szCs w:val="21"/>
                    </w:rPr>
                  </w:pPr>
                </w:p>
              </w:tc>
              <w:tc>
                <w:tcPr>
                  <w:tcW w:w="768" w:type="dxa"/>
                  <w:vMerge w:val="continue"/>
                  <w:vAlign w:val="center"/>
                </w:tcPr>
                <w:p w14:paraId="197AAF2F">
                  <w:pPr>
                    <w:snapToGrid w:val="0"/>
                    <w:jc w:val="center"/>
                    <w:rPr>
                      <w:rFonts w:hint="eastAsia"/>
                      <w:color w:val="auto"/>
                      <w:szCs w:val="21"/>
                    </w:rPr>
                  </w:pPr>
                </w:p>
              </w:tc>
              <w:tc>
                <w:tcPr>
                  <w:tcW w:w="617" w:type="dxa"/>
                  <w:vMerge w:val="continue"/>
                  <w:vAlign w:val="center"/>
                </w:tcPr>
                <w:p w14:paraId="0E43DFE3">
                  <w:pPr>
                    <w:snapToGrid w:val="0"/>
                    <w:jc w:val="center"/>
                    <w:rPr>
                      <w:rFonts w:hint="eastAsia"/>
                      <w:color w:val="auto"/>
                      <w:szCs w:val="21"/>
                    </w:rPr>
                  </w:pPr>
                </w:p>
              </w:tc>
              <w:tc>
                <w:tcPr>
                  <w:tcW w:w="617" w:type="dxa"/>
                  <w:vMerge w:val="continue"/>
                  <w:vAlign w:val="center"/>
                </w:tcPr>
                <w:p w14:paraId="57C18E13">
                  <w:pPr>
                    <w:snapToGrid w:val="0"/>
                    <w:jc w:val="center"/>
                    <w:rPr>
                      <w:rFonts w:hint="eastAsia"/>
                      <w:color w:val="auto"/>
                      <w:szCs w:val="21"/>
                    </w:rPr>
                  </w:pPr>
                </w:p>
              </w:tc>
              <w:tc>
                <w:tcPr>
                  <w:tcW w:w="623" w:type="dxa"/>
                  <w:vMerge w:val="continue"/>
                  <w:vAlign w:val="center"/>
                </w:tcPr>
                <w:p w14:paraId="2026E244">
                  <w:pPr>
                    <w:snapToGrid w:val="0"/>
                    <w:jc w:val="center"/>
                    <w:rPr>
                      <w:rFonts w:hint="eastAsia"/>
                      <w:color w:val="auto"/>
                      <w:szCs w:val="21"/>
                    </w:rPr>
                  </w:pPr>
                </w:p>
              </w:tc>
              <w:tc>
                <w:tcPr>
                  <w:tcW w:w="1171" w:type="dxa"/>
                  <w:vAlign w:val="center"/>
                </w:tcPr>
                <w:p w14:paraId="25DA0A99">
                  <w:pPr>
                    <w:snapToGrid w:val="0"/>
                    <w:jc w:val="center"/>
                    <w:rPr>
                      <w:color w:val="auto"/>
                      <w:szCs w:val="21"/>
                    </w:rPr>
                  </w:pPr>
                  <w:r>
                    <w:rPr>
                      <w:rFonts w:hint="eastAsia"/>
                      <w:color w:val="auto"/>
                      <w:szCs w:val="21"/>
                    </w:rPr>
                    <w:t>东34</w:t>
                  </w:r>
                </w:p>
              </w:tc>
              <w:tc>
                <w:tcPr>
                  <w:tcW w:w="782" w:type="dxa"/>
                  <w:vAlign w:val="center"/>
                </w:tcPr>
                <w:p w14:paraId="43A38608">
                  <w:pPr>
                    <w:widowControl/>
                    <w:jc w:val="center"/>
                    <w:textAlignment w:val="center"/>
                    <w:rPr>
                      <w:color w:val="auto"/>
                      <w:szCs w:val="21"/>
                    </w:rPr>
                  </w:pPr>
                  <w:r>
                    <w:rPr>
                      <w:color w:val="auto"/>
                      <w:kern w:val="0"/>
                      <w:szCs w:val="21"/>
                      <w:lang w:bidi="ar"/>
                    </w:rPr>
                    <w:t>49.4</w:t>
                  </w:r>
                </w:p>
              </w:tc>
              <w:tc>
                <w:tcPr>
                  <w:tcW w:w="741" w:type="dxa"/>
                  <w:vMerge w:val="continue"/>
                  <w:vAlign w:val="center"/>
                </w:tcPr>
                <w:p w14:paraId="34500E6B">
                  <w:pPr>
                    <w:snapToGrid w:val="0"/>
                    <w:jc w:val="center"/>
                    <w:rPr>
                      <w:rFonts w:hint="eastAsia"/>
                      <w:color w:val="auto"/>
                      <w:szCs w:val="21"/>
                    </w:rPr>
                  </w:pPr>
                </w:p>
              </w:tc>
              <w:tc>
                <w:tcPr>
                  <w:tcW w:w="893" w:type="dxa"/>
                  <w:vMerge w:val="continue"/>
                  <w:vAlign w:val="center"/>
                </w:tcPr>
                <w:p w14:paraId="6B8CE3AE">
                  <w:pPr>
                    <w:snapToGrid w:val="0"/>
                    <w:jc w:val="center"/>
                    <w:rPr>
                      <w:rFonts w:hint="eastAsia"/>
                      <w:color w:val="auto"/>
                      <w:szCs w:val="21"/>
                    </w:rPr>
                  </w:pPr>
                </w:p>
              </w:tc>
              <w:tc>
                <w:tcPr>
                  <w:tcW w:w="693" w:type="dxa"/>
                  <w:vAlign w:val="center"/>
                </w:tcPr>
                <w:p w14:paraId="79628558">
                  <w:pPr>
                    <w:widowControl/>
                    <w:jc w:val="center"/>
                    <w:textAlignment w:val="center"/>
                    <w:rPr>
                      <w:color w:val="auto"/>
                      <w:szCs w:val="21"/>
                    </w:rPr>
                  </w:pPr>
                  <w:r>
                    <w:rPr>
                      <w:color w:val="auto"/>
                      <w:kern w:val="0"/>
                      <w:szCs w:val="21"/>
                      <w:lang w:bidi="ar"/>
                    </w:rPr>
                    <w:t>29.4</w:t>
                  </w:r>
                </w:p>
              </w:tc>
              <w:tc>
                <w:tcPr>
                  <w:tcW w:w="1260" w:type="dxa"/>
                  <w:vMerge w:val="continue"/>
                  <w:vAlign w:val="center"/>
                </w:tcPr>
                <w:p w14:paraId="550B6433">
                  <w:pPr>
                    <w:snapToGrid w:val="0"/>
                    <w:jc w:val="center"/>
                    <w:rPr>
                      <w:rFonts w:hint="eastAsia"/>
                      <w:color w:val="auto"/>
                      <w:szCs w:val="21"/>
                    </w:rPr>
                  </w:pPr>
                </w:p>
              </w:tc>
            </w:tr>
            <w:tr w14:paraId="5DAAD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84" w:type="dxa"/>
                  <w:vMerge w:val="continue"/>
                  <w:vAlign w:val="center"/>
                </w:tcPr>
                <w:p w14:paraId="3321A068">
                  <w:pPr>
                    <w:snapToGrid w:val="0"/>
                    <w:jc w:val="center"/>
                    <w:rPr>
                      <w:rFonts w:hint="eastAsia"/>
                      <w:color w:val="auto"/>
                      <w:szCs w:val="21"/>
                    </w:rPr>
                  </w:pPr>
                </w:p>
              </w:tc>
              <w:tc>
                <w:tcPr>
                  <w:tcW w:w="786" w:type="dxa"/>
                  <w:vMerge w:val="continue"/>
                  <w:vAlign w:val="center"/>
                </w:tcPr>
                <w:p w14:paraId="40621BCA">
                  <w:pPr>
                    <w:snapToGrid w:val="0"/>
                    <w:jc w:val="center"/>
                    <w:rPr>
                      <w:rFonts w:hint="eastAsia"/>
                      <w:color w:val="auto"/>
                      <w:szCs w:val="21"/>
                    </w:rPr>
                  </w:pPr>
                </w:p>
              </w:tc>
              <w:tc>
                <w:tcPr>
                  <w:tcW w:w="1383" w:type="dxa"/>
                  <w:vMerge w:val="continue"/>
                  <w:vAlign w:val="top"/>
                </w:tcPr>
                <w:p w14:paraId="181214F1">
                  <w:pPr>
                    <w:snapToGrid w:val="0"/>
                    <w:jc w:val="center"/>
                    <w:rPr>
                      <w:rFonts w:hint="eastAsia"/>
                      <w:color w:val="auto"/>
                      <w:szCs w:val="21"/>
                    </w:rPr>
                  </w:pPr>
                </w:p>
              </w:tc>
              <w:tc>
                <w:tcPr>
                  <w:tcW w:w="1494" w:type="dxa"/>
                  <w:vMerge w:val="continue"/>
                  <w:vAlign w:val="center"/>
                </w:tcPr>
                <w:p w14:paraId="53D958B4">
                  <w:pPr>
                    <w:snapToGrid w:val="0"/>
                    <w:jc w:val="center"/>
                    <w:rPr>
                      <w:rFonts w:hint="eastAsia"/>
                      <w:color w:val="auto"/>
                      <w:szCs w:val="21"/>
                    </w:rPr>
                  </w:pPr>
                </w:p>
              </w:tc>
              <w:tc>
                <w:tcPr>
                  <w:tcW w:w="1081" w:type="dxa"/>
                  <w:vMerge w:val="continue"/>
                  <w:vAlign w:val="center"/>
                </w:tcPr>
                <w:p w14:paraId="25C56625">
                  <w:pPr>
                    <w:snapToGrid w:val="0"/>
                    <w:jc w:val="center"/>
                    <w:rPr>
                      <w:rFonts w:hint="eastAsia"/>
                      <w:color w:val="auto"/>
                      <w:szCs w:val="21"/>
                    </w:rPr>
                  </w:pPr>
                </w:p>
              </w:tc>
              <w:tc>
                <w:tcPr>
                  <w:tcW w:w="768" w:type="dxa"/>
                  <w:vMerge w:val="continue"/>
                  <w:vAlign w:val="center"/>
                </w:tcPr>
                <w:p w14:paraId="37244A8F">
                  <w:pPr>
                    <w:snapToGrid w:val="0"/>
                    <w:jc w:val="center"/>
                    <w:rPr>
                      <w:rFonts w:hint="eastAsia"/>
                      <w:color w:val="auto"/>
                      <w:szCs w:val="21"/>
                    </w:rPr>
                  </w:pPr>
                </w:p>
              </w:tc>
              <w:tc>
                <w:tcPr>
                  <w:tcW w:w="617" w:type="dxa"/>
                  <w:vMerge w:val="continue"/>
                  <w:vAlign w:val="center"/>
                </w:tcPr>
                <w:p w14:paraId="464AB7DE">
                  <w:pPr>
                    <w:snapToGrid w:val="0"/>
                    <w:jc w:val="center"/>
                    <w:rPr>
                      <w:rFonts w:hint="eastAsia"/>
                      <w:color w:val="auto"/>
                      <w:szCs w:val="21"/>
                    </w:rPr>
                  </w:pPr>
                </w:p>
              </w:tc>
              <w:tc>
                <w:tcPr>
                  <w:tcW w:w="617" w:type="dxa"/>
                  <w:vMerge w:val="continue"/>
                  <w:vAlign w:val="center"/>
                </w:tcPr>
                <w:p w14:paraId="14F2D8B0">
                  <w:pPr>
                    <w:snapToGrid w:val="0"/>
                    <w:jc w:val="center"/>
                    <w:rPr>
                      <w:rFonts w:hint="eastAsia"/>
                      <w:color w:val="auto"/>
                      <w:szCs w:val="21"/>
                    </w:rPr>
                  </w:pPr>
                </w:p>
              </w:tc>
              <w:tc>
                <w:tcPr>
                  <w:tcW w:w="623" w:type="dxa"/>
                  <w:vMerge w:val="continue"/>
                  <w:vAlign w:val="center"/>
                </w:tcPr>
                <w:p w14:paraId="59D110FA">
                  <w:pPr>
                    <w:snapToGrid w:val="0"/>
                    <w:jc w:val="center"/>
                    <w:rPr>
                      <w:rFonts w:hint="eastAsia"/>
                      <w:color w:val="auto"/>
                      <w:szCs w:val="21"/>
                    </w:rPr>
                  </w:pPr>
                </w:p>
              </w:tc>
              <w:tc>
                <w:tcPr>
                  <w:tcW w:w="1171" w:type="dxa"/>
                  <w:vAlign w:val="center"/>
                </w:tcPr>
                <w:p w14:paraId="73C371D6">
                  <w:pPr>
                    <w:snapToGrid w:val="0"/>
                    <w:jc w:val="center"/>
                    <w:rPr>
                      <w:color w:val="auto"/>
                      <w:szCs w:val="21"/>
                    </w:rPr>
                  </w:pPr>
                  <w:r>
                    <w:rPr>
                      <w:rFonts w:hint="eastAsia"/>
                      <w:color w:val="auto"/>
                      <w:szCs w:val="21"/>
                    </w:rPr>
                    <w:t>西26</w:t>
                  </w:r>
                </w:p>
              </w:tc>
              <w:tc>
                <w:tcPr>
                  <w:tcW w:w="782" w:type="dxa"/>
                  <w:vAlign w:val="center"/>
                </w:tcPr>
                <w:p w14:paraId="4C3C916A">
                  <w:pPr>
                    <w:widowControl/>
                    <w:jc w:val="center"/>
                    <w:textAlignment w:val="center"/>
                    <w:rPr>
                      <w:color w:val="auto"/>
                      <w:szCs w:val="21"/>
                    </w:rPr>
                  </w:pPr>
                  <w:r>
                    <w:rPr>
                      <w:color w:val="auto"/>
                      <w:kern w:val="0"/>
                      <w:szCs w:val="21"/>
                      <w:lang w:bidi="ar"/>
                    </w:rPr>
                    <w:t>51.7</w:t>
                  </w:r>
                </w:p>
              </w:tc>
              <w:tc>
                <w:tcPr>
                  <w:tcW w:w="741" w:type="dxa"/>
                  <w:vMerge w:val="continue"/>
                  <w:vAlign w:val="center"/>
                </w:tcPr>
                <w:p w14:paraId="12FDB78A">
                  <w:pPr>
                    <w:snapToGrid w:val="0"/>
                    <w:jc w:val="center"/>
                    <w:rPr>
                      <w:rFonts w:hint="eastAsia"/>
                      <w:color w:val="auto"/>
                      <w:szCs w:val="21"/>
                    </w:rPr>
                  </w:pPr>
                </w:p>
              </w:tc>
              <w:tc>
                <w:tcPr>
                  <w:tcW w:w="893" w:type="dxa"/>
                  <w:vMerge w:val="continue"/>
                  <w:vAlign w:val="center"/>
                </w:tcPr>
                <w:p w14:paraId="318D0157">
                  <w:pPr>
                    <w:snapToGrid w:val="0"/>
                    <w:jc w:val="center"/>
                    <w:rPr>
                      <w:rFonts w:hint="eastAsia"/>
                      <w:color w:val="auto"/>
                      <w:szCs w:val="21"/>
                    </w:rPr>
                  </w:pPr>
                </w:p>
              </w:tc>
              <w:tc>
                <w:tcPr>
                  <w:tcW w:w="693" w:type="dxa"/>
                  <w:vAlign w:val="center"/>
                </w:tcPr>
                <w:p w14:paraId="0C893BFE">
                  <w:pPr>
                    <w:widowControl/>
                    <w:jc w:val="center"/>
                    <w:textAlignment w:val="center"/>
                    <w:rPr>
                      <w:color w:val="auto"/>
                      <w:szCs w:val="21"/>
                    </w:rPr>
                  </w:pPr>
                  <w:r>
                    <w:rPr>
                      <w:color w:val="auto"/>
                      <w:kern w:val="0"/>
                      <w:szCs w:val="21"/>
                      <w:lang w:bidi="ar"/>
                    </w:rPr>
                    <w:t>31.7</w:t>
                  </w:r>
                </w:p>
              </w:tc>
              <w:tc>
                <w:tcPr>
                  <w:tcW w:w="1260" w:type="dxa"/>
                  <w:vMerge w:val="continue"/>
                  <w:vAlign w:val="center"/>
                </w:tcPr>
                <w:p w14:paraId="43C1F6BA">
                  <w:pPr>
                    <w:snapToGrid w:val="0"/>
                    <w:jc w:val="center"/>
                    <w:rPr>
                      <w:rFonts w:hint="eastAsia"/>
                      <w:color w:val="auto"/>
                      <w:szCs w:val="21"/>
                    </w:rPr>
                  </w:pPr>
                </w:p>
              </w:tc>
            </w:tr>
          </w:tbl>
          <w:p w14:paraId="1EF2630B">
            <w:pPr>
              <w:snapToGrid w:val="0"/>
              <w:spacing w:line="360" w:lineRule="auto"/>
              <w:rPr>
                <w:rFonts w:hint="eastAsia"/>
                <w:color w:val="auto"/>
              </w:rPr>
            </w:pPr>
            <w:r>
              <w:rPr>
                <w:rFonts w:hint="eastAsia"/>
                <w:color w:val="auto"/>
              </w:rPr>
              <w:t>注：表中坐标以厂界中心（115.12163554，35.85870520）为坐标原点，正东向为X轴正方向，正北向为Y轴正方向。</w:t>
            </w:r>
          </w:p>
          <w:p w14:paraId="68FAB521">
            <w:pPr>
              <w:pStyle w:val="46"/>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eastAsia" w:ascii="Times New Roman" w:hAnsi="Arial Unicode MS" w:eastAsia="宋体" w:cs="Times New Roman"/>
                <w:b/>
                <w:color w:val="auto"/>
                <w:kern w:val="2"/>
                <w:sz w:val="24"/>
                <w:szCs w:val="24"/>
                <w:lang w:val="en-US" w:eastAsia="zh-CN" w:bidi="ar-SA"/>
              </w:rPr>
            </w:pPr>
            <w:r>
              <w:rPr>
                <w:rFonts w:hint="eastAsia" w:ascii="Times New Roman" w:hAnsi="Arial Unicode MS" w:eastAsia="宋体" w:cs="Times New Roman"/>
                <w:b/>
                <w:color w:val="auto"/>
                <w:kern w:val="2"/>
                <w:sz w:val="24"/>
                <w:szCs w:val="24"/>
                <w:lang w:val="en-US" w:eastAsia="zh-CN" w:bidi="ar-SA"/>
              </w:rPr>
              <w:t>本项目噪声源强调查表（室外）</w:t>
            </w:r>
          </w:p>
          <w:tbl>
            <w:tblPr>
              <w:tblStyle w:val="25"/>
              <w:tblW w:w="134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1120"/>
              <w:gridCol w:w="796"/>
              <w:gridCol w:w="745"/>
              <w:gridCol w:w="610"/>
              <w:gridCol w:w="618"/>
              <w:gridCol w:w="3792"/>
              <w:gridCol w:w="1968"/>
              <w:gridCol w:w="1900"/>
              <w:gridCol w:w="1221"/>
            </w:tblGrid>
            <w:tr w14:paraId="710BC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21" w:type="dxa"/>
                  <w:vMerge w:val="restart"/>
                  <w:vAlign w:val="center"/>
                </w:tcPr>
                <w:p w14:paraId="5C665BDD">
                  <w:pPr>
                    <w:jc w:val="center"/>
                    <w:rPr>
                      <w:bCs/>
                      <w:color w:val="auto"/>
                      <w:szCs w:val="21"/>
                    </w:rPr>
                  </w:pPr>
                  <w:r>
                    <w:rPr>
                      <w:bCs/>
                      <w:color w:val="auto"/>
                      <w:szCs w:val="21"/>
                    </w:rPr>
                    <w:t>序号</w:t>
                  </w:r>
                </w:p>
              </w:tc>
              <w:tc>
                <w:tcPr>
                  <w:tcW w:w="1120" w:type="dxa"/>
                  <w:vMerge w:val="restart"/>
                  <w:vAlign w:val="center"/>
                </w:tcPr>
                <w:p w14:paraId="7CD8F7B8">
                  <w:pPr>
                    <w:jc w:val="center"/>
                    <w:rPr>
                      <w:bCs/>
                      <w:color w:val="auto"/>
                      <w:szCs w:val="21"/>
                    </w:rPr>
                  </w:pPr>
                  <w:r>
                    <w:rPr>
                      <w:bCs/>
                      <w:color w:val="auto"/>
                      <w:szCs w:val="21"/>
                    </w:rPr>
                    <w:t>声源名称</w:t>
                  </w:r>
                </w:p>
              </w:tc>
              <w:tc>
                <w:tcPr>
                  <w:tcW w:w="796" w:type="dxa"/>
                  <w:vMerge w:val="restart"/>
                  <w:vAlign w:val="center"/>
                </w:tcPr>
                <w:p w14:paraId="575ABFA6">
                  <w:pPr>
                    <w:jc w:val="center"/>
                    <w:rPr>
                      <w:bCs/>
                      <w:color w:val="auto"/>
                      <w:szCs w:val="21"/>
                    </w:rPr>
                  </w:pPr>
                  <w:r>
                    <w:rPr>
                      <w:bCs/>
                      <w:color w:val="auto"/>
                      <w:szCs w:val="21"/>
                    </w:rPr>
                    <w:t>型号</w:t>
                  </w:r>
                </w:p>
              </w:tc>
              <w:tc>
                <w:tcPr>
                  <w:tcW w:w="1973" w:type="dxa"/>
                  <w:gridSpan w:val="3"/>
                  <w:vAlign w:val="center"/>
                </w:tcPr>
                <w:p w14:paraId="5385D24D">
                  <w:pPr>
                    <w:jc w:val="center"/>
                    <w:rPr>
                      <w:bCs/>
                      <w:color w:val="auto"/>
                      <w:szCs w:val="21"/>
                    </w:rPr>
                  </w:pPr>
                  <w:r>
                    <w:rPr>
                      <w:bCs/>
                      <w:color w:val="auto"/>
                      <w:szCs w:val="21"/>
                    </w:rPr>
                    <w:t>空间相对位置/m</w:t>
                  </w:r>
                </w:p>
              </w:tc>
              <w:tc>
                <w:tcPr>
                  <w:tcW w:w="5760" w:type="dxa"/>
                  <w:gridSpan w:val="2"/>
                  <w:vAlign w:val="center"/>
                </w:tcPr>
                <w:p w14:paraId="79964503">
                  <w:pPr>
                    <w:jc w:val="center"/>
                    <w:rPr>
                      <w:bCs/>
                      <w:color w:val="auto"/>
                      <w:szCs w:val="21"/>
                    </w:rPr>
                  </w:pPr>
                  <w:r>
                    <w:rPr>
                      <w:bCs/>
                      <w:color w:val="auto"/>
                      <w:szCs w:val="21"/>
                    </w:rPr>
                    <w:t>声源源强（任选一种）</w:t>
                  </w:r>
                </w:p>
              </w:tc>
              <w:tc>
                <w:tcPr>
                  <w:tcW w:w="1900" w:type="dxa"/>
                  <w:vMerge w:val="restart"/>
                  <w:vAlign w:val="center"/>
                </w:tcPr>
                <w:p w14:paraId="20542799">
                  <w:pPr>
                    <w:jc w:val="center"/>
                    <w:rPr>
                      <w:bCs/>
                      <w:color w:val="auto"/>
                      <w:szCs w:val="21"/>
                    </w:rPr>
                  </w:pPr>
                  <w:r>
                    <w:rPr>
                      <w:bCs/>
                      <w:color w:val="auto"/>
                      <w:szCs w:val="21"/>
                    </w:rPr>
                    <w:t>声源控制措施</w:t>
                  </w:r>
                </w:p>
              </w:tc>
              <w:tc>
                <w:tcPr>
                  <w:tcW w:w="1221" w:type="dxa"/>
                  <w:vMerge w:val="restart"/>
                  <w:vAlign w:val="center"/>
                </w:tcPr>
                <w:p w14:paraId="47D77993">
                  <w:pPr>
                    <w:jc w:val="center"/>
                    <w:rPr>
                      <w:bCs/>
                      <w:color w:val="auto"/>
                      <w:szCs w:val="21"/>
                    </w:rPr>
                  </w:pPr>
                  <w:r>
                    <w:rPr>
                      <w:bCs/>
                      <w:color w:val="auto"/>
                      <w:szCs w:val="21"/>
                    </w:rPr>
                    <w:t>运行时段</w:t>
                  </w:r>
                </w:p>
              </w:tc>
            </w:tr>
            <w:tr w14:paraId="790B3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21" w:type="dxa"/>
                  <w:vMerge w:val="continue"/>
                  <w:vAlign w:val="center"/>
                </w:tcPr>
                <w:p w14:paraId="49B09A06">
                  <w:pPr>
                    <w:jc w:val="center"/>
                    <w:rPr>
                      <w:bCs/>
                      <w:color w:val="auto"/>
                      <w:szCs w:val="21"/>
                    </w:rPr>
                  </w:pPr>
                </w:p>
              </w:tc>
              <w:tc>
                <w:tcPr>
                  <w:tcW w:w="1120" w:type="dxa"/>
                  <w:vMerge w:val="continue"/>
                  <w:vAlign w:val="center"/>
                </w:tcPr>
                <w:p w14:paraId="287C5F25">
                  <w:pPr>
                    <w:jc w:val="center"/>
                    <w:rPr>
                      <w:bCs/>
                      <w:color w:val="auto"/>
                      <w:szCs w:val="21"/>
                    </w:rPr>
                  </w:pPr>
                </w:p>
              </w:tc>
              <w:tc>
                <w:tcPr>
                  <w:tcW w:w="796" w:type="dxa"/>
                  <w:vMerge w:val="continue"/>
                  <w:vAlign w:val="center"/>
                </w:tcPr>
                <w:p w14:paraId="4A3E24F0">
                  <w:pPr>
                    <w:jc w:val="center"/>
                    <w:rPr>
                      <w:bCs/>
                      <w:color w:val="auto"/>
                      <w:szCs w:val="21"/>
                    </w:rPr>
                  </w:pPr>
                </w:p>
              </w:tc>
              <w:tc>
                <w:tcPr>
                  <w:tcW w:w="745" w:type="dxa"/>
                  <w:vAlign w:val="center"/>
                </w:tcPr>
                <w:p w14:paraId="7CE36489">
                  <w:pPr>
                    <w:jc w:val="center"/>
                    <w:rPr>
                      <w:bCs/>
                      <w:color w:val="auto"/>
                      <w:szCs w:val="21"/>
                    </w:rPr>
                  </w:pPr>
                  <w:r>
                    <w:rPr>
                      <w:bCs/>
                      <w:color w:val="auto"/>
                      <w:szCs w:val="21"/>
                    </w:rPr>
                    <w:t>X</w:t>
                  </w:r>
                </w:p>
              </w:tc>
              <w:tc>
                <w:tcPr>
                  <w:tcW w:w="610" w:type="dxa"/>
                  <w:vAlign w:val="center"/>
                </w:tcPr>
                <w:p w14:paraId="5C0D4BE0">
                  <w:pPr>
                    <w:jc w:val="center"/>
                    <w:rPr>
                      <w:bCs/>
                      <w:color w:val="auto"/>
                      <w:szCs w:val="21"/>
                    </w:rPr>
                  </w:pPr>
                  <w:r>
                    <w:rPr>
                      <w:bCs/>
                      <w:color w:val="auto"/>
                      <w:szCs w:val="21"/>
                    </w:rPr>
                    <w:t>Y</w:t>
                  </w:r>
                </w:p>
              </w:tc>
              <w:tc>
                <w:tcPr>
                  <w:tcW w:w="618" w:type="dxa"/>
                  <w:vAlign w:val="center"/>
                </w:tcPr>
                <w:p w14:paraId="4583CD71">
                  <w:pPr>
                    <w:jc w:val="center"/>
                    <w:rPr>
                      <w:bCs/>
                      <w:color w:val="auto"/>
                      <w:szCs w:val="21"/>
                    </w:rPr>
                  </w:pPr>
                  <w:r>
                    <w:rPr>
                      <w:bCs/>
                      <w:color w:val="auto"/>
                      <w:szCs w:val="21"/>
                    </w:rPr>
                    <w:t>Z</w:t>
                  </w:r>
                </w:p>
              </w:tc>
              <w:tc>
                <w:tcPr>
                  <w:tcW w:w="3792" w:type="dxa"/>
                  <w:vAlign w:val="center"/>
                </w:tcPr>
                <w:p w14:paraId="3722E436">
                  <w:pPr>
                    <w:jc w:val="center"/>
                    <w:rPr>
                      <w:bCs/>
                      <w:color w:val="auto"/>
                      <w:szCs w:val="21"/>
                    </w:rPr>
                  </w:pPr>
                  <w:r>
                    <w:rPr>
                      <w:bCs/>
                      <w:color w:val="auto"/>
                      <w:szCs w:val="21"/>
                    </w:rPr>
                    <w:t>（声压级/距声源距离）/（dB(A)/m）</w:t>
                  </w:r>
                </w:p>
              </w:tc>
              <w:tc>
                <w:tcPr>
                  <w:tcW w:w="1968" w:type="dxa"/>
                  <w:vAlign w:val="center"/>
                </w:tcPr>
                <w:p w14:paraId="7D415CB8">
                  <w:pPr>
                    <w:jc w:val="center"/>
                    <w:rPr>
                      <w:bCs/>
                      <w:color w:val="auto"/>
                      <w:szCs w:val="21"/>
                    </w:rPr>
                  </w:pPr>
                  <w:r>
                    <w:rPr>
                      <w:bCs/>
                      <w:color w:val="auto"/>
                      <w:szCs w:val="21"/>
                    </w:rPr>
                    <w:t>声功率级/dB(A)</w:t>
                  </w:r>
                </w:p>
              </w:tc>
              <w:tc>
                <w:tcPr>
                  <w:tcW w:w="1900" w:type="dxa"/>
                  <w:vMerge w:val="continue"/>
                  <w:vAlign w:val="center"/>
                </w:tcPr>
                <w:p w14:paraId="297CFD3A">
                  <w:pPr>
                    <w:jc w:val="center"/>
                    <w:rPr>
                      <w:bCs/>
                      <w:color w:val="auto"/>
                      <w:szCs w:val="21"/>
                    </w:rPr>
                  </w:pPr>
                </w:p>
              </w:tc>
              <w:tc>
                <w:tcPr>
                  <w:tcW w:w="1221" w:type="dxa"/>
                  <w:vMerge w:val="continue"/>
                  <w:vAlign w:val="center"/>
                </w:tcPr>
                <w:p w14:paraId="24470FBA">
                  <w:pPr>
                    <w:jc w:val="center"/>
                    <w:rPr>
                      <w:bCs/>
                      <w:color w:val="auto"/>
                      <w:szCs w:val="21"/>
                    </w:rPr>
                  </w:pPr>
                </w:p>
              </w:tc>
            </w:tr>
            <w:tr w14:paraId="12A05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21" w:type="dxa"/>
                  <w:vAlign w:val="center"/>
                </w:tcPr>
                <w:p w14:paraId="6E76D26C">
                  <w:pPr>
                    <w:jc w:val="center"/>
                    <w:rPr>
                      <w:bCs/>
                      <w:color w:val="auto"/>
                      <w:szCs w:val="21"/>
                    </w:rPr>
                  </w:pPr>
                  <w:r>
                    <w:rPr>
                      <w:bCs/>
                      <w:color w:val="auto"/>
                      <w:szCs w:val="21"/>
                    </w:rPr>
                    <w:t>1</w:t>
                  </w:r>
                </w:p>
              </w:tc>
              <w:tc>
                <w:tcPr>
                  <w:tcW w:w="1120" w:type="dxa"/>
                  <w:vAlign w:val="center"/>
                </w:tcPr>
                <w:p w14:paraId="3C095DDE">
                  <w:pPr>
                    <w:jc w:val="center"/>
                    <w:rPr>
                      <w:bCs/>
                      <w:color w:val="auto"/>
                      <w:szCs w:val="21"/>
                    </w:rPr>
                  </w:pPr>
                  <w:r>
                    <w:rPr>
                      <w:bCs/>
                      <w:color w:val="auto"/>
                      <w:szCs w:val="21"/>
                    </w:rPr>
                    <w:t>风机</w:t>
                  </w:r>
                </w:p>
              </w:tc>
              <w:tc>
                <w:tcPr>
                  <w:tcW w:w="796" w:type="dxa"/>
                  <w:vAlign w:val="center"/>
                </w:tcPr>
                <w:p w14:paraId="50B9DB99">
                  <w:pPr>
                    <w:jc w:val="center"/>
                    <w:rPr>
                      <w:rFonts w:hint="eastAsia"/>
                      <w:bCs/>
                      <w:color w:val="auto"/>
                      <w:szCs w:val="21"/>
                    </w:rPr>
                  </w:pPr>
                  <w:r>
                    <w:rPr>
                      <w:rFonts w:hint="eastAsia"/>
                      <w:bCs/>
                      <w:color w:val="auto"/>
                      <w:szCs w:val="21"/>
                    </w:rPr>
                    <w:t>/</w:t>
                  </w:r>
                </w:p>
              </w:tc>
              <w:tc>
                <w:tcPr>
                  <w:tcW w:w="745" w:type="dxa"/>
                  <w:vAlign w:val="center"/>
                </w:tcPr>
                <w:p w14:paraId="722DFF51">
                  <w:pPr>
                    <w:jc w:val="center"/>
                    <w:rPr>
                      <w:bCs/>
                      <w:color w:val="auto"/>
                      <w:szCs w:val="21"/>
                    </w:rPr>
                  </w:pPr>
                  <w:r>
                    <w:rPr>
                      <w:rFonts w:hint="eastAsia"/>
                      <w:bCs/>
                      <w:color w:val="auto"/>
                      <w:szCs w:val="21"/>
                    </w:rPr>
                    <w:t>-42</w:t>
                  </w:r>
                </w:p>
              </w:tc>
              <w:tc>
                <w:tcPr>
                  <w:tcW w:w="610" w:type="dxa"/>
                  <w:vAlign w:val="center"/>
                </w:tcPr>
                <w:p w14:paraId="31A7181A">
                  <w:pPr>
                    <w:jc w:val="center"/>
                    <w:rPr>
                      <w:bCs/>
                      <w:color w:val="auto"/>
                      <w:szCs w:val="21"/>
                    </w:rPr>
                  </w:pPr>
                  <w:r>
                    <w:rPr>
                      <w:rFonts w:hint="eastAsia"/>
                      <w:bCs/>
                      <w:color w:val="auto"/>
                      <w:szCs w:val="21"/>
                    </w:rPr>
                    <w:t>-50</w:t>
                  </w:r>
                </w:p>
              </w:tc>
              <w:tc>
                <w:tcPr>
                  <w:tcW w:w="618" w:type="dxa"/>
                  <w:vAlign w:val="center"/>
                </w:tcPr>
                <w:p w14:paraId="0FA9DA09">
                  <w:pPr>
                    <w:jc w:val="center"/>
                    <w:rPr>
                      <w:bCs/>
                      <w:color w:val="auto"/>
                      <w:szCs w:val="21"/>
                    </w:rPr>
                  </w:pPr>
                  <w:r>
                    <w:rPr>
                      <w:rFonts w:hint="eastAsia"/>
                      <w:bCs/>
                      <w:color w:val="auto"/>
                      <w:szCs w:val="21"/>
                    </w:rPr>
                    <w:t>1.2</w:t>
                  </w:r>
                </w:p>
              </w:tc>
              <w:tc>
                <w:tcPr>
                  <w:tcW w:w="3792" w:type="dxa"/>
                  <w:vAlign w:val="center"/>
                </w:tcPr>
                <w:p w14:paraId="451138F7">
                  <w:pPr>
                    <w:jc w:val="center"/>
                    <w:rPr>
                      <w:bCs/>
                      <w:color w:val="auto"/>
                      <w:szCs w:val="21"/>
                    </w:rPr>
                  </w:pPr>
                  <w:r>
                    <w:rPr>
                      <w:rFonts w:hint="eastAsia"/>
                      <w:bCs/>
                      <w:color w:val="auto"/>
                      <w:szCs w:val="21"/>
                    </w:rPr>
                    <w:t>/</w:t>
                  </w:r>
                </w:p>
              </w:tc>
              <w:tc>
                <w:tcPr>
                  <w:tcW w:w="1968" w:type="dxa"/>
                  <w:vAlign w:val="center"/>
                </w:tcPr>
                <w:p w14:paraId="0A7C5183">
                  <w:pPr>
                    <w:jc w:val="center"/>
                    <w:rPr>
                      <w:bCs/>
                      <w:color w:val="auto"/>
                      <w:szCs w:val="21"/>
                    </w:rPr>
                  </w:pPr>
                  <w:r>
                    <w:rPr>
                      <w:rFonts w:hint="eastAsia"/>
                      <w:bCs/>
                      <w:color w:val="auto"/>
                      <w:szCs w:val="21"/>
                    </w:rPr>
                    <w:t>80</w:t>
                  </w:r>
                </w:p>
              </w:tc>
              <w:tc>
                <w:tcPr>
                  <w:tcW w:w="1900" w:type="dxa"/>
                  <w:vAlign w:val="center"/>
                </w:tcPr>
                <w:p w14:paraId="44379E51">
                  <w:pPr>
                    <w:jc w:val="center"/>
                    <w:rPr>
                      <w:rFonts w:hint="eastAsia"/>
                      <w:bCs/>
                      <w:color w:val="auto"/>
                      <w:szCs w:val="21"/>
                    </w:rPr>
                  </w:pPr>
                  <w:r>
                    <w:rPr>
                      <w:rFonts w:hint="eastAsia"/>
                      <w:bCs/>
                      <w:color w:val="auto"/>
                      <w:szCs w:val="21"/>
                    </w:rPr>
                    <w:t>基础减振</w:t>
                  </w:r>
                </w:p>
              </w:tc>
              <w:tc>
                <w:tcPr>
                  <w:tcW w:w="1221" w:type="dxa"/>
                  <w:vAlign w:val="center"/>
                </w:tcPr>
                <w:p w14:paraId="433980FA">
                  <w:pPr>
                    <w:jc w:val="center"/>
                    <w:rPr>
                      <w:bCs/>
                      <w:color w:val="auto"/>
                      <w:szCs w:val="21"/>
                    </w:rPr>
                  </w:pPr>
                  <w:r>
                    <w:rPr>
                      <w:rFonts w:hint="eastAsia"/>
                      <w:bCs/>
                      <w:color w:val="auto"/>
                      <w:szCs w:val="21"/>
                    </w:rPr>
                    <w:t>昼间</w:t>
                  </w:r>
                </w:p>
              </w:tc>
            </w:tr>
            <w:tr w14:paraId="676D8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21" w:type="dxa"/>
                  <w:vAlign w:val="center"/>
                </w:tcPr>
                <w:p w14:paraId="1CC0C03C">
                  <w:pPr>
                    <w:jc w:val="center"/>
                    <w:rPr>
                      <w:rFonts w:hint="eastAsia"/>
                      <w:bCs/>
                      <w:color w:val="auto"/>
                      <w:szCs w:val="21"/>
                    </w:rPr>
                  </w:pPr>
                  <w:r>
                    <w:rPr>
                      <w:rFonts w:hint="eastAsia"/>
                      <w:bCs/>
                      <w:color w:val="auto"/>
                      <w:szCs w:val="21"/>
                    </w:rPr>
                    <w:t>2</w:t>
                  </w:r>
                </w:p>
              </w:tc>
              <w:tc>
                <w:tcPr>
                  <w:tcW w:w="1120" w:type="dxa"/>
                  <w:vAlign w:val="center"/>
                </w:tcPr>
                <w:p w14:paraId="3C36C881">
                  <w:pPr>
                    <w:jc w:val="center"/>
                    <w:rPr>
                      <w:bCs/>
                      <w:color w:val="auto"/>
                      <w:szCs w:val="21"/>
                    </w:rPr>
                  </w:pPr>
                  <w:r>
                    <w:rPr>
                      <w:bCs/>
                      <w:color w:val="auto"/>
                      <w:szCs w:val="21"/>
                    </w:rPr>
                    <w:t>风机</w:t>
                  </w:r>
                </w:p>
              </w:tc>
              <w:tc>
                <w:tcPr>
                  <w:tcW w:w="796" w:type="dxa"/>
                  <w:vAlign w:val="center"/>
                </w:tcPr>
                <w:p w14:paraId="31A692A9">
                  <w:pPr>
                    <w:jc w:val="center"/>
                    <w:rPr>
                      <w:rFonts w:hint="eastAsia"/>
                      <w:bCs/>
                      <w:color w:val="auto"/>
                      <w:szCs w:val="21"/>
                    </w:rPr>
                  </w:pPr>
                  <w:r>
                    <w:rPr>
                      <w:rFonts w:hint="eastAsia"/>
                      <w:bCs/>
                      <w:color w:val="auto"/>
                      <w:szCs w:val="21"/>
                    </w:rPr>
                    <w:t>/</w:t>
                  </w:r>
                </w:p>
              </w:tc>
              <w:tc>
                <w:tcPr>
                  <w:tcW w:w="745" w:type="dxa"/>
                  <w:vAlign w:val="center"/>
                </w:tcPr>
                <w:p w14:paraId="14C7A618">
                  <w:pPr>
                    <w:jc w:val="center"/>
                    <w:rPr>
                      <w:bCs/>
                      <w:color w:val="auto"/>
                      <w:szCs w:val="21"/>
                    </w:rPr>
                  </w:pPr>
                  <w:r>
                    <w:rPr>
                      <w:rFonts w:hint="eastAsia"/>
                      <w:bCs/>
                      <w:color w:val="auto"/>
                      <w:szCs w:val="21"/>
                    </w:rPr>
                    <w:t>-1</w:t>
                  </w:r>
                </w:p>
              </w:tc>
              <w:tc>
                <w:tcPr>
                  <w:tcW w:w="610" w:type="dxa"/>
                  <w:vAlign w:val="center"/>
                </w:tcPr>
                <w:p w14:paraId="57D52162">
                  <w:pPr>
                    <w:jc w:val="center"/>
                    <w:rPr>
                      <w:bCs/>
                      <w:color w:val="auto"/>
                      <w:szCs w:val="21"/>
                    </w:rPr>
                  </w:pPr>
                  <w:r>
                    <w:rPr>
                      <w:rFonts w:hint="eastAsia"/>
                      <w:bCs/>
                      <w:color w:val="auto"/>
                      <w:szCs w:val="21"/>
                    </w:rPr>
                    <w:t>-7</w:t>
                  </w:r>
                </w:p>
              </w:tc>
              <w:tc>
                <w:tcPr>
                  <w:tcW w:w="618" w:type="dxa"/>
                  <w:vAlign w:val="center"/>
                </w:tcPr>
                <w:p w14:paraId="65875292">
                  <w:pPr>
                    <w:jc w:val="center"/>
                    <w:rPr>
                      <w:bCs/>
                      <w:color w:val="auto"/>
                      <w:szCs w:val="21"/>
                    </w:rPr>
                  </w:pPr>
                  <w:r>
                    <w:rPr>
                      <w:rFonts w:hint="eastAsia"/>
                      <w:bCs/>
                      <w:color w:val="auto"/>
                      <w:szCs w:val="21"/>
                    </w:rPr>
                    <w:t>1.2</w:t>
                  </w:r>
                </w:p>
              </w:tc>
              <w:tc>
                <w:tcPr>
                  <w:tcW w:w="3792" w:type="dxa"/>
                  <w:vAlign w:val="center"/>
                </w:tcPr>
                <w:p w14:paraId="37D66044">
                  <w:pPr>
                    <w:jc w:val="center"/>
                    <w:rPr>
                      <w:rFonts w:hint="eastAsia"/>
                      <w:bCs/>
                      <w:color w:val="auto"/>
                      <w:szCs w:val="21"/>
                    </w:rPr>
                  </w:pPr>
                  <w:r>
                    <w:rPr>
                      <w:rFonts w:hint="eastAsia"/>
                      <w:bCs/>
                      <w:color w:val="auto"/>
                      <w:szCs w:val="21"/>
                    </w:rPr>
                    <w:t>/</w:t>
                  </w:r>
                </w:p>
              </w:tc>
              <w:tc>
                <w:tcPr>
                  <w:tcW w:w="1968" w:type="dxa"/>
                  <w:vAlign w:val="center"/>
                </w:tcPr>
                <w:p w14:paraId="3CF2D2A6">
                  <w:pPr>
                    <w:jc w:val="center"/>
                    <w:rPr>
                      <w:bCs/>
                      <w:color w:val="auto"/>
                      <w:szCs w:val="21"/>
                    </w:rPr>
                  </w:pPr>
                  <w:r>
                    <w:rPr>
                      <w:rFonts w:hint="eastAsia"/>
                      <w:bCs/>
                      <w:color w:val="auto"/>
                      <w:szCs w:val="21"/>
                    </w:rPr>
                    <w:t>80</w:t>
                  </w:r>
                </w:p>
              </w:tc>
              <w:tc>
                <w:tcPr>
                  <w:tcW w:w="1900" w:type="dxa"/>
                  <w:vAlign w:val="center"/>
                </w:tcPr>
                <w:p w14:paraId="286EE9A2">
                  <w:pPr>
                    <w:jc w:val="center"/>
                    <w:rPr>
                      <w:rFonts w:hint="eastAsia"/>
                      <w:bCs/>
                      <w:color w:val="auto"/>
                      <w:szCs w:val="21"/>
                    </w:rPr>
                  </w:pPr>
                  <w:r>
                    <w:rPr>
                      <w:rFonts w:hint="eastAsia"/>
                      <w:bCs/>
                      <w:color w:val="auto"/>
                      <w:szCs w:val="21"/>
                    </w:rPr>
                    <w:t>基础减振</w:t>
                  </w:r>
                </w:p>
              </w:tc>
              <w:tc>
                <w:tcPr>
                  <w:tcW w:w="1221" w:type="dxa"/>
                  <w:vAlign w:val="center"/>
                </w:tcPr>
                <w:p w14:paraId="109EC85A">
                  <w:pPr>
                    <w:jc w:val="center"/>
                    <w:rPr>
                      <w:rFonts w:hint="eastAsia"/>
                      <w:bCs/>
                      <w:color w:val="auto"/>
                      <w:szCs w:val="21"/>
                    </w:rPr>
                  </w:pPr>
                  <w:r>
                    <w:rPr>
                      <w:rFonts w:hint="eastAsia"/>
                      <w:bCs/>
                      <w:color w:val="auto"/>
                      <w:szCs w:val="21"/>
                    </w:rPr>
                    <w:t>昼间</w:t>
                  </w:r>
                </w:p>
              </w:tc>
            </w:tr>
            <w:tr w14:paraId="25BC2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21" w:type="dxa"/>
                  <w:vAlign w:val="center"/>
                </w:tcPr>
                <w:p w14:paraId="3C3C0D1B">
                  <w:pPr>
                    <w:jc w:val="center"/>
                    <w:rPr>
                      <w:rFonts w:hint="eastAsia"/>
                      <w:bCs/>
                      <w:color w:val="auto"/>
                      <w:szCs w:val="21"/>
                    </w:rPr>
                  </w:pPr>
                  <w:r>
                    <w:rPr>
                      <w:rFonts w:hint="eastAsia"/>
                      <w:bCs/>
                      <w:color w:val="auto"/>
                      <w:szCs w:val="21"/>
                    </w:rPr>
                    <w:t>3</w:t>
                  </w:r>
                </w:p>
              </w:tc>
              <w:tc>
                <w:tcPr>
                  <w:tcW w:w="1120" w:type="dxa"/>
                  <w:vAlign w:val="center"/>
                </w:tcPr>
                <w:p w14:paraId="38012C59">
                  <w:pPr>
                    <w:jc w:val="center"/>
                    <w:rPr>
                      <w:bCs/>
                      <w:color w:val="auto"/>
                      <w:szCs w:val="21"/>
                    </w:rPr>
                  </w:pPr>
                  <w:r>
                    <w:rPr>
                      <w:bCs/>
                      <w:color w:val="auto"/>
                      <w:szCs w:val="21"/>
                    </w:rPr>
                    <w:t>风机</w:t>
                  </w:r>
                </w:p>
              </w:tc>
              <w:tc>
                <w:tcPr>
                  <w:tcW w:w="796" w:type="dxa"/>
                  <w:vAlign w:val="center"/>
                </w:tcPr>
                <w:p w14:paraId="619F0580">
                  <w:pPr>
                    <w:jc w:val="center"/>
                    <w:rPr>
                      <w:rFonts w:hint="eastAsia"/>
                      <w:bCs/>
                      <w:color w:val="auto"/>
                      <w:szCs w:val="21"/>
                    </w:rPr>
                  </w:pPr>
                  <w:r>
                    <w:rPr>
                      <w:rFonts w:hint="eastAsia"/>
                      <w:bCs/>
                      <w:color w:val="auto"/>
                      <w:szCs w:val="21"/>
                    </w:rPr>
                    <w:t>/</w:t>
                  </w:r>
                </w:p>
              </w:tc>
              <w:tc>
                <w:tcPr>
                  <w:tcW w:w="745" w:type="dxa"/>
                  <w:vAlign w:val="center"/>
                </w:tcPr>
                <w:p w14:paraId="08C3EA79">
                  <w:pPr>
                    <w:jc w:val="center"/>
                    <w:rPr>
                      <w:bCs/>
                      <w:color w:val="auto"/>
                      <w:szCs w:val="21"/>
                    </w:rPr>
                  </w:pPr>
                  <w:r>
                    <w:rPr>
                      <w:rFonts w:hint="eastAsia"/>
                      <w:bCs/>
                      <w:color w:val="auto"/>
                      <w:szCs w:val="21"/>
                    </w:rPr>
                    <w:t>-24</w:t>
                  </w:r>
                </w:p>
              </w:tc>
              <w:tc>
                <w:tcPr>
                  <w:tcW w:w="610" w:type="dxa"/>
                  <w:vAlign w:val="center"/>
                </w:tcPr>
                <w:p w14:paraId="7DD649E0">
                  <w:pPr>
                    <w:jc w:val="center"/>
                    <w:rPr>
                      <w:bCs/>
                      <w:color w:val="auto"/>
                      <w:szCs w:val="21"/>
                    </w:rPr>
                  </w:pPr>
                  <w:r>
                    <w:rPr>
                      <w:rFonts w:hint="eastAsia"/>
                      <w:bCs/>
                      <w:color w:val="auto"/>
                      <w:szCs w:val="21"/>
                    </w:rPr>
                    <w:t>64</w:t>
                  </w:r>
                </w:p>
              </w:tc>
              <w:tc>
                <w:tcPr>
                  <w:tcW w:w="618" w:type="dxa"/>
                  <w:vAlign w:val="center"/>
                </w:tcPr>
                <w:p w14:paraId="43083E43">
                  <w:pPr>
                    <w:jc w:val="center"/>
                    <w:rPr>
                      <w:bCs/>
                      <w:color w:val="auto"/>
                      <w:szCs w:val="21"/>
                    </w:rPr>
                  </w:pPr>
                  <w:r>
                    <w:rPr>
                      <w:rFonts w:hint="eastAsia"/>
                      <w:bCs/>
                      <w:color w:val="auto"/>
                      <w:szCs w:val="21"/>
                    </w:rPr>
                    <w:t>1.2</w:t>
                  </w:r>
                </w:p>
              </w:tc>
              <w:tc>
                <w:tcPr>
                  <w:tcW w:w="3792" w:type="dxa"/>
                  <w:vAlign w:val="center"/>
                </w:tcPr>
                <w:p w14:paraId="7CF1E38D">
                  <w:pPr>
                    <w:jc w:val="center"/>
                    <w:rPr>
                      <w:rFonts w:hint="eastAsia"/>
                      <w:bCs/>
                      <w:color w:val="auto"/>
                      <w:szCs w:val="21"/>
                    </w:rPr>
                  </w:pPr>
                  <w:r>
                    <w:rPr>
                      <w:rFonts w:hint="eastAsia"/>
                      <w:bCs/>
                      <w:color w:val="auto"/>
                      <w:szCs w:val="21"/>
                    </w:rPr>
                    <w:t>/</w:t>
                  </w:r>
                </w:p>
              </w:tc>
              <w:tc>
                <w:tcPr>
                  <w:tcW w:w="1968" w:type="dxa"/>
                  <w:vAlign w:val="center"/>
                </w:tcPr>
                <w:p w14:paraId="1C790A6E">
                  <w:pPr>
                    <w:jc w:val="center"/>
                    <w:rPr>
                      <w:bCs/>
                      <w:color w:val="auto"/>
                      <w:szCs w:val="21"/>
                    </w:rPr>
                  </w:pPr>
                  <w:r>
                    <w:rPr>
                      <w:rFonts w:hint="eastAsia"/>
                      <w:bCs/>
                      <w:color w:val="auto"/>
                      <w:szCs w:val="21"/>
                    </w:rPr>
                    <w:t>80</w:t>
                  </w:r>
                </w:p>
              </w:tc>
              <w:tc>
                <w:tcPr>
                  <w:tcW w:w="1900" w:type="dxa"/>
                  <w:vAlign w:val="center"/>
                </w:tcPr>
                <w:p w14:paraId="372B2C81">
                  <w:pPr>
                    <w:jc w:val="center"/>
                    <w:rPr>
                      <w:rFonts w:hint="eastAsia"/>
                      <w:bCs/>
                      <w:color w:val="auto"/>
                      <w:szCs w:val="21"/>
                    </w:rPr>
                  </w:pPr>
                  <w:r>
                    <w:rPr>
                      <w:rFonts w:hint="eastAsia"/>
                      <w:bCs/>
                      <w:color w:val="auto"/>
                      <w:szCs w:val="21"/>
                    </w:rPr>
                    <w:t>基础减振</w:t>
                  </w:r>
                </w:p>
              </w:tc>
              <w:tc>
                <w:tcPr>
                  <w:tcW w:w="1221" w:type="dxa"/>
                  <w:vAlign w:val="center"/>
                </w:tcPr>
                <w:p w14:paraId="51B25C2C">
                  <w:pPr>
                    <w:jc w:val="center"/>
                    <w:rPr>
                      <w:rFonts w:hint="eastAsia"/>
                      <w:bCs/>
                      <w:color w:val="auto"/>
                      <w:szCs w:val="21"/>
                    </w:rPr>
                  </w:pPr>
                  <w:r>
                    <w:rPr>
                      <w:rFonts w:hint="eastAsia"/>
                      <w:bCs/>
                      <w:color w:val="auto"/>
                      <w:szCs w:val="21"/>
                    </w:rPr>
                    <w:t>昼间</w:t>
                  </w:r>
                </w:p>
              </w:tc>
            </w:tr>
            <w:tr w14:paraId="59749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21" w:type="dxa"/>
                  <w:vAlign w:val="center"/>
                </w:tcPr>
                <w:p w14:paraId="444AFFF7">
                  <w:pPr>
                    <w:jc w:val="center"/>
                    <w:rPr>
                      <w:rFonts w:hint="eastAsia"/>
                      <w:bCs/>
                      <w:color w:val="auto"/>
                      <w:szCs w:val="21"/>
                    </w:rPr>
                  </w:pPr>
                  <w:r>
                    <w:rPr>
                      <w:rFonts w:hint="eastAsia"/>
                      <w:bCs/>
                      <w:color w:val="auto"/>
                      <w:szCs w:val="21"/>
                    </w:rPr>
                    <w:t>4</w:t>
                  </w:r>
                </w:p>
              </w:tc>
              <w:tc>
                <w:tcPr>
                  <w:tcW w:w="1120" w:type="dxa"/>
                  <w:vAlign w:val="center"/>
                </w:tcPr>
                <w:p w14:paraId="6CC9E9AF">
                  <w:pPr>
                    <w:jc w:val="center"/>
                    <w:rPr>
                      <w:bCs/>
                      <w:color w:val="auto"/>
                      <w:szCs w:val="21"/>
                    </w:rPr>
                  </w:pPr>
                  <w:r>
                    <w:rPr>
                      <w:bCs/>
                      <w:color w:val="auto"/>
                      <w:szCs w:val="21"/>
                    </w:rPr>
                    <w:t>风机</w:t>
                  </w:r>
                </w:p>
              </w:tc>
              <w:tc>
                <w:tcPr>
                  <w:tcW w:w="796" w:type="dxa"/>
                  <w:vAlign w:val="center"/>
                </w:tcPr>
                <w:p w14:paraId="00881830">
                  <w:pPr>
                    <w:jc w:val="center"/>
                    <w:rPr>
                      <w:rFonts w:hint="eastAsia"/>
                      <w:bCs/>
                      <w:color w:val="auto"/>
                      <w:szCs w:val="21"/>
                    </w:rPr>
                  </w:pPr>
                  <w:r>
                    <w:rPr>
                      <w:rFonts w:hint="eastAsia"/>
                      <w:bCs/>
                      <w:color w:val="auto"/>
                      <w:szCs w:val="21"/>
                    </w:rPr>
                    <w:t>/</w:t>
                  </w:r>
                </w:p>
              </w:tc>
              <w:tc>
                <w:tcPr>
                  <w:tcW w:w="745" w:type="dxa"/>
                  <w:vAlign w:val="center"/>
                </w:tcPr>
                <w:p w14:paraId="56DDE2BA">
                  <w:pPr>
                    <w:jc w:val="center"/>
                    <w:rPr>
                      <w:bCs/>
                      <w:color w:val="auto"/>
                      <w:szCs w:val="21"/>
                    </w:rPr>
                  </w:pPr>
                  <w:r>
                    <w:rPr>
                      <w:rFonts w:hint="eastAsia"/>
                      <w:bCs/>
                      <w:color w:val="auto"/>
                      <w:szCs w:val="21"/>
                    </w:rPr>
                    <w:t>3</w:t>
                  </w:r>
                </w:p>
              </w:tc>
              <w:tc>
                <w:tcPr>
                  <w:tcW w:w="610" w:type="dxa"/>
                  <w:vAlign w:val="center"/>
                </w:tcPr>
                <w:p w14:paraId="25E8E462">
                  <w:pPr>
                    <w:jc w:val="center"/>
                    <w:rPr>
                      <w:bCs/>
                      <w:color w:val="auto"/>
                      <w:szCs w:val="21"/>
                    </w:rPr>
                  </w:pPr>
                  <w:r>
                    <w:rPr>
                      <w:rFonts w:hint="eastAsia"/>
                      <w:bCs/>
                      <w:color w:val="auto"/>
                      <w:szCs w:val="21"/>
                    </w:rPr>
                    <w:t>0</w:t>
                  </w:r>
                </w:p>
              </w:tc>
              <w:tc>
                <w:tcPr>
                  <w:tcW w:w="618" w:type="dxa"/>
                  <w:vAlign w:val="center"/>
                </w:tcPr>
                <w:p w14:paraId="376BE6F5">
                  <w:pPr>
                    <w:jc w:val="center"/>
                    <w:rPr>
                      <w:bCs/>
                      <w:color w:val="auto"/>
                      <w:szCs w:val="21"/>
                    </w:rPr>
                  </w:pPr>
                  <w:r>
                    <w:rPr>
                      <w:rFonts w:hint="eastAsia"/>
                      <w:bCs/>
                      <w:color w:val="auto"/>
                      <w:szCs w:val="21"/>
                    </w:rPr>
                    <w:t>1.2</w:t>
                  </w:r>
                </w:p>
              </w:tc>
              <w:tc>
                <w:tcPr>
                  <w:tcW w:w="3792" w:type="dxa"/>
                  <w:vAlign w:val="center"/>
                </w:tcPr>
                <w:p w14:paraId="3A200769">
                  <w:pPr>
                    <w:jc w:val="center"/>
                    <w:rPr>
                      <w:rFonts w:hint="eastAsia"/>
                      <w:bCs/>
                      <w:color w:val="auto"/>
                      <w:szCs w:val="21"/>
                    </w:rPr>
                  </w:pPr>
                  <w:r>
                    <w:rPr>
                      <w:rFonts w:hint="eastAsia"/>
                      <w:bCs/>
                      <w:color w:val="auto"/>
                      <w:szCs w:val="21"/>
                    </w:rPr>
                    <w:t>/</w:t>
                  </w:r>
                </w:p>
              </w:tc>
              <w:tc>
                <w:tcPr>
                  <w:tcW w:w="1968" w:type="dxa"/>
                  <w:vAlign w:val="center"/>
                </w:tcPr>
                <w:p w14:paraId="337ADA20">
                  <w:pPr>
                    <w:jc w:val="center"/>
                    <w:rPr>
                      <w:bCs/>
                      <w:color w:val="auto"/>
                      <w:szCs w:val="21"/>
                    </w:rPr>
                  </w:pPr>
                  <w:r>
                    <w:rPr>
                      <w:rFonts w:hint="eastAsia"/>
                      <w:bCs/>
                      <w:color w:val="auto"/>
                      <w:szCs w:val="21"/>
                    </w:rPr>
                    <w:t>80</w:t>
                  </w:r>
                </w:p>
              </w:tc>
              <w:tc>
                <w:tcPr>
                  <w:tcW w:w="1900" w:type="dxa"/>
                  <w:vAlign w:val="center"/>
                </w:tcPr>
                <w:p w14:paraId="2A6AE3A4">
                  <w:pPr>
                    <w:jc w:val="center"/>
                    <w:rPr>
                      <w:rFonts w:hint="eastAsia"/>
                      <w:bCs/>
                      <w:color w:val="auto"/>
                      <w:szCs w:val="21"/>
                    </w:rPr>
                  </w:pPr>
                  <w:r>
                    <w:rPr>
                      <w:rFonts w:hint="eastAsia"/>
                      <w:bCs/>
                      <w:color w:val="auto"/>
                      <w:szCs w:val="21"/>
                    </w:rPr>
                    <w:t>基础减振</w:t>
                  </w:r>
                </w:p>
              </w:tc>
              <w:tc>
                <w:tcPr>
                  <w:tcW w:w="1221" w:type="dxa"/>
                  <w:vAlign w:val="center"/>
                </w:tcPr>
                <w:p w14:paraId="2A89F38C">
                  <w:pPr>
                    <w:jc w:val="center"/>
                    <w:rPr>
                      <w:rFonts w:hint="eastAsia"/>
                      <w:bCs/>
                      <w:color w:val="auto"/>
                      <w:szCs w:val="21"/>
                    </w:rPr>
                  </w:pPr>
                  <w:r>
                    <w:rPr>
                      <w:rFonts w:hint="eastAsia"/>
                      <w:bCs/>
                      <w:color w:val="auto"/>
                      <w:szCs w:val="21"/>
                    </w:rPr>
                    <w:t>昼间</w:t>
                  </w:r>
                </w:p>
              </w:tc>
            </w:tr>
          </w:tbl>
          <w:p w14:paraId="5263D64B">
            <w:pPr>
              <w:pStyle w:val="21"/>
              <w:jc w:val="both"/>
              <w:outlineLvl w:val="0"/>
              <w:rPr>
                <w:rFonts w:hint="eastAsia" w:ascii="黑体" w:hAnsi="黑体" w:eastAsia="黑体"/>
                <w:snapToGrid w:val="0"/>
                <w:color w:val="auto"/>
                <w:sz w:val="30"/>
                <w:szCs w:val="30"/>
              </w:rPr>
            </w:pPr>
          </w:p>
          <w:p w14:paraId="2A371D6C">
            <w:pPr>
              <w:pStyle w:val="21"/>
              <w:jc w:val="both"/>
              <w:outlineLvl w:val="0"/>
              <w:rPr>
                <w:rFonts w:hint="eastAsia" w:ascii="黑体" w:hAnsi="黑体" w:eastAsia="黑体"/>
                <w:snapToGrid w:val="0"/>
                <w:color w:val="auto"/>
                <w:sz w:val="30"/>
                <w:szCs w:val="30"/>
              </w:rPr>
            </w:pPr>
          </w:p>
          <w:p w14:paraId="23AD718E">
            <w:pPr>
              <w:pStyle w:val="21"/>
              <w:jc w:val="both"/>
              <w:outlineLvl w:val="0"/>
              <w:rPr>
                <w:rFonts w:hint="eastAsia" w:ascii="黑体" w:hAnsi="黑体" w:eastAsia="黑体"/>
                <w:snapToGrid w:val="0"/>
                <w:color w:val="auto"/>
                <w:sz w:val="30"/>
                <w:szCs w:val="30"/>
              </w:rPr>
            </w:pPr>
          </w:p>
          <w:p w14:paraId="33D4837E">
            <w:pPr>
              <w:pStyle w:val="21"/>
              <w:jc w:val="both"/>
              <w:outlineLvl w:val="0"/>
              <w:rPr>
                <w:rFonts w:hint="eastAsia" w:ascii="黑体" w:hAnsi="黑体" w:eastAsia="黑体"/>
                <w:snapToGrid w:val="0"/>
                <w:color w:val="auto"/>
                <w:sz w:val="30"/>
                <w:szCs w:val="30"/>
              </w:rPr>
            </w:pPr>
          </w:p>
          <w:p w14:paraId="46AF1DD5">
            <w:pPr>
              <w:pStyle w:val="21"/>
              <w:jc w:val="both"/>
              <w:outlineLvl w:val="0"/>
              <w:rPr>
                <w:rFonts w:hint="eastAsia" w:ascii="黑体" w:hAnsi="黑体" w:eastAsia="黑体"/>
                <w:snapToGrid w:val="0"/>
                <w:color w:val="auto"/>
                <w:sz w:val="30"/>
                <w:szCs w:val="30"/>
              </w:rPr>
            </w:pPr>
          </w:p>
        </w:tc>
      </w:tr>
    </w:tbl>
    <w:p w14:paraId="06B6C294">
      <w:pPr>
        <w:pStyle w:val="21"/>
        <w:jc w:val="center"/>
        <w:outlineLvl w:val="0"/>
        <w:rPr>
          <w:rFonts w:hint="eastAsia" w:ascii="黑体" w:hAnsi="黑体" w:eastAsia="黑体"/>
          <w:snapToGrid w:val="0"/>
          <w:color w:val="auto"/>
          <w:sz w:val="30"/>
          <w:szCs w:val="30"/>
        </w:rPr>
        <w:sectPr>
          <w:pgSz w:w="16838" w:h="11905" w:orient="landscape"/>
          <w:pgMar w:top="1417" w:right="1417" w:bottom="1417" w:left="1417" w:header="851" w:footer="1077" w:gutter="0"/>
          <w:pgNumType w:fmt="decimal"/>
          <w:cols w:space="720" w:num="1"/>
          <w:docGrid w:linePitch="312" w:charSpace="0"/>
        </w:sectPr>
      </w:pPr>
    </w:p>
    <w:tbl>
      <w:tblPr>
        <w:tblStyle w:val="25"/>
        <w:tblW w:w="9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8857"/>
      </w:tblGrid>
      <w:tr w14:paraId="4D5BC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046" w:hRule="atLeast"/>
        </w:trPr>
        <w:tc>
          <w:tcPr>
            <w:tcW w:w="423" w:type="dxa"/>
            <w:vAlign w:val="center"/>
          </w:tcPr>
          <w:p w14:paraId="16006521">
            <w:pPr>
              <w:keepNext w:val="0"/>
              <w:keepLines w:val="0"/>
              <w:pageBreakBefore w:val="0"/>
              <w:kinsoku/>
              <w:wordWrap/>
              <w:overflowPunct/>
              <w:topLinePunct w:val="0"/>
              <w:autoSpaceDE/>
              <w:autoSpaceDN/>
              <w:bidi w:val="0"/>
              <w:adjustRightInd w:val="0"/>
              <w:snapToGrid w:val="0"/>
              <w:spacing w:beforeAutospacing="0" w:afterAutospacing="0"/>
              <w:jc w:val="center"/>
              <w:textAlignment w:val="auto"/>
              <w:rPr>
                <w:b/>
                <w:color w:val="auto"/>
                <w:sz w:val="24"/>
              </w:rPr>
            </w:pPr>
            <w:r>
              <w:rPr>
                <w:b/>
                <w:color w:val="auto"/>
                <w:sz w:val="24"/>
              </w:rPr>
              <w:t>运营</w:t>
            </w:r>
          </w:p>
          <w:p w14:paraId="33C4D609">
            <w:pPr>
              <w:keepNext w:val="0"/>
              <w:keepLines w:val="0"/>
              <w:pageBreakBefore w:val="0"/>
              <w:kinsoku/>
              <w:wordWrap/>
              <w:overflowPunct/>
              <w:topLinePunct w:val="0"/>
              <w:autoSpaceDE/>
              <w:autoSpaceDN/>
              <w:bidi w:val="0"/>
              <w:adjustRightInd w:val="0"/>
              <w:snapToGrid w:val="0"/>
              <w:spacing w:beforeAutospacing="0" w:afterAutospacing="0"/>
              <w:jc w:val="center"/>
              <w:textAlignment w:val="auto"/>
              <w:rPr>
                <w:b/>
                <w:color w:val="auto"/>
                <w:sz w:val="24"/>
              </w:rPr>
            </w:pPr>
            <w:r>
              <w:rPr>
                <w:b/>
                <w:color w:val="auto"/>
                <w:sz w:val="24"/>
              </w:rPr>
              <w:t>期环</w:t>
            </w:r>
          </w:p>
          <w:p w14:paraId="2AC26C6A">
            <w:pPr>
              <w:keepNext w:val="0"/>
              <w:keepLines w:val="0"/>
              <w:pageBreakBefore w:val="0"/>
              <w:kinsoku/>
              <w:wordWrap/>
              <w:overflowPunct/>
              <w:topLinePunct w:val="0"/>
              <w:autoSpaceDE/>
              <w:autoSpaceDN/>
              <w:bidi w:val="0"/>
              <w:adjustRightInd w:val="0"/>
              <w:snapToGrid w:val="0"/>
              <w:spacing w:beforeAutospacing="0" w:afterAutospacing="0"/>
              <w:jc w:val="center"/>
              <w:textAlignment w:val="auto"/>
              <w:rPr>
                <w:b/>
                <w:color w:val="auto"/>
                <w:sz w:val="24"/>
              </w:rPr>
            </w:pPr>
            <w:r>
              <w:rPr>
                <w:b/>
                <w:color w:val="auto"/>
                <w:sz w:val="24"/>
              </w:rPr>
              <w:t>境影</w:t>
            </w:r>
          </w:p>
          <w:p w14:paraId="2005F3ED">
            <w:pPr>
              <w:keepNext w:val="0"/>
              <w:keepLines w:val="0"/>
              <w:pageBreakBefore w:val="0"/>
              <w:kinsoku/>
              <w:wordWrap/>
              <w:overflowPunct/>
              <w:topLinePunct w:val="0"/>
              <w:autoSpaceDE/>
              <w:autoSpaceDN/>
              <w:bidi w:val="0"/>
              <w:adjustRightInd w:val="0"/>
              <w:snapToGrid w:val="0"/>
              <w:spacing w:beforeAutospacing="0" w:afterAutospacing="0"/>
              <w:jc w:val="center"/>
              <w:textAlignment w:val="auto"/>
              <w:rPr>
                <w:b/>
                <w:color w:val="auto"/>
                <w:sz w:val="24"/>
              </w:rPr>
            </w:pPr>
            <w:r>
              <w:rPr>
                <w:b/>
                <w:color w:val="auto"/>
                <w:sz w:val="24"/>
              </w:rPr>
              <w:t>响和</w:t>
            </w:r>
          </w:p>
          <w:p w14:paraId="39A9B42E">
            <w:pPr>
              <w:keepNext w:val="0"/>
              <w:keepLines w:val="0"/>
              <w:pageBreakBefore w:val="0"/>
              <w:kinsoku/>
              <w:wordWrap/>
              <w:overflowPunct/>
              <w:topLinePunct w:val="0"/>
              <w:autoSpaceDE/>
              <w:autoSpaceDN/>
              <w:bidi w:val="0"/>
              <w:adjustRightInd w:val="0"/>
              <w:snapToGrid w:val="0"/>
              <w:spacing w:beforeAutospacing="0" w:afterAutospacing="0"/>
              <w:jc w:val="center"/>
              <w:textAlignment w:val="auto"/>
              <w:rPr>
                <w:b/>
                <w:color w:val="auto"/>
                <w:sz w:val="24"/>
              </w:rPr>
            </w:pPr>
            <w:r>
              <w:rPr>
                <w:b/>
                <w:color w:val="auto"/>
                <w:sz w:val="24"/>
              </w:rPr>
              <w:t>保护</w:t>
            </w:r>
          </w:p>
          <w:p w14:paraId="4E74B413">
            <w:pPr>
              <w:pStyle w:val="21"/>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eastAsia" w:ascii="黑体" w:hAnsi="黑体" w:eastAsia="黑体"/>
                <w:snapToGrid w:val="0"/>
                <w:color w:val="auto"/>
                <w:sz w:val="30"/>
                <w:szCs w:val="30"/>
              </w:rPr>
            </w:pPr>
            <w:r>
              <w:rPr>
                <w:b/>
                <w:color w:val="auto"/>
                <w:sz w:val="24"/>
              </w:rPr>
              <w:t>措施</w:t>
            </w:r>
          </w:p>
        </w:tc>
        <w:tc>
          <w:tcPr>
            <w:tcW w:w="8857" w:type="dxa"/>
            <w:vAlign w:val="top"/>
          </w:tcPr>
          <w:p w14:paraId="710853D3">
            <w:pPr>
              <w:snapToGrid w:val="0"/>
              <w:spacing w:line="360" w:lineRule="auto"/>
              <w:ind w:firstLine="482" w:firstLineChars="200"/>
              <w:rPr>
                <w:b/>
                <w:bCs/>
                <w:color w:val="auto"/>
                <w:sz w:val="24"/>
              </w:rPr>
            </w:pPr>
            <w:r>
              <w:rPr>
                <w:b/>
                <w:bCs/>
                <w:color w:val="auto"/>
                <w:sz w:val="24"/>
              </w:rPr>
              <w:t>3.2噪声影响预测过程及结果</w:t>
            </w:r>
          </w:p>
          <w:p w14:paraId="225F30B6">
            <w:pPr>
              <w:snapToGrid w:val="0"/>
              <w:spacing w:line="360" w:lineRule="auto"/>
              <w:ind w:firstLine="480" w:firstLineChars="200"/>
              <w:rPr>
                <w:rFonts w:hint="eastAsia"/>
                <w:color w:val="auto"/>
                <w:sz w:val="24"/>
              </w:rPr>
            </w:pPr>
            <w:r>
              <w:rPr>
                <w:rFonts w:hint="eastAsia"/>
                <w:color w:val="auto"/>
                <w:sz w:val="24"/>
              </w:rPr>
              <w:t>根据本项目各噪声设备在厂区的分布情况和源强声功率级，并根据设备距厂界的距离，采用《环境影响评价技术导则 声环境》（HJ2.4-2021）室外声传播的衰减和附录B中B.1工业噪声预测计算模型，预测本项目各噪声设备对厂界贡献值，具体预测模式如下：</w:t>
            </w:r>
          </w:p>
          <w:p w14:paraId="7CFA6C5A">
            <w:pPr>
              <w:snapToGrid w:val="0"/>
              <w:spacing w:line="360" w:lineRule="auto"/>
              <w:ind w:firstLine="480" w:firstLineChars="200"/>
              <w:jc w:val="left"/>
              <w:rPr>
                <w:rFonts w:hint="eastAsia"/>
                <w:color w:val="auto"/>
                <w:sz w:val="24"/>
              </w:rPr>
            </w:pPr>
            <w:r>
              <w:rPr>
                <w:rFonts w:hint="eastAsia"/>
                <w:color w:val="auto"/>
                <w:sz w:val="24"/>
              </w:rPr>
              <w:t>①拟建项目声源对预测点产生的噪声贡献值：</w:t>
            </w:r>
          </w:p>
          <w:p w14:paraId="351B0A1F">
            <w:pPr>
              <w:snapToGrid w:val="0"/>
              <w:spacing w:line="360" w:lineRule="auto"/>
              <w:ind w:firstLine="480" w:firstLineChars="200"/>
              <w:jc w:val="left"/>
              <w:rPr>
                <w:rFonts w:hint="eastAsia"/>
                <w:color w:val="auto"/>
                <w:sz w:val="24"/>
              </w:rPr>
            </w:pPr>
            <w:r>
              <w:rPr>
                <w:rFonts w:hint="eastAsia"/>
                <w:color w:val="auto"/>
                <w:sz w:val="24"/>
              </w:rPr>
              <w:t>由建设项目自身声源在预测点产生的声级。</w:t>
            </w:r>
          </w:p>
          <w:p w14:paraId="6D97D7AF">
            <w:pPr>
              <w:snapToGrid w:val="0"/>
              <w:spacing w:line="360" w:lineRule="auto"/>
              <w:ind w:firstLine="480" w:firstLineChars="200"/>
              <w:jc w:val="left"/>
              <w:rPr>
                <w:rFonts w:hint="eastAsia"/>
                <w:color w:val="auto"/>
                <w:sz w:val="24"/>
              </w:rPr>
            </w:pPr>
            <w:r>
              <w:rPr>
                <w:rFonts w:hint="eastAsia"/>
                <w:color w:val="auto"/>
                <w:sz w:val="24"/>
              </w:rPr>
              <w:t>噪声贡献值（</w:t>
            </w:r>
            <w:r>
              <w:rPr>
                <w:rFonts w:hint="eastAsia"/>
                <w:i/>
                <w:iCs/>
                <w:color w:val="auto"/>
                <w:sz w:val="24"/>
              </w:rPr>
              <w:t>L</w:t>
            </w:r>
            <w:r>
              <w:rPr>
                <w:rFonts w:hint="eastAsia"/>
                <w:i/>
                <w:iCs/>
                <w:color w:val="auto"/>
                <w:sz w:val="24"/>
                <w:vertAlign w:val="subscript"/>
              </w:rPr>
              <w:t>eqg</w:t>
            </w:r>
            <w:r>
              <w:rPr>
                <w:rFonts w:hint="eastAsia"/>
                <w:color w:val="auto"/>
                <w:sz w:val="24"/>
              </w:rPr>
              <w:t>）计算公式为：</w:t>
            </w:r>
          </w:p>
          <w:p w14:paraId="6AEF92FA">
            <w:pPr>
              <w:snapToGrid w:val="0"/>
              <w:spacing w:line="360" w:lineRule="auto"/>
              <w:ind w:firstLine="480" w:firstLineChars="200"/>
              <w:jc w:val="left"/>
              <w:rPr>
                <w:rFonts w:hint="eastAsia"/>
                <w:color w:val="auto"/>
                <w:sz w:val="24"/>
              </w:rPr>
            </w:pPr>
            <w:r>
              <w:rPr>
                <w:rFonts w:hint="eastAsia"/>
                <w:color w:val="auto"/>
                <w:position w:val="-32"/>
                <w:sz w:val="24"/>
              </w:rPr>
              <w:pict>
                <v:shape id="Object 233" o:spid="_x0000_s3488" o:spt="75" type="#_x0000_t75" style="position:absolute;left:0pt;margin-left:110.55pt;margin-top:13.2pt;height:38pt;width:206pt;z-index:251661312;mso-width-relative:page;mso-height-relative:page;" o:ole="t" filled="f" o:preferrelative="t" stroked="f" coordsize="21600,21600">
                  <v:path/>
                  <v:fill on="f" focussize="0,0"/>
                  <v:stroke on="f"/>
                  <v:imagedata r:id="rId23" o:title=""/>
                  <o:lock v:ext="edit" aspectratio="t"/>
                </v:shape>
                <o:OLEObject Type="Embed" ProgID="" ShapeID="Object 233" DrawAspect="Content" ObjectID="_1468075728" r:id="rId22">
                  <o:LockedField>false</o:LockedField>
                </o:OLEObject>
              </w:pict>
            </w:r>
          </w:p>
          <w:p w14:paraId="569345AC">
            <w:pPr>
              <w:snapToGrid w:val="0"/>
              <w:spacing w:line="360" w:lineRule="auto"/>
              <w:ind w:firstLine="480" w:firstLineChars="200"/>
              <w:jc w:val="left"/>
              <w:rPr>
                <w:rFonts w:hint="eastAsia"/>
                <w:color w:val="auto"/>
                <w:sz w:val="24"/>
              </w:rPr>
            </w:pPr>
          </w:p>
          <w:p w14:paraId="0C1032E5">
            <w:pPr>
              <w:snapToGrid w:val="0"/>
              <w:spacing w:line="360" w:lineRule="auto"/>
              <w:ind w:firstLine="480" w:firstLineChars="200"/>
              <w:jc w:val="left"/>
              <w:rPr>
                <w:rFonts w:hint="eastAsia"/>
                <w:color w:val="auto"/>
                <w:sz w:val="24"/>
              </w:rPr>
            </w:pPr>
            <w:r>
              <w:rPr>
                <w:rFonts w:hint="eastAsia"/>
                <w:color w:val="auto"/>
                <w:sz w:val="24"/>
              </w:rPr>
              <w:t>式中：</w:t>
            </w:r>
          </w:p>
          <w:p w14:paraId="49BA82A5">
            <w:pPr>
              <w:snapToGrid w:val="0"/>
              <w:spacing w:line="360" w:lineRule="auto"/>
              <w:ind w:firstLine="960" w:firstLineChars="400"/>
              <w:jc w:val="left"/>
              <w:rPr>
                <w:rFonts w:hint="eastAsia"/>
                <w:color w:val="auto"/>
                <w:sz w:val="24"/>
              </w:rPr>
            </w:pPr>
            <w:r>
              <w:rPr>
                <w:rFonts w:hint="eastAsia"/>
                <w:i/>
                <w:iCs/>
                <w:color w:val="auto"/>
                <w:sz w:val="24"/>
              </w:rPr>
              <w:t>L</w:t>
            </w:r>
            <w:r>
              <w:rPr>
                <w:rFonts w:hint="eastAsia"/>
                <w:i/>
                <w:iCs/>
                <w:color w:val="auto"/>
                <w:sz w:val="24"/>
                <w:vertAlign w:val="subscript"/>
              </w:rPr>
              <w:t>eqg</w:t>
            </w:r>
            <w:r>
              <w:rPr>
                <w:rFonts w:hint="eastAsia"/>
                <w:color w:val="auto"/>
                <w:sz w:val="24"/>
              </w:rPr>
              <w:t>——建项目声源对预测点产生的噪声贡献值，dB；</w:t>
            </w:r>
          </w:p>
          <w:p w14:paraId="7DB88297">
            <w:pPr>
              <w:pStyle w:val="32"/>
              <w:snapToGrid w:val="0"/>
              <w:spacing w:line="360" w:lineRule="auto"/>
              <w:ind w:firstLine="960" w:firstLineChars="400"/>
              <w:outlineLvl w:val="9"/>
              <w:rPr>
                <w:rFonts w:ascii="Times New Roman" w:hAnsi="Times New Roman" w:eastAsia="宋体" w:cs="Times New Roman"/>
                <w:b w:val="0"/>
                <w:bCs/>
                <w:color w:val="auto"/>
              </w:rPr>
            </w:pPr>
            <w:r>
              <w:rPr>
                <w:rFonts w:ascii="Times New Roman" w:hAnsi="Times New Roman" w:eastAsia="宋体" w:cs="Times New Roman"/>
                <w:b w:val="0"/>
                <w:bCs/>
                <w:i/>
                <w:iCs/>
                <w:color w:val="auto"/>
              </w:rPr>
              <w:t>L</w:t>
            </w:r>
            <w:r>
              <w:rPr>
                <w:rFonts w:ascii="Times New Roman" w:hAnsi="Times New Roman" w:eastAsia="宋体" w:cs="Times New Roman"/>
                <w:b w:val="0"/>
                <w:bCs/>
                <w:i/>
                <w:iCs/>
                <w:color w:val="auto"/>
                <w:vertAlign w:val="subscript"/>
              </w:rPr>
              <w:t>Ai</w:t>
            </w:r>
            <w:r>
              <w:rPr>
                <w:rFonts w:ascii="Times New Roman" w:hAnsi="Times New Roman" w:eastAsia="宋体" w:cs="Times New Roman"/>
                <w:b w:val="0"/>
                <w:bCs/>
                <w:color w:val="auto"/>
              </w:rPr>
              <w:t>——第</w:t>
            </w:r>
            <w:r>
              <w:rPr>
                <w:rFonts w:ascii="Times New Roman" w:hAnsi="Times New Roman" w:eastAsia="宋体" w:cs="Times New Roman"/>
                <w:b w:val="0"/>
                <w:bCs/>
                <w:i/>
                <w:iCs/>
                <w:color w:val="auto"/>
              </w:rPr>
              <w:t>i</w:t>
            </w:r>
            <w:r>
              <w:rPr>
                <w:rFonts w:ascii="Times New Roman" w:hAnsi="Times New Roman" w:eastAsia="宋体" w:cs="Times New Roman"/>
                <w:b w:val="0"/>
                <w:bCs/>
                <w:color w:val="auto"/>
              </w:rPr>
              <w:t>个室外声源在预测点产生的A声级，dB；</w:t>
            </w:r>
          </w:p>
          <w:p w14:paraId="7F386183">
            <w:pPr>
              <w:pStyle w:val="32"/>
              <w:snapToGrid w:val="0"/>
              <w:spacing w:line="360" w:lineRule="auto"/>
              <w:ind w:firstLine="960" w:firstLineChars="400"/>
              <w:outlineLvl w:val="9"/>
              <w:rPr>
                <w:rFonts w:ascii="Times New Roman" w:hAnsi="Times New Roman" w:eastAsia="宋体" w:cs="Times New Roman"/>
                <w:b w:val="0"/>
                <w:bCs/>
                <w:color w:val="auto"/>
              </w:rPr>
            </w:pPr>
            <w:r>
              <w:rPr>
                <w:rFonts w:ascii="Times New Roman" w:hAnsi="Times New Roman" w:eastAsia="宋体" w:cs="Times New Roman"/>
                <w:b w:val="0"/>
                <w:bCs/>
                <w:i/>
                <w:iCs/>
                <w:color w:val="auto"/>
              </w:rPr>
              <w:t>L</w:t>
            </w:r>
            <w:r>
              <w:rPr>
                <w:rFonts w:ascii="Times New Roman" w:hAnsi="Times New Roman" w:eastAsia="宋体" w:cs="Times New Roman"/>
                <w:b w:val="0"/>
                <w:bCs/>
                <w:i/>
                <w:iCs/>
                <w:color w:val="auto"/>
                <w:vertAlign w:val="subscript"/>
              </w:rPr>
              <w:t>Aj</w:t>
            </w:r>
            <w:r>
              <w:rPr>
                <w:rFonts w:ascii="Times New Roman" w:hAnsi="Times New Roman" w:eastAsia="宋体" w:cs="Times New Roman"/>
                <w:b w:val="0"/>
                <w:bCs/>
                <w:color w:val="auto"/>
              </w:rPr>
              <w:t>——第</w:t>
            </w:r>
            <w:r>
              <w:rPr>
                <w:rFonts w:ascii="Times New Roman" w:hAnsi="Times New Roman" w:eastAsia="宋体" w:cs="Times New Roman"/>
                <w:b w:val="0"/>
                <w:bCs/>
                <w:i/>
                <w:iCs/>
                <w:color w:val="auto"/>
              </w:rPr>
              <w:t>j</w:t>
            </w:r>
            <w:r>
              <w:rPr>
                <w:rFonts w:ascii="Times New Roman" w:hAnsi="Times New Roman" w:eastAsia="宋体" w:cs="Times New Roman"/>
                <w:b w:val="0"/>
                <w:bCs/>
                <w:color w:val="auto"/>
              </w:rPr>
              <w:t>个等效室外声源在预测点产生的A声级，dB；</w:t>
            </w:r>
          </w:p>
          <w:p w14:paraId="458C1ADC">
            <w:pPr>
              <w:pStyle w:val="32"/>
              <w:snapToGrid w:val="0"/>
              <w:spacing w:line="360" w:lineRule="auto"/>
              <w:ind w:firstLine="960" w:firstLineChars="400"/>
              <w:outlineLvl w:val="9"/>
              <w:rPr>
                <w:rFonts w:ascii="Times New Roman" w:hAnsi="Times New Roman" w:eastAsia="宋体" w:cs="Times New Roman"/>
                <w:b w:val="0"/>
                <w:bCs/>
                <w:color w:val="auto"/>
              </w:rPr>
            </w:pPr>
            <w:r>
              <w:rPr>
                <w:rFonts w:ascii="Times New Roman" w:hAnsi="Times New Roman" w:eastAsia="宋体" w:cs="Times New Roman"/>
                <w:b w:val="0"/>
                <w:bCs/>
                <w:i/>
                <w:iCs/>
                <w:color w:val="auto"/>
              </w:rPr>
              <w:t>T</w:t>
            </w:r>
            <w:r>
              <w:rPr>
                <w:rFonts w:ascii="Times New Roman" w:hAnsi="Times New Roman" w:eastAsia="宋体" w:cs="Times New Roman"/>
                <w:b w:val="0"/>
                <w:bCs/>
                <w:color w:val="auto"/>
              </w:rPr>
              <w:t>——用于计算等效声级的时间，s；</w:t>
            </w:r>
          </w:p>
          <w:p w14:paraId="05E11B97">
            <w:pPr>
              <w:pStyle w:val="32"/>
              <w:snapToGrid w:val="0"/>
              <w:spacing w:line="360" w:lineRule="auto"/>
              <w:ind w:firstLine="960" w:firstLineChars="400"/>
              <w:outlineLvl w:val="9"/>
              <w:rPr>
                <w:rFonts w:ascii="Times New Roman" w:hAnsi="Times New Roman" w:eastAsia="宋体" w:cs="Times New Roman"/>
                <w:b w:val="0"/>
                <w:bCs/>
                <w:color w:val="auto"/>
              </w:rPr>
            </w:pPr>
            <w:r>
              <w:rPr>
                <w:rFonts w:ascii="Times New Roman" w:hAnsi="Times New Roman" w:eastAsia="宋体" w:cs="Times New Roman"/>
                <w:b w:val="0"/>
                <w:bCs/>
                <w:i/>
                <w:iCs/>
                <w:color w:val="auto"/>
              </w:rPr>
              <w:t>N</w:t>
            </w:r>
            <w:r>
              <w:rPr>
                <w:rFonts w:ascii="Times New Roman" w:hAnsi="Times New Roman" w:eastAsia="宋体" w:cs="Times New Roman"/>
                <w:b w:val="0"/>
                <w:bCs/>
                <w:color w:val="auto"/>
              </w:rPr>
              <w:t>——室外声源个数；</w:t>
            </w:r>
          </w:p>
          <w:p w14:paraId="7A67CE8D">
            <w:pPr>
              <w:pStyle w:val="32"/>
              <w:snapToGrid w:val="0"/>
              <w:spacing w:line="360" w:lineRule="auto"/>
              <w:ind w:firstLine="960" w:firstLineChars="400"/>
              <w:outlineLvl w:val="9"/>
              <w:rPr>
                <w:rFonts w:ascii="Times New Roman" w:hAnsi="Times New Roman" w:eastAsia="宋体" w:cs="Times New Roman"/>
                <w:b w:val="0"/>
                <w:bCs/>
                <w:color w:val="auto"/>
              </w:rPr>
            </w:pPr>
            <w:r>
              <w:rPr>
                <w:rFonts w:ascii="Times New Roman" w:hAnsi="Times New Roman" w:eastAsia="宋体" w:cs="Times New Roman"/>
                <w:b w:val="0"/>
                <w:bCs/>
                <w:i/>
                <w:iCs/>
                <w:color w:val="auto"/>
              </w:rPr>
              <w:t>t</w:t>
            </w:r>
            <w:r>
              <w:rPr>
                <w:rFonts w:ascii="Times New Roman" w:hAnsi="Times New Roman" w:eastAsia="宋体" w:cs="Times New Roman"/>
                <w:b w:val="0"/>
                <w:bCs/>
                <w:i/>
                <w:iCs/>
                <w:color w:val="auto"/>
                <w:vertAlign w:val="subscript"/>
              </w:rPr>
              <w:t>i</w:t>
            </w:r>
            <w:r>
              <w:rPr>
                <w:rFonts w:ascii="Times New Roman" w:hAnsi="Times New Roman" w:eastAsia="宋体" w:cs="Times New Roman"/>
                <w:b w:val="0"/>
                <w:bCs/>
                <w:color w:val="auto"/>
              </w:rPr>
              <w:t>——在</w:t>
            </w:r>
            <w:r>
              <w:rPr>
                <w:rFonts w:ascii="Times New Roman" w:hAnsi="Times New Roman" w:eastAsia="宋体" w:cs="Times New Roman"/>
                <w:b w:val="0"/>
                <w:bCs/>
                <w:i/>
                <w:iCs/>
                <w:color w:val="auto"/>
              </w:rPr>
              <w:t>T</w:t>
            </w:r>
            <w:r>
              <w:rPr>
                <w:rFonts w:ascii="Times New Roman" w:hAnsi="Times New Roman" w:eastAsia="宋体" w:cs="Times New Roman"/>
                <w:b w:val="0"/>
                <w:bCs/>
                <w:color w:val="auto"/>
              </w:rPr>
              <w:t>时段内</w:t>
            </w:r>
            <w:r>
              <w:rPr>
                <w:rFonts w:ascii="Times New Roman" w:hAnsi="Times New Roman" w:eastAsia="宋体" w:cs="Times New Roman"/>
                <w:b w:val="0"/>
                <w:bCs/>
                <w:i/>
                <w:iCs/>
                <w:color w:val="auto"/>
              </w:rPr>
              <w:t>i</w:t>
            </w:r>
            <w:r>
              <w:rPr>
                <w:rFonts w:ascii="Times New Roman" w:hAnsi="Times New Roman" w:eastAsia="宋体" w:cs="Times New Roman"/>
                <w:b w:val="0"/>
                <w:bCs/>
                <w:color w:val="auto"/>
              </w:rPr>
              <w:t>声源的工作时间，s；</w:t>
            </w:r>
          </w:p>
          <w:p w14:paraId="73B6F0D2">
            <w:pPr>
              <w:pStyle w:val="32"/>
              <w:snapToGrid w:val="0"/>
              <w:spacing w:line="360" w:lineRule="auto"/>
              <w:ind w:firstLine="960" w:firstLineChars="400"/>
              <w:outlineLvl w:val="9"/>
              <w:rPr>
                <w:rFonts w:ascii="Times New Roman" w:hAnsi="Times New Roman" w:eastAsia="宋体" w:cs="Times New Roman"/>
                <w:b w:val="0"/>
                <w:bCs/>
                <w:color w:val="auto"/>
              </w:rPr>
            </w:pPr>
            <w:r>
              <w:rPr>
                <w:rFonts w:ascii="Times New Roman" w:hAnsi="Times New Roman" w:eastAsia="宋体" w:cs="Times New Roman"/>
                <w:b w:val="0"/>
                <w:bCs/>
                <w:i/>
                <w:iCs/>
                <w:color w:val="auto"/>
              </w:rPr>
              <w:t>M</w:t>
            </w:r>
            <w:r>
              <w:rPr>
                <w:rFonts w:ascii="Times New Roman" w:hAnsi="Times New Roman" w:eastAsia="宋体" w:cs="Times New Roman"/>
                <w:b w:val="0"/>
                <w:bCs/>
                <w:color w:val="auto"/>
              </w:rPr>
              <w:t>——等效室外声源个数；</w:t>
            </w:r>
          </w:p>
          <w:p w14:paraId="23DF9B39">
            <w:pPr>
              <w:pStyle w:val="32"/>
              <w:snapToGrid w:val="0"/>
              <w:spacing w:line="360" w:lineRule="auto"/>
              <w:ind w:firstLine="960" w:firstLineChars="400"/>
              <w:outlineLvl w:val="9"/>
              <w:rPr>
                <w:rFonts w:ascii="Times New Roman" w:hAnsi="Times New Roman" w:eastAsia="宋体" w:cs="Times New Roman"/>
                <w:b w:val="0"/>
                <w:bCs/>
                <w:color w:val="auto"/>
              </w:rPr>
            </w:pPr>
            <w:r>
              <w:rPr>
                <w:rFonts w:ascii="Times New Roman" w:hAnsi="Times New Roman" w:eastAsia="宋体" w:cs="Times New Roman"/>
                <w:b w:val="0"/>
                <w:bCs/>
                <w:i/>
                <w:iCs/>
                <w:color w:val="auto"/>
              </w:rPr>
              <w:t>t</w:t>
            </w:r>
            <w:r>
              <w:rPr>
                <w:rFonts w:ascii="Times New Roman" w:hAnsi="Times New Roman" w:eastAsia="宋体" w:cs="Times New Roman"/>
                <w:b w:val="0"/>
                <w:bCs/>
                <w:i/>
                <w:iCs/>
                <w:color w:val="auto"/>
                <w:vertAlign w:val="subscript"/>
              </w:rPr>
              <w:t>j</w:t>
            </w:r>
            <w:r>
              <w:rPr>
                <w:rFonts w:ascii="Times New Roman" w:hAnsi="Times New Roman" w:eastAsia="宋体" w:cs="Times New Roman"/>
                <w:b w:val="0"/>
                <w:bCs/>
                <w:color w:val="auto"/>
              </w:rPr>
              <w:t>——在</w:t>
            </w:r>
            <w:r>
              <w:rPr>
                <w:rFonts w:ascii="Times New Roman" w:hAnsi="Times New Roman" w:eastAsia="宋体" w:cs="Times New Roman"/>
                <w:b w:val="0"/>
                <w:bCs/>
                <w:i/>
                <w:iCs/>
                <w:color w:val="auto"/>
              </w:rPr>
              <w:t>T</w:t>
            </w:r>
            <w:r>
              <w:rPr>
                <w:rFonts w:ascii="Times New Roman" w:hAnsi="Times New Roman" w:eastAsia="宋体" w:cs="Times New Roman"/>
                <w:b w:val="0"/>
                <w:bCs/>
                <w:color w:val="auto"/>
              </w:rPr>
              <w:t>时段内</w:t>
            </w:r>
            <w:r>
              <w:rPr>
                <w:rFonts w:ascii="Times New Roman" w:hAnsi="Times New Roman" w:eastAsia="宋体" w:cs="Times New Roman"/>
                <w:b w:val="0"/>
                <w:bCs/>
                <w:i/>
                <w:iCs/>
                <w:color w:val="auto"/>
              </w:rPr>
              <w:t>j</w:t>
            </w:r>
            <w:r>
              <w:rPr>
                <w:rFonts w:ascii="Times New Roman" w:hAnsi="Times New Roman" w:eastAsia="宋体" w:cs="Times New Roman"/>
                <w:b w:val="0"/>
                <w:bCs/>
                <w:color w:val="auto"/>
              </w:rPr>
              <w:t>声源的工作时间，s；</w:t>
            </w:r>
          </w:p>
          <w:p w14:paraId="38409D79">
            <w:pPr>
              <w:pStyle w:val="32"/>
              <w:snapToGrid w:val="0"/>
              <w:spacing w:line="360" w:lineRule="auto"/>
              <w:ind w:firstLine="480" w:firstLineChars="200"/>
              <w:outlineLvl w:val="9"/>
              <w:rPr>
                <w:rFonts w:ascii="Times New Roman" w:hAnsi="Times New Roman" w:eastAsia="宋体" w:cs="Times New Roman"/>
                <w:b w:val="0"/>
                <w:bCs/>
                <w:color w:val="auto"/>
              </w:rPr>
            </w:pPr>
            <w:r>
              <w:rPr>
                <w:rFonts w:ascii="Times New Roman" w:hAnsi="Times New Roman" w:eastAsia="宋体" w:cs="Times New Roman"/>
                <w:b w:val="0"/>
                <w:bCs/>
                <w:color w:val="auto"/>
              </w:rPr>
              <w:t>②声传播衰减计算</w:t>
            </w:r>
          </w:p>
          <w:p w14:paraId="5F75A663">
            <w:pPr>
              <w:pStyle w:val="32"/>
              <w:snapToGrid w:val="0"/>
              <w:spacing w:line="360" w:lineRule="auto"/>
              <w:ind w:firstLine="480" w:firstLineChars="200"/>
              <w:outlineLvl w:val="9"/>
              <w:rPr>
                <w:rFonts w:ascii="Times New Roman" w:hAnsi="Times New Roman" w:eastAsia="宋体" w:cs="Times New Roman"/>
                <w:b w:val="0"/>
                <w:bCs/>
                <w:color w:val="auto"/>
              </w:rPr>
            </w:pPr>
            <w:r>
              <w:rPr>
                <w:rFonts w:ascii="Times New Roman" w:hAnsi="Times New Roman" w:eastAsia="宋体" w:cs="Times New Roman"/>
                <w:b w:val="0"/>
                <w:bCs/>
                <w:color w:val="auto"/>
              </w:rPr>
              <w:t>项目噪声源主要分布在室内。对于室内声源可采用等效室外声源声功率级法进行计算，按照HJ2.4-2021附录B中B.1.3方法计算出等效的室外声源声功率级。</w:t>
            </w:r>
          </w:p>
          <w:p w14:paraId="6337E754">
            <w:pPr>
              <w:pStyle w:val="32"/>
              <w:snapToGrid w:val="0"/>
              <w:spacing w:line="360" w:lineRule="auto"/>
              <w:ind w:firstLine="480" w:firstLineChars="200"/>
              <w:jc w:val="center"/>
              <w:outlineLvl w:val="9"/>
              <w:rPr>
                <w:rFonts w:hint="eastAsia" w:ascii="Times New Roman" w:hAnsi="Times New Roman" w:eastAsia="宋体" w:cs="Times New Roman"/>
                <w:b w:val="0"/>
                <w:bCs/>
                <w:color w:val="auto"/>
                <w:lang w:eastAsia="zh-CN"/>
              </w:rPr>
            </w:pPr>
            <w:r>
              <w:rPr>
                <w:rFonts w:hint="eastAsia" w:ascii="Times New Roman" w:hAnsi="Times New Roman" w:eastAsia="宋体" w:cs="Times New Roman"/>
                <w:b w:val="0"/>
                <w:bCs/>
                <w:color w:val="auto"/>
                <w:position w:val="-14"/>
                <w:lang w:eastAsia="zh-CN"/>
              </w:rPr>
              <w:object>
                <v:shape id="_x0000_i1028" o:spt="75" type="#_x0000_t75" style="height:19pt;width:96pt;" o:ole="t" filled="f" o:preferrelative="t" stroked="f" coordsize="21600,21600">
                  <v:path/>
                  <v:fill on="f" focussize="0,0"/>
                  <v:stroke on="f"/>
                  <v:imagedata r:id="rId25" o:title=""/>
                  <o:lock v:ext="edit" aspectratio="t"/>
                  <w10:wrap type="none"/>
                  <w10:anchorlock/>
                </v:shape>
                <o:OLEObject Type="Embed" ProgID="Equation.KSEE3" ShapeID="_x0000_i1028" DrawAspect="Content" ObjectID="_1468075729" r:id="rId24">
                  <o:LockedField>false</o:LockedField>
                </o:OLEObject>
              </w:object>
            </w:r>
          </w:p>
          <w:p w14:paraId="05052E02">
            <w:pPr>
              <w:adjustRightInd w:val="0"/>
              <w:snapToGrid w:val="0"/>
              <w:spacing w:line="360" w:lineRule="auto"/>
              <w:ind w:firstLine="480" w:firstLineChars="200"/>
              <w:rPr>
                <w:rFonts w:hint="eastAsia" w:ascii="Times New Roman" w:hAnsi="Times New Roman" w:eastAsia="宋体" w:cs="Times New Roman"/>
                <w:snapToGrid w:val="0"/>
                <w:color w:val="auto"/>
                <w:kern w:val="0"/>
                <w:sz w:val="24"/>
                <w:lang w:eastAsia="zh-CN"/>
              </w:rPr>
            </w:pPr>
            <w:r>
              <w:rPr>
                <w:rFonts w:hint="eastAsia" w:ascii="Times New Roman" w:hAnsi="Times New Roman" w:eastAsia="宋体" w:cs="Times New Roman"/>
                <w:snapToGrid w:val="0"/>
                <w:color w:val="auto"/>
                <w:kern w:val="0"/>
                <w:sz w:val="24"/>
                <w:lang w:eastAsia="zh-CN"/>
              </w:rPr>
              <w:t>式中：L</w:t>
            </w:r>
            <w:r>
              <w:rPr>
                <w:rFonts w:hint="eastAsia" w:ascii="Times New Roman" w:hAnsi="Times New Roman" w:eastAsia="宋体" w:cs="Times New Roman"/>
                <w:snapToGrid w:val="0"/>
                <w:color w:val="auto"/>
                <w:kern w:val="0"/>
                <w:sz w:val="24"/>
                <w:vertAlign w:val="subscript"/>
                <w:lang w:eastAsia="zh-CN"/>
              </w:rPr>
              <w:t>p1</w:t>
            </w:r>
            <w:r>
              <w:rPr>
                <w:rFonts w:hint="eastAsia" w:ascii="Times New Roman" w:hAnsi="Times New Roman" w:eastAsia="宋体" w:cs="Times New Roman"/>
                <w:snapToGrid w:val="0"/>
                <w:color w:val="auto"/>
                <w:kern w:val="0"/>
                <w:sz w:val="24"/>
                <w:lang w:eastAsia="zh-CN"/>
              </w:rPr>
              <w:t>—靠近开口处（或窗户）室内某倍频带的声压级或 A 声级，dB；</w:t>
            </w:r>
          </w:p>
          <w:p w14:paraId="1D41BD3B">
            <w:pPr>
              <w:adjustRightInd w:val="0"/>
              <w:snapToGrid w:val="0"/>
              <w:spacing w:line="360" w:lineRule="auto"/>
              <w:ind w:firstLine="1200" w:firstLineChars="500"/>
              <w:rPr>
                <w:rFonts w:hint="eastAsia" w:ascii="Times New Roman" w:hAnsi="Times New Roman" w:eastAsia="宋体" w:cs="Times New Roman"/>
                <w:snapToGrid w:val="0"/>
                <w:color w:val="auto"/>
                <w:kern w:val="0"/>
                <w:sz w:val="24"/>
                <w:lang w:eastAsia="zh-CN"/>
              </w:rPr>
            </w:pPr>
            <w:r>
              <w:rPr>
                <w:rFonts w:hint="eastAsia" w:ascii="Times New Roman" w:hAnsi="Times New Roman" w:eastAsia="宋体" w:cs="Times New Roman"/>
                <w:snapToGrid w:val="0"/>
                <w:color w:val="auto"/>
                <w:kern w:val="0"/>
                <w:sz w:val="24"/>
                <w:lang w:eastAsia="zh-CN"/>
              </w:rPr>
              <w:t>L</w:t>
            </w:r>
            <w:r>
              <w:rPr>
                <w:rFonts w:hint="eastAsia" w:ascii="Times New Roman" w:hAnsi="Times New Roman" w:eastAsia="宋体" w:cs="Times New Roman"/>
                <w:snapToGrid w:val="0"/>
                <w:color w:val="auto"/>
                <w:kern w:val="0"/>
                <w:sz w:val="24"/>
                <w:vertAlign w:val="subscript"/>
                <w:lang w:eastAsia="zh-CN"/>
              </w:rPr>
              <w:t>p2</w:t>
            </w:r>
            <w:r>
              <w:rPr>
                <w:rFonts w:hint="eastAsia" w:ascii="Times New Roman" w:hAnsi="Times New Roman" w:eastAsia="宋体" w:cs="Times New Roman"/>
                <w:snapToGrid w:val="0"/>
                <w:color w:val="auto"/>
                <w:kern w:val="0"/>
                <w:sz w:val="24"/>
                <w:lang w:eastAsia="zh-CN"/>
              </w:rPr>
              <w:t>—靠近开口处（或窗户）室外某倍频带的声压级或 A 声级，dB；</w:t>
            </w:r>
          </w:p>
          <w:p w14:paraId="1D6F0067">
            <w:pPr>
              <w:adjustRightInd w:val="0"/>
              <w:snapToGrid w:val="0"/>
              <w:spacing w:line="360" w:lineRule="auto"/>
              <w:ind w:firstLine="1200" w:firstLineChars="500"/>
              <w:rPr>
                <w:rFonts w:hint="eastAsia" w:ascii="Times New Roman" w:hAnsi="Times New Roman" w:eastAsia="宋体" w:cs="Times New Roman"/>
                <w:snapToGrid w:val="0"/>
                <w:color w:val="auto"/>
                <w:kern w:val="0"/>
                <w:sz w:val="24"/>
                <w:lang w:eastAsia="zh-CN"/>
              </w:rPr>
            </w:pPr>
            <w:r>
              <w:rPr>
                <w:rFonts w:hint="eastAsia" w:ascii="Times New Roman" w:hAnsi="Times New Roman" w:eastAsia="宋体" w:cs="Times New Roman"/>
                <w:snapToGrid w:val="0"/>
                <w:color w:val="auto"/>
                <w:kern w:val="0"/>
                <w:sz w:val="24"/>
                <w:lang w:eastAsia="zh-CN"/>
              </w:rPr>
              <w:t>TL—隔墙（或窗户）倍频带或 A 声级的隔声量，dB。</w:t>
            </w:r>
          </w:p>
          <w:p w14:paraId="7383B530">
            <w:pPr>
              <w:pStyle w:val="32"/>
              <w:snapToGrid w:val="0"/>
              <w:spacing w:line="360" w:lineRule="auto"/>
              <w:ind w:firstLine="480" w:firstLineChars="200"/>
              <w:outlineLvl w:val="9"/>
              <w:rPr>
                <w:rFonts w:ascii="Times New Roman" w:hAnsi="Times New Roman" w:eastAsia="宋体" w:cs="Times New Roman"/>
                <w:b w:val="0"/>
                <w:bCs/>
                <w:color w:val="auto"/>
              </w:rPr>
            </w:pPr>
            <w:r>
              <w:rPr>
                <w:rFonts w:ascii="Times New Roman" w:hAnsi="Times New Roman" w:eastAsia="宋体" w:cs="Times New Roman"/>
                <w:b w:val="0"/>
                <w:bCs/>
                <w:color w:val="auto"/>
              </w:rPr>
              <w:t>项目厂区较大，声源均可视为点声源，按照点声源几何发散衰减模式进行计算，公式如下：</w:t>
            </w:r>
          </w:p>
          <w:p w14:paraId="24CDD3A5">
            <w:pPr>
              <w:rPr>
                <w:rFonts w:hint="eastAsia"/>
                <w:color w:val="auto"/>
              </w:rPr>
            </w:pPr>
          </w:p>
          <w:p w14:paraId="35C7D675">
            <w:pPr>
              <w:pStyle w:val="32"/>
              <w:snapToGrid w:val="0"/>
              <w:spacing w:line="360" w:lineRule="auto"/>
              <w:jc w:val="center"/>
              <w:outlineLvl w:val="9"/>
              <w:rPr>
                <w:rFonts w:ascii="Times New Roman" w:hAnsi="Times New Roman" w:eastAsia="宋体" w:cs="Times New Roman"/>
                <w:b w:val="0"/>
                <w:bCs/>
                <w:color w:val="auto"/>
              </w:rPr>
            </w:pPr>
            <w:r>
              <w:rPr>
                <w:rFonts w:ascii="Times New Roman" w:hAnsi="Times New Roman"/>
                <w:snapToGrid w:val="0"/>
                <w:color w:val="auto"/>
                <w:kern w:val="0"/>
                <w:position w:val="-12"/>
              </w:rPr>
              <w:object>
                <v:shape id="_x0000_i1029" o:spt="75" type="#_x0000_t75" style="height:18pt;width:101pt;" o:ole="t" filled="f" o:preferrelative="t" stroked="f" coordsize="21600,21600">
                  <v:path/>
                  <v:fill on="f" focussize="0,0"/>
                  <v:stroke on="f"/>
                  <v:imagedata r:id="rId27" o:title=""/>
                  <o:lock v:ext="edit" aspectratio="t"/>
                  <w10:wrap type="none"/>
                  <w10:anchorlock/>
                </v:shape>
                <o:OLEObject Type="Embed" ProgID="Equation.KSEE3" ShapeID="_x0000_i1029" DrawAspect="Content" ObjectID="_1468075730" r:id="rId26">
                  <o:LockedField>false</o:LockedField>
                </o:OLEObject>
              </w:object>
            </w:r>
          </w:p>
          <w:p w14:paraId="28416F47">
            <w:pPr>
              <w:adjustRightInd w:val="0"/>
              <w:snapToGrid w:val="0"/>
              <w:spacing w:line="360" w:lineRule="auto"/>
              <w:ind w:firstLine="480" w:firstLineChars="200"/>
              <w:rPr>
                <w:snapToGrid w:val="0"/>
                <w:color w:val="auto"/>
                <w:kern w:val="0"/>
                <w:sz w:val="24"/>
              </w:rPr>
            </w:pPr>
            <w:r>
              <w:rPr>
                <w:snapToGrid w:val="0"/>
                <w:color w:val="auto"/>
                <w:kern w:val="0"/>
                <w:sz w:val="24"/>
              </w:rPr>
              <w:t>式中：</w:t>
            </w:r>
            <w:r>
              <w:rPr>
                <w:i/>
                <w:iCs/>
                <w:snapToGrid w:val="0"/>
                <w:color w:val="auto"/>
                <w:kern w:val="0"/>
                <w:sz w:val="24"/>
              </w:rPr>
              <w:t>L</w:t>
            </w:r>
            <w:r>
              <w:rPr>
                <w:i/>
                <w:iCs/>
                <w:snapToGrid w:val="0"/>
                <w:color w:val="auto"/>
                <w:kern w:val="0"/>
                <w:sz w:val="24"/>
                <w:vertAlign w:val="subscript"/>
              </w:rPr>
              <w:t>r0</w:t>
            </w:r>
            <w:r>
              <w:rPr>
                <w:snapToGrid w:val="0"/>
                <w:color w:val="auto"/>
                <w:kern w:val="0"/>
                <w:sz w:val="24"/>
              </w:rPr>
              <w:t>—距声源的</w:t>
            </w:r>
            <w:r>
              <w:rPr>
                <w:i/>
                <w:iCs/>
                <w:snapToGrid w:val="0"/>
                <w:color w:val="auto"/>
                <w:kern w:val="0"/>
                <w:sz w:val="24"/>
              </w:rPr>
              <w:t>r</w:t>
            </w:r>
            <w:r>
              <w:rPr>
                <w:i/>
                <w:iCs/>
                <w:snapToGrid w:val="0"/>
                <w:color w:val="auto"/>
                <w:kern w:val="0"/>
                <w:sz w:val="24"/>
                <w:vertAlign w:val="subscript"/>
              </w:rPr>
              <w:t>0</w:t>
            </w:r>
            <w:r>
              <w:rPr>
                <w:snapToGrid w:val="0"/>
                <w:color w:val="auto"/>
                <w:kern w:val="0"/>
                <w:sz w:val="24"/>
              </w:rPr>
              <w:t>处的噪声值，dB(A)；</w:t>
            </w:r>
          </w:p>
          <w:p w14:paraId="1BFAC52F">
            <w:pPr>
              <w:adjustRightInd w:val="0"/>
              <w:snapToGrid w:val="0"/>
              <w:spacing w:line="360" w:lineRule="auto"/>
              <w:ind w:firstLine="1200" w:firstLineChars="500"/>
              <w:rPr>
                <w:snapToGrid w:val="0"/>
                <w:color w:val="auto"/>
                <w:kern w:val="0"/>
                <w:sz w:val="24"/>
              </w:rPr>
            </w:pPr>
            <w:r>
              <w:rPr>
                <w:i/>
                <w:iCs/>
                <w:snapToGrid w:val="0"/>
                <w:color w:val="auto"/>
                <w:kern w:val="0"/>
                <w:sz w:val="24"/>
              </w:rPr>
              <w:t>r</w:t>
            </w:r>
            <w:r>
              <w:rPr>
                <w:snapToGrid w:val="0"/>
                <w:color w:val="auto"/>
                <w:kern w:val="0"/>
                <w:sz w:val="24"/>
              </w:rPr>
              <w:t>—关心点距声源的距离，m；</w:t>
            </w:r>
          </w:p>
          <w:p w14:paraId="6BC3816A">
            <w:pPr>
              <w:adjustRightInd w:val="0"/>
              <w:snapToGrid w:val="0"/>
              <w:spacing w:line="360" w:lineRule="auto"/>
              <w:ind w:firstLine="1200" w:firstLineChars="500"/>
              <w:rPr>
                <w:snapToGrid w:val="0"/>
                <w:color w:val="auto"/>
                <w:kern w:val="0"/>
                <w:sz w:val="24"/>
              </w:rPr>
            </w:pPr>
            <w:r>
              <w:rPr>
                <w:i/>
                <w:iCs/>
                <w:snapToGrid w:val="0"/>
                <w:color w:val="auto"/>
                <w:kern w:val="0"/>
                <w:sz w:val="24"/>
              </w:rPr>
              <w:t>L</w:t>
            </w:r>
            <w:r>
              <w:rPr>
                <w:i/>
                <w:iCs/>
                <w:snapToGrid w:val="0"/>
                <w:color w:val="auto"/>
                <w:kern w:val="0"/>
                <w:sz w:val="24"/>
                <w:vertAlign w:val="subscript"/>
              </w:rPr>
              <w:t>r</w:t>
            </w:r>
            <w:r>
              <w:rPr>
                <w:snapToGrid w:val="0"/>
                <w:color w:val="auto"/>
                <w:kern w:val="0"/>
                <w:sz w:val="24"/>
              </w:rPr>
              <w:t>—距噪声源距离为r处的噪声值，dB(A)。</w:t>
            </w:r>
          </w:p>
          <w:p w14:paraId="2CBCF49D">
            <w:pPr>
              <w:snapToGrid w:val="0"/>
              <w:spacing w:line="360" w:lineRule="auto"/>
              <w:ind w:firstLine="480" w:firstLineChars="200"/>
              <w:jc w:val="left"/>
              <w:rPr>
                <w:rFonts w:hint="eastAsia"/>
                <w:color w:val="auto"/>
                <w:sz w:val="24"/>
              </w:rPr>
            </w:pPr>
            <w:r>
              <w:rPr>
                <w:rFonts w:hint="eastAsia"/>
                <w:color w:val="auto"/>
                <w:sz w:val="24"/>
              </w:rPr>
              <w:t>根据项目特点，项目高噪声设备运行时间均为8h/d，均为昼间运行，夜间无噪声产生。经计算，项目噪声源对厂界噪声值预测情况见下表。</w:t>
            </w:r>
          </w:p>
          <w:p w14:paraId="782DA910">
            <w:pPr>
              <w:pStyle w:val="46"/>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eastAsia" w:ascii="Times New Roman" w:hAnsi="Arial Unicode MS" w:eastAsia="宋体" w:cs="Times New Roman"/>
                <w:b/>
                <w:color w:val="auto"/>
                <w:kern w:val="2"/>
                <w:sz w:val="24"/>
                <w:szCs w:val="24"/>
                <w:lang w:val="en-US" w:eastAsia="zh-CN" w:bidi="ar-SA"/>
              </w:rPr>
            </w:pPr>
            <w:r>
              <w:rPr>
                <w:rFonts w:hint="eastAsia" w:ascii="Times New Roman" w:hAnsi="Arial Unicode MS" w:eastAsia="宋体" w:cs="Times New Roman"/>
                <w:b/>
                <w:color w:val="auto"/>
                <w:kern w:val="2"/>
                <w:sz w:val="24"/>
                <w:szCs w:val="24"/>
                <w:lang w:val="en-US" w:eastAsia="zh-CN" w:bidi="ar-SA"/>
              </w:rPr>
              <w:t>项目厂界噪声预测结果一览表    单位：dB(A)</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6"/>
              <w:gridCol w:w="1026"/>
              <w:gridCol w:w="1652"/>
              <w:gridCol w:w="1454"/>
              <w:gridCol w:w="1317"/>
              <w:gridCol w:w="982"/>
              <w:gridCol w:w="981"/>
            </w:tblGrid>
            <w:tr w14:paraId="1C0C8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exact"/>
                <w:jc w:val="center"/>
              </w:trPr>
              <w:tc>
                <w:tcPr>
                  <w:tcW w:w="704" w:type="pct"/>
                  <w:vMerge w:val="restart"/>
                  <w:noWrap w:val="0"/>
                  <w:vAlign w:val="center"/>
                </w:tcPr>
                <w:p w14:paraId="7E1DF228">
                  <w:pPr>
                    <w:jc w:val="center"/>
                    <w:rPr>
                      <w:rFonts w:ascii="Times New Roman" w:hAnsi="Times New Roman" w:eastAsia="宋体" w:cs="Times New Roman"/>
                      <w:b/>
                      <w:bCs/>
                      <w:color w:val="auto"/>
                      <w:sz w:val="21"/>
                      <w:szCs w:val="21"/>
                      <w:u w:val="single"/>
                    </w:rPr>
                  </w:pPr>
                  <w:r>
                    <w:rPr>
                      <w:rFonts w:ascii="Times New Roman" w:hAnsi="Times New Roman" w:eastAsia="宋体" w:cs="Times New Roman"/>
                      <w:b/>
                      <w:bCs/>
                      <w:color w:val="auto"/>
                      <w:sz w:val="21"/>
                      <w:szCs w:val="21"/>
                      <w:u w:val="single"/>
                    </w:rPr>
                    <w:t>预测方位</w:t>
                  </w:r>
                </w:p>
              </w:tc>
              <w:tc>
                <w:tcPr>
                  <w:tcW w:w="594" w:type="pct"/>
                  <w:vMerge w:val="restart"/>
                  <w:noWrap w:val="0"/>
                  <w:vAlign w:val="center"/>
                </w:tcPr>
                <w:p w14:paraId="10E183EF">
                  <w:pPr>
                    <w:jc w:val="center"/>
                    <w:rPr>
                      <w:rFonts w:ascii="Times New Roman" w:hAnsi="Times New Roman" w:eastAsia="宋体" w:cs="Times New Roman"/>
                      <w:b/>
                      <w:bCs/>
                      <w:color w:val="auto"/>
                      <w:sz w:val="21"/>
                      <w:szCs w:val="21"/>
                      <w:u w:val="single"/>
                    </w:rPr>
                  </w:pPr>
                  <w:r>
                    <w:rPr>
                      <w:rFonts w:ascii="Times New Roman" w:hAnsi="Times New Roman" w:eastAsia="宋体" w:cs="Times New Roman"/>
                      <w:b/>
                      <w:bCs/>
                      <w:color w:val="auto"/>
                      <w:sz w:val="21"/>
                      <w:szCs w:val="21"/>
                      <w:u w:val="single"/>
                    </w:rPr>
                    <w:t>时段</w:t>
                  </w:r>
                </w:p>
              </w:tc>
              <w:tc>
                <w:tcPr>
                  <w:tcW w:w="957" w:type="pct"/>
                  <w:vMerge w:val="restart"/>
                  <w:noWrap w:val="0"/>
                  <w:vAlign w:val="center"/>
                </w:tcPr>
                <w:p w14:paraId="7F732424">
                  <w:pPr>
                    <w:jc w:val="center"/>
                    <w:rPr>
                      <w:rFonts w:ascii="Times New Roman" w:hAnsi="Times New Roman" w:eastAsia="宋体" w:cs="Times New Roman"/>
                      <w:b/>
                      <w:bCs/>
                      <w:color w:val="auto"/>
                      <w:sz w:val="21"/>
                      <w:szCs w:val="21"/>
                      <w:u w:val="single"/>
                    </w:rPr>
                  </w:pPr>
                  <w:r>
                    <w:rPr>
                      <w:rFonts w:hint="eastAsia" w:ascii="Times New Roman" w:hAnsi="Times New Roman" w:eastAsia="宋体" w:cs="Times New Roman"/>
                      <w:b/>
                      <w:bCs/>
                      <w:color w:val="auto"/>
                      <w:sz w:val="21"/>
                      <w:szCs w:val="21"/>
                      <w:u w:val="single"/>
                    </w:rPr>
                    <w:t>贡献值</w:t>
                  </w:r>
                  <w:r>
                    <w:rPr>
                      <w:rFonts w:ascii="Times New Roman" w:hAnsi="Times New Roman" w:eastAsia="宋体" w:cs="Times New Roman"/>
                      <w:b/>
                      <w:bCs/>
                      <w:color w:val="auto"/>
                      <w:sz w:val="21"/>
                      <w:szCs w:val="21"/>
                      <w:u w:val="single"/>
                    </w:rPr>
                    <w:t>dB(A)</w:t>
                  </w:r>
                </w:p>
              </w:tc>
              <w:tc>
                <w:tcPr>
                  <w:tcW w:w="842" w:type="pct"/>
                  <w:vMerge w:val="restart"/>
                  <w:noWrap w:val="0"/>
                  <w:vAlign w:val="center"/>
                </w:tcPr>
                <w:p w14:paraId="680E3891">
                  <w:pPr>
                    <w:jc w:val="center"/>
                    <w:rPr>
                      <w:rFonts w:hint="eastAsia" w:ascii="Times New Roman" w:hAnsi="Times New Roman" w:eastAsia="宋体" w:cs="Times New Roman"/>
                      <w:b/>
                      <w:bCs/>
                      <w:color w:val="auto"/>
                      <w:sz w:val="21"/>
                      <w:szCs w:val="21"/>
                      <w:u w:val="single"/>
                      <w:lang w:val="en-US" w:eastAsia="zh-CN"/>
                    </w:rPr>
                  </w:pPr>
                  <w:r>
                    <w:rPr>
                      <w:rFonts w:hint="eastAsia" w:ascii="Times New Roman" w:hAnsi="Times New Roman" w:eastAsia="宋体" w:cs="Times New Roman"/>
                      <w:b/>
                      <w:bCs/>
                      <w:color w:val="auto"/>
                      <w:sz w:val="21"/>
                      <w:szCs w:val="21"/>
                      <w:u w:val="single"/>
                      <w:lang w:val="en-US" w:eastAsia="zh-CN"/>
                    </w:rPr>
                    <w:t>现状值</w:t>
                  </w:r>
                  <w:r>
                    <w:rPr>
                      <w:rFonts w:ascii="Times New Roman" w:hAnsi="Times New Roman" w:eastAsia="宋体" w:cs="Times New Roman"/>
                      <w:b/>
                      <w:bCs/>
                      <w:color w:val="auto"/>
                      <w:sz w:val="21"/>
                      <w:szCs w:val="21"/>
                      <w:u w:val="single"/>
                    </w:rPr>
                    <w:t>dB(A)</w:t>
                  </w:r>
                </w:p>
              </w:tc>
              <w:tc>
                <w:tcPr>
                  <w:tcW w:w="763" w:type="pct"/>
                  <w:vMerge w:val="restart"/>
                  <w:noWrap w:val="0"/>
                  <w:vAlign w:val="center"/>
                </w:tcPr>
                <w:p w14:paraId="06EB49CC">
                  <w:pPr>
                    <w:jc w:val="center"/>
                    <w:rPr>
                      <w:rFonts w:ascii="Times New Roman" w:hAnsi="Times New Roman" w:eastAsia="宋体" w:cs="Times New Roman"/>
                      <w:b/>
                      <w:bCs/>
                      <w:color w:val="auto"/>
                      <w:sz w:val="21"/>
                      <w:szCs w:val="21"/>
                      <w:u w:val="single"/>
                    </w:rPr>
                  </w:pPr>
                  <w:r>
                    <w:rPr>
                      <w:b/>
                      <w:bCs/>
                      <w:color w:val="auto"/>
                      <w:szCs w:val="21"/>
                      <w:highlight w:val="none"/>
                      <w:u w:val="single"/>
                    </w:rPr>
                    <w:t>预测值</w:t>
                  </w:r>
                  <w:r>
                    <w:rPr>
                      <w:rFonts w:ascii="Times New Roman" w:hAnsi="Times New Roman" w:eastAsia="宋体" w:cs="Times New Roman"/>
                      <w:b/>
                      <w:bCs/>
                      <w:color w:val="auto"/>
                      <w:sz w:val="21"/>
                      <w:szCs w:val="21"/>
                      <w:u w:val="single"/>
                    </w:rPr>
                    <w:t>dB(A)</w:t>
                  </w:r>
                </w:p>
              </w:tc>
              <w:tc>
                <w:tcPr>
                  <w:tcW w:w="569" w:type="pct"/>
                  <w:vMerge w:val="restart"/>
                  <w:noWrap w:val="0"/>
                  <w:vAlign w:val="center"/>
                </w:tcPr>
                <w:p w14:paraId="012CA05E">
                  <w:pPr>
                    <w:jc w:val="center"/>
                    <w:rPr>
                      <w:rFonts w:ascii="Times New Roman" w:hAnsi="Times New Roman" w:eastAsia="宋体" w:cs="Times New Roman"/>
                      <w:b/>
                      <w:bCs/>
                      <w:color w:val="auto"/>
                      <w:sz w:val="21"/>
                      <w:szCs w:val="21"/>
                      <w:u w:val="single"/>
                    </w:rPr>
                  </w:pPr>
                  <w:r>
                    <w:rPr>
                      <w:b/>
                      <w:bCs/>
                      <w:color w:val="auto"/>
                      <w:szCs w:val="21"/>
                      <w:u w:val="single"/>
                    </w:rPr>
                    <w:t>标准值</w:t>
                  </w:r>
                </w:p>
              </w:tc>
              <w:tc>
                <w:tcPr>
                  <w:tcW w:w="568" w:type="pct"/>
                  <w:vMerge w:val="restart"/>
                  <w:noWrap w:val="0"/>
                  <w:vAlign w:val="center"/>
                </w:tcPr>
                <w:p w14:paraId="59145985">
                  <w:pPr>
                    <w:jc w:val="center"/>
                    <w:rPr>
                      <w:rFonts w:ascii="Times New Roman" w:hAnsi="Times New Roman" w:eastAsia="宋体" w:cs="Times New Roman"/>
                      <w:b/>
                      <w:bCs/>
                      <w:color w:val="auto"/>
                      <w:sz w:val="21"/>
                      <w:szCs w:val="21"/>
                      <w:u w:val="single"/>
                    </w:rPr>
                  </w:pPr>
                  <w:r>
                    <w:rPr>
                      <w:rFonts w:ascii="Times New Roman" w:hAnsi="Times New Roman" w:eastAsia="宋体" w:cs="Times New Roman"/>
                      <w:b/>
                      <w:bCs/>
                      <w:color w:val="auto"/>
                      <w:sz w:val="21"/>
                      <w:szCs w:val="21"/>
                      <w:u w:val="single"/>
                    </w:rPr>
                    <w:t>达标情况</w:t>
                  </w:r>
                </w:p>
              </w:tc>
            </w:tr>
            <w:tr w14:paraId="02104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04" w:type="pct"/>
                  <w:vMerge w:val="continue"/>
                  <w:shd w:val="clear" w:color="auto" w:fill="FFFFFF"/>
                  <w:noWrap w:val="0"/>
                  <w:vAlign w:val="center"/>
                </w:tcPr>
                <w:p w14:paraId="17800D40">
                  <w:pPr>
                    <w:jc w:val="center"/>
                    <w:rPr>
                      <w:rFonts w:ascii="Times New Roman" w:hAnsi="Times New Roman" w:eastAsia="宋体" w:cs="Times New Roman"/>
                      <w:b/>
                      <w:bCs/>
                      <w:color w:val="auto"/>
                      <w:sz w:val="21"/>
                      <w:szCs w:val="21"/>
                      <w:u w:val="single"/>
                    </w:rPr>
                  </w:pPr>
                </w:p>
              </w:tc>
              <w:tc>
                <w:tcPr>
                  <w:tcW w:w="594" w:type="pct"/>
                  <w:vMerge w:val="continue"/>
                  <w:shd w:val="clear" w:color="auto" w:fill="FFFFFF"/>
                  <w:noWrap w:val="0"/>
                  <w:vAlign w:val="center"/>
                </w:tcPr>
                <w:p w14:paraId="793C1527">
                  <w:pPr>
                    <w:jc w:val="center"/>
                    <w:rPr>
                      <w:rFonts w:ascii="Times New Roman" w:hAnsi="Times New Roman" w:eastAsia="宋体" w:cs="Times New Roman"/>
                      <w:b/>
                      <w:bCs/>
                      <w:color w:val="auto"/>
                      <w:sz w:val="21"/>
                      <w:szCs w:val="21"/>
                      <w:u w:val="single"/>
                    </w:rPr>
                  </w:pPr>
                </w:p>
              </w:tc>
              <w:tc>
                <w:tcPr>
                  <w:tcW w:w="957" w:type="pct"/>
                  <w:vMerge w:val="continue"/>
                  <w:shd w:val="clear" w:color="auto" w:fill="FFFFFF"/>
                  <w:noWrap w:val="0"/>
                  <w:vAlign w:val="center"/>
                </w:tcPr>
                <w:p w14:paraId="6AEFA157">
                  <w:pPr>
                    <w:jc w:val="center"/>
                    <w:rPr>
                      <w:rFonts w:ascii="Times New Roman" w:hAnsi="Times New Roman" w:eastAsia="宋体" w:cs="Times New Roman"/>
                      <w:b/>
                      <w:bCs/>
                      <w:color w:val="auto"/>
                      <w:sz w:val="21"/>
                      <w:szCs w:val="21"/>
                      <w:u w:val="single"/>
                    </w:rPr>
                  </w:pPr>
                </w:p>
              </w:tc>
              <w:tc>
                <w:tcPr>
                  <w:tcW w:w="842" w:type="pct"/>
                  <w:vMerge w:val="continue"/>
                  <w:shd w:val="clear" w:color="auto" w:fill="FFFFFF"/>
                  <w:noWrap w:val="0"/>
                  <w:vAlign w:val="center"/>
                </w:tcPr>
                <w:p w14:paraId="7F7281B6">
                  <w:pPr>
                    <w:jc w:val="center"/>
                    <w:rPr>
                      <w:rFonts w:ascii="Times New Roman" w:hAnsi="Times New Roman" w:eastAsia="宋体" w:cs="Times New Roman"/>
                      <w:b/>
                      <w:bCs/>
                      <w:color w:val="auto"/>
                      <w:sz w:val="21"/>
                      <w:szCs w:val="21"/>
                      <w:u w:val="single"/>
                    </w:rPr>
                  </w:pPr>
                </w:p>
              </w:tc>
              <w:tc>
                <w:tcPr>
                  <w:tcW w:w="763" w:type="pct"/>
                  <w:vMerge w:val="continue"/>
                  <w:shd w:val="clear" w:color="auto" w:fill="FFFFFF"/>
                  <w:noWrap w:val="0"/>
                  <w:vAlign w:val="center"/>
                </w:tcPr>
                <w:p w14:paraId="3145EC69">
                  <w:pPr>
                    <w:jc w:val="center"/>
                    <w:rPr>
                      <w:rFonts w:ascii="Times New Roman" w:hAnsi="Times New Roman" w:eastAsia="宋体" w:cs="Times New Roman"/>
                      <w:b/>
                      <w:bCs/>
                      <w:color w:val="auto"/>
                      <w:sz w:val="21"/>
                      <w:szCs w:val="21"/>
                      <w:u w:val="single"/>
                    </w:rPr>
                  </w:pPr>
                </w:p>
              </w:tc>
              <w:tc>
                <w:tcPr>
                  <w:tcW w:w="569" w:type="pct"/>
                  <w:vMerge w:val="continue"/>
                  <w:shd w:val="clear" w:color="auto" w:fill="FFFFFF"/>
                  <w:noWrap w:val="0"/>
                  <w:vAlign w:val="center"/>
                </w:tcPr>
                <w:p w14:paraId="7C77FEF4">
                  <w:pPr>
                    <w:jc w:val="center"/>
                    <w:rPr>
                      <w:rFonts w:ascii="Times New Roman" w:hAnsi="Times New Roman" w:eastAsia="宋体" w:cs="Times New Roman"/>
                      <w:b/>
                      <w:bCs/>
                      <w:color w:val="auto"/>
                      <w:sz w:val="21"/>
                      <w:szCs w:val="21"/>
                      <w:u w:val="single"/>
                    </w:rPr>
                  </w:pPr>
                </w:p>
              </w:tc>
              <w:tc>
                <w:tcPr>
                  <w:tcW w:w="568" w:type="pct"/>
                  <w:vMerge w:val="continue"/>
                  <w:shd w:val="clear" w:color="auto" w:fill="FFFFFF"/>
                  <w:noWrap w:val="0"/>
                  <w:vAlign w:val="center"/>
                </w:tcPr>
                <w:p w14:paraId="158F9D8B">
                  <w:pPr>
                    <w:jc w:val="center"/>
                    <w:rPr>
                      <w:rFonts w:ascii="Times New Roman" w:hAnsi="Times New Roman" w:eastAsia="宋体" w:cs="Times New Roman"/>
                      <w:b/>
                      <w:bCs/>
                      <w:color w:val="auto"/>
                      <w:sz w:val="21"/>
                      <w:szCs w:val="21"/>
                      <w:u w:val="single"/>
                    </w:rPr>
                  </w:pPr>
                </w:p>
              </w:tc>
            </w:tr>
            <w:tr w14:paraId="79DB8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33" w:hRule="exact"/>
                <w:jc w:val="center"/>
              </w:trPr>
              <w:tc>
                <w:tcPr>
                  <w:tcW w:w="704" w:type="pct"/>
                  <w:vMerge w:val="restart"/>
                  <w:shd w:val="clear" w:color="auto" w:fill="auto"/>
                  <w:noWrap w:val="0"/>
                  <w:vAlign w:val="center"/>
                </w:tcPr>
                <w:p w14:paraId="4D730CEE">
                  <w:pPr>
                    <w:jc w:val="center"/>
                    <w:rPr>
                      <w:rFonts w:hint="eastAsia" w:ascii="Times New Roman" w:hAnsi="Times New Roman" w:eastAsia="宋体" w:cs="Times New Roman"/>
                      <w:b/>
                      <w:bCs/>
                      <w:color w:val="auto"/>
                      <w:sz w:val="21"/>
                      <w:szCs w:val="21"/>
                      <w:u w:val="single"/>
                      <w:lang w:eastAsia="zh-CN"/>
                    </w:rPr>
                  </w:pPr>
                  <w:r>
                    <w:rPr>
                      <w:rFonts w:hint="default" w:ascii="Times New Roman" w:hAnsi="Times New Roman" w:eastAsia="Arial" w:cs="Times New Roman"/>
                      <w:b/>
                      <w:bCs/>
                      <w:color w:val="auto"/>
                      <w:sz w:val="21"/>
                      <w:szCs w:val="21"/>
                      <w:u w:val="single"/>
                    </w:rPr>
                    <w:t>东</w:t>
                  </w:r>
                  <w:r>
                    <w:rPr>
                      <w:rFonts w:hint="eastAsia" w:ascii="Times New Roman" w:hAnsi="Times New Roman" w:eastAsia="宋体" w:cs="Times New Roman"/>
                      <w:b/>
                      <w:bCs/>
                      <w:color w:val="auto"/>
                      <w:sz w:val="21"/>
                      <w:szCs w:val="21"/>
                      <w:u w:val="single"/>
                      <w:lang w:val="en-US" w:eastAsia="zh-CN"/>
                    </w:rPr>
                    <w:t>厂界</w:t>
                  </w:r>
                </w:p>
              </w:tc>
              <w:tc>
                <w:tcPr>
                  <w:tcW w:w="594" w:type="pct"/>
                  <w:shd w:val="clear" w:color="auto" w:fill="auto"/>
                  <w:noWrap w:val="0"/>
                  <w:vAlign w:val="center"/>
                </w:tcPr>
                <w:p w14:paraId="15C07478">
                  <w:pPr>
                    <w:jc w:val="center"/>
                    <w:rPr>
                      <w:rFonts w:hint="default" w:ascii="Times New Roman" w:hAnsi="Times New Roman" w:cs="Times New Roman"/>
                      <w:b/>
                      <w:bCs/>
                      <w:color w:val="auto"/>
                      <w:sz w:val="21"/>
                      <w:szCs w:val="21"/>
                      <w:u w:val="single"/>
                    </w:rPr>
                  </w:pPr>
                  <w:r>
                    <w:rPr>
                      <w:rFonts w:hint="default" w:ascii="Times New Roman" w:hAnsi="Times New Roman" w:eastAsia="Arial" w:cs="Times New Roman"/>
                      <w:b/>
                      <w:bCs/>
                      <w:color w:val="auto"/>
                      <w:sz w:val="21"/>
                      <w:szCs w:val="21"/>
                      <w:u w:val="single"/>
                    </w:rPr>
                    <w:t>昼间</w:t>
                  </w:r>
                </w:p>
              </w:tc>
              <w:tc>
                <w:tcPr>
                  <w:tcW w:w="957" w:type="pct"/>
                  <w:shd w:val="clear" w:color="auto" w:fill="auto"/>
                  <w:noWrap w:val="0"/>
                  <w:vAlign w:val="center"/>
                </w:tcPr>
                <w:p w14:paraId="2286ABD1">
                  <w:pPr>
                    <w:jc w:val="center"/>
                    <w:rPr>
                      <w:rFonts w:hint="default" w:ascii="Times New Roman" w:hAnsi="Times New Roman" w:eastAsia="宋体" w:cs="Times New Roman"/>
                      <w:b/>
                      <w:bCs/>
                      <w:color w:val="auto"/>
                      <w:sz w:val="21"/>
                      <w:szCs w:val="21"/>
                      <w:u w:val="single"/>
                      <w:lang w:val="en-US" w:eastAsia="zh-CN"/>
                    </w:rPr>
                  </w:pPr>
                  <w:r>
                    <w:rPr>
                      <w:rFonts w:hint="eastAsia" w:ascii="Times New Roman" w:hAnsi="Times New Roman" w:eastAsia="宋体" w:cs="Times New Roman"/>
                      <w:b/>
                      <w:bCs/>
                      <w:color w:val="auto"/>
                      <w:sz w:val="21"/>
                      <w:szCs w:val="21"/>
                      <w:u w:val="single"/>
                      <w:lang w:val="en-US" w:eastAsia="zh-CN"/>
                    </w:rPr>
                    <w:t>54.8</w:t>
                  </w:r>
                </w:p>
              </w:tc>
              <w:tc>
                <w:tcPr>
                  <w:tcW w:w="842" w:type="pct"/>
                  <w:shd w:val="clear" w:color="auto" w:fill="auto"/>
                  <w:noWrap w:val="0"/>
                  <w:vAlign w:val="center"/>
                </w:tcPr>
                <w:p w14:paraId="359AA8F1">
                  <w:pPr>
                    <w:jc w:val="center"/>
                    <w:rPr>
                      <w:rFonts w:hint="default" w:ascii="Times New Roman" w:hAnsi="Times New Roman" w:eastAsia="宋体" w:cs="Times New Roman"/>
                      <w:b/>
                      <w:bCs/>
                      <w:color w:val="auto"/>
                      <w:sz w:val="21"/>
                      <w:szCs w:val="21"/>
                      <w:u w:val="single"/>
                      <w:lang w:val="en-US" w:eastAsia="zh-CN"/>
                    </w:rPr>
                  </w:pPr>
                  <w:r>
                    <w:rPr>
                      <w:rFonts w:hint="eastAsia" w:ascii="Times New Roman" w:hAnsi="Times New Roman" w:cs="Times New Roman"/>
                      <w:b/>
                      <w:bCs/>
                      <w:color w:val="auto"/>
                      <w:sz w:val="21"/>
                      <w:szCs w:val="21"/>
                      <w:u w:val="single"/>
                      <w:lang w:val="en-US" w:eastAsia="zh-CN"/>
                    </w:rPr>
                    <w:t>/</w:t>
                  </w:r>
                </w:p>
              </w:tc>
              <w:tc>
                <w:tcPr>
                  <w:tcW w:w="763" w:type="pct"/>
                  <w:shd w:val="clear" w:color="auto" w:fill="auto"/>
                  <w:noWrap w:val="0"/>
                  <w:vAlign w:val="center"/>
                </w:tcPr>
                <w:p w14:paraId="2946DD2F">
                  <w:pPr>
                    <w:jc w:val="center"/>
                    <w:rPr>
                      <w:rFonts w:hint="default" w:ascii="Times New Roman" w:hAnsi="Times New Roman" w:eastAsia="宋体" w:cs="Times New Roman"/>
                      <w:b/>
                      <w:bCs/>
                      <w:color w:val="auto"/>
                      <w:sz w:val="21"/>
                      <w:szCs w:val="21"/>
                      <w:u w:val="single"/>
                      <w:lang w:val="en-US" w:eastAsia="zh-CN"/>
                    </w:rPr>
                  </w:pPr>
                  <w:r>
                    <w:rPr>
                      <w:rFonts w:hint="eastAsia" w:ascii="Times New Roman" w:hAnsi="Times New Roman" w:cs="Times New Roman"/>
                      <w:b/>
                      <w:bCs/>
                      <w:color w:val="auto"/>
                      <w:sz w:val="21"/>
                      <w:szCs w:val="21"/>
                      <w:u w:val="single"/>
                      <w:lang w:val="en-US" w:eastAsia="zh-CN"/>
                    </w:rPr>
                    <w:t>/</w:t>
                  </w:r>
                </w:p>
              </w:tc>
              <w:tc>
                <w:tcPr>
                  <w:tcW w:w="569" w:type="pct"/>
                  <w:shd w:val="clear" w:color="auto" w:fill="auto"/>
                  <w:noWrap w:val="0"/>
                  <w:vAlign w:val="center"/>
                </w:tcPr>
                <w:p w14:paraId="0DB9B853">
                  <w:pPr>
                    <w:jc w:val="center"/>
                    <w:rPr>
                      <w:rFonts w:hint="default" w:ascii="Times New Roman" w:hAnsi="Times New Roman" w:cs="Times New Roman"/>
                      <w:b/>
                      <w:bCs/>
                      <w:color w:val="auto"/>
                      <w:sz w:val="21"/>
                      <w:szCs w:val="21"/>
                      <w:u w:val="single"/>
                    </w:rPr>
                  </w:pPr>
                  <w:r>
                    <w:rPr>
                      <w:rFonts w:hint="eastAsia" w:ascii="Times New Roman" w:hAnsi="Times New Roman"/>
                      <w:b/>
                      <w:bCs/>
                      <w:color w:val="auto"/>
                      <w:sz w:val="21"/>
                      <w:szCs w:val="21"/>
                      <w:u w:val="single"/>
                      <w:lang w:val="en-US" w:eastAsia="zh-CN"/>
                    </w:rPr>
                    <w:t>65</w:t>
                  </w:r>
                </w:p>
              </w:tc>
              <w:tc>
                <w:tcPr>
                  <w:tcW w:w="568" w:type="pct"/>
                  <w:shd w:val="clear" w:color="auto" w:fill="auto"/>
                  <w:noWrap w:val="0"/>
                  <w:vAlign w:val="center"/>
                </w:tcPr>
                <w:p w14:paraId="6B091546">
                  <w:pPr>
                    <w:jc w:val="center"/>
                    <w:rPr>
                      <w:rFonts w:hint="default" w:ascii="Times New Roman" w:hAnsi="Times New Roman" w:eastAsia="Arial" w:cs="Times New Roman"/>
                      <w:b/>
                      <w:bCs/>
                      <w:color w:val="auto"/>
                      <w:sz w:val="21"/>
                      <w:szCs w:val="21"/>
                      <w:u w:val="single"/>
                    </w:rPr>
                  </w:pPr>
                  <w:r>
                    <w:rPr>
                      <w:rFonts w:hint="eastAsia"/>
                      <w:b/>
                      <w:bCs/>
                      <w:color w:val="auto"/>
                      <w:szCs w:val="21"/>
                      <w:u w:val="single"/>
                    </w:rPr>
                    <w:t>达标</w:t>
                  </w:r>
                </w:p>
              </w:tc>
            </w:tr>
            <w:tr w14:paraId="213A8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55" w:hRule="exact"/>
                <w:jc w:val="center"/>
              </w:trPr>
              <w:tc>
                <w:tcPr>
                  <w:tcW w:w="704" w:type="pct"/>
                  <w:vMerge w:val="continue"/>
                  <w:shd w:val="clear" w:color="auto" w:fill="auto"/>
                  <w:noWrap w:val="0"/>
                  <w:vAlign w:val="center"/>
                </w:tcPr>
                <w:p w14:paraId="67CE9C3A">
                  <w:pPr>
                    <w:jc w:val="center"/>
                    <w:rPr>
                      <w:rFonts w:hint="default" w:ascii="Times New Roman" w:hAnsi="Times New Roman" w:cs="Times New Roman"/>
                      <w:b/>
                      <w:bCs/>
                      <w:color w:val="auto"/>
                      <w:sz w:val="21"/>
                      <w:szCs w:val="21"/>
                      <w:u w:val="single"/>
                    </w:rPr>
                  </w:pPr>
                  <w:r>
                    <w:rPr>
                      <w:rFonts w:hint="default" w:ascii="Times New Roman" w:hAnsi="Times New Roman" w:eastAsia="Arial" w:cs="Times New Roman"/>
                      <w:b/>
                      <w:bCs/>
                      <w:color w:val="auto"/>
                      <w:sz w:val="21"/>
                      <w:szCs w:val="21"/>
                      <w:u w:val="single"/>
                    </w:rPr>
                    <w:t>东侧</w:t>
                  </w:r>
                </w:p>
              </w:tc>
              <w:tc>
                <w:tcPr>
                  <w:tcW w:w="594" w:type="pct"/>
                  <w:shd w:val="clear" w:color="auto" w:fill="auto"/>
                  <w:noWrap w:val="0"/>
                  <w:vAlign w:val="center"/>
                </w:tcPr>
                <w:p w14:paraId="6D865D41">
                  <w:pPr>
                    <w:jc w:val="center"/>
                    <w:rPr>
                      <w:rFonts w:hint="default" w:ascii="Times New Roman" w:hAnsi="Times New Roman" w:cs="Times New Roman"/>
                      <w:b/>
                      <w:bCs/>
                      <w:color w:val="auto"/>
                      <w:sz w:val="21"/>
                      <w:szCs w:val="21"/>
                      <w:u w:val="single"/>
                    </w:rPr>
                  </w:pPr>
                  <w:r>
                    <w:rPr>
                      <w:rFonts w:hint="default" w:ascii="Times New Roman" w:hAnsi="Times New Roman" w:eastAsia="Arial" w:cs="Times New Roman"/>
                      <w:b/>
                      <w:bCs/>
                      <w:color w:val="auto"/>
                      <w:sz w:val="21"/>
                      <w:szCs w:val="21"/>
                      <w:u w:val="single"/>
                    </w:rPr>
                    <w:t>夜间</w:t>
                  </w:r>
                </w:p>
              </w:tc>
              <w:tc>
                <w:tcPr>
                  <w:tcW w:w="957" w:type="pct"/>
                  <w:shd w:val="clear" w:color="auto" w:fill="auto"/>
                  <w:noWrap w:val="0"/>
                  <w:vAlign w:val="center"/>
                </w:tcPr>
                <w:p w14:paraId="0EB3F1E1">
                  <w:pPr>
                    <w:jc w:val="center"/>
                    <w:rPr>
                      <w:rFonts w:hint="eastAsia" w:ascii="Times New Roman" w:hAnsi="Times New Roman" w:eastAsia="宋体" w:cs="Times New Roman"/>
                      <w:b/>
                      <w:bCs/>
                      <w:color w:val="auto"/>
                      <w:sz w:val="21"/>
                      <w:szCs w:val="21"/>
                      <w:u w:val="single"/>
                      <w:lang w:eastAsia="zh-CN"/>
                    </w:rPr>
                  </w:pPr>
                  <w:r>
                    <w:rPr>
                      <w:rFonts w:hint="eastAsia" w:ascii="Times New Roman" w:hAnsi="Times New Roman" w:eastAsia="宋体" w:cs="Times New Roman"/>
                      <w:b/>
                      <w:bCs/>
                      <w:color w:val="auto"/>
                      <w:sz w:val="21"/>
                      <w:szCs w:val="21"/>
                      <w:u w:val="single"/>
                      <w:lang w:val="en-US" w:eastAsia="zh-CN"/>
                    </w:rPr>
                    <w:t>0</w:t>
                  </w:r>
                </w:p>
              </w:tc>
              <w:tc>
                <w:tcPr>
                  <w:tcW w:w="842" w:type="pct"/>
                  <w:shd w:val="clear" w:color="auto" w:fill="auto"/>
                  <w:noWrap w:val="0"/>
                  <w:vAlign w:val="center"/>
                </w:tcPr>
                <w:p w14:paraId="4161CE17">
                  <w:pPr>
                    <w:jc w:val="center"/>
                    <w:rPr>
                      <w:rFonts w:hint="default" w:ascii="Times New Roman" w:hAnsi="Times New Roman" w:eastAsia="宋体" w:cs="Times New Roman"/>
                      <w:b/>
                      <w:bCs/>
                      <w:color w:val="auto"/>
                      <w:sz w:val="21"/>
                      <w:szCs w:val="21"/>
                      <w:u w:val="single"/>
                      <w:lang w:val="en-US" w:eastAsia="zh-CN"/>
                    </w:rPr>
                  </w:pPr>
                  <w:r>
                    <w:rPr>
                      <w:rFonts w:hint="eastAsia" w:ascii="Times New Roman" w:hAnsi="Times New Roman" w:cs="Times New Roman"/>
                      <w:b/>
                      <w:bCs/>
                      <w:color w:val="auto"/>
                      <w:sz w:val="21"/>
                      <w:szCs w:val="21"/>
                      <w:u w:val="single"/>
                      <w:lang w:val="en-US" w:eastAsia="zh-CN"/>
                    </w:rPr>
                    <w:t>/</w:t>
                  </w:r>
                </w:p>
              </w:tc>
              <w:tc>
                <w:tcPr>
                  <w:tcW w:w="763" w:type="pct"/>
                  <w:shd w:val="clear" w:color="auto" w:fill="auto"/>
                  <w:noWrap w:val="0"/>
                  <w:vAlign w:val="center"/>
                </w:tcPr>
                <w:p w14:paraId="651ADFFC">
                  <w:pPr>
                    <w:jc w:val="center"/>
                    <w:rPr>
                      <w:rFonts w:hint="default" w:ascii="Times New Roman" w:hAnsi="Times New Roman" w:eastAsia="宋体" w:cs="Times New Roman"/>
                      <w:b/>
                      <w:bCs/>
                      <w:color w:val="auto"/>
                      <w:sz w:val="21"/>
                      <w:szCs w:val="21"/>
                      <w:u w:val="single"/>
                      <w:lang w:val="en-US" w:eastAsia="zh-CN"/>
                    </w:rPr>
                  </w:pPr>
                  <w:r>
                    <w:rPr>
                      <w:rFonts w:hint="eastAsia" w:ascii="Times New Roman" w:hAnsi="Times New Roman" w:cs="Times New Roman"/>
                      <w:b/>
                      <w:bCs/>
                      <w:color w:val="auto"/>
                      <w:sz w:val="21"/>
                      <w:szCs w:val="21"/>
                      <w:u w:val="single"/>
                      <w:lang w:val="en-US" w:eastAsia="zh-CN"/>
                    </w:rPr>
                    <w:t>/</w:t>
                  </w:r>
                </w:p>
              </w:tc>
              <w:tc>
                <w:tcPr>
                  <w:tcW w:w="569" w:type="pct"/>
                  <w:shd w:val="clear" w:color="auto" w:fill="auto"/>
                  <w:noWrap w:val="0"/>
                  <w:vAlign w:val="center"/>
                </w:tcPr>
                <w:p w14:paraId="4FB1A79F">
                  <w:pPr>
                    <w:jc w:val="center"/>
                    <w:rPr>
                      <w:rFonts w:hint="default" w:ascii="Times New Roman" w:hAnsi="Times New Roman" w:cs="Times New Roman"/>
                      <w:b/>
                      <w:bCs/>
                      <w:color w:val="auto"/>
                      <w:sz w:val="21"/>
                      <w:szCs w:val="21"/>
                      <w:u w:val="single"/>
                    </w:rPr>
                  </w:pPr>
                  <w:r>
                    <w:rPr>
                      <w:rFonts w:hint="eastAsia" w:ascii="Times New Roman" w:hAnsi="Times New Roman" w:eastAsia="宋体" w:cs="Times New Roman"/>
                      <w:b/>
                      <w:bCs/>
                      <w:color w:val="auto"/>
                      <w:sz w:val="21"/>
                      <w:szCs w:val="21"/>
                      <w:u w:val="single"/>
                      <w:lang w:val="en-US" w:eastAsia="zh-CN"/>
                    </w:rPr>
                    <w:t>55</w:t>
                  </w:r>
                </w:p>
              </w:tc>
              <w:tc>
                <w:tcPr>
                  <w:tcW w:w="568" w:type="pct"/>
                  <w:shd w:val="clear" w:color="auto" w:fill="auto"/>
                  <w:noWrap w:val="0"/>
                  <w:vAlign w:val="center"/>
                </w:tcPr>
                <w:p w14:paraId="06CE2180">
                  <w:pPr>
                    <w:jc w:val="center"/>
                    <w:rPr>
                      <w:rFonts w:hint="default" w:ascii="Times New Roman" w:hAnsi="Times New Roman" w:eastAsia="Arial" w:cs="Times New Roman"/>
                      <w:b/>
                      <w:bCs/>
                      <w:color w:val="auto"/>
                      <w:sz w:val="21"/>
                      <w:szCs w:val="21"/>
                      <w:u w:val="single"/>
                    </w:rPr>
                  </w:pPr>
                  <w:r>
                    <w:rPr>
                      <w:rFonts w:hint="eastAsia"/>
                      <w:b/>
                      <w:bCs/>
                      <w:color w:val="auto"/>
                      <w:szCs w:val="21"/>
                      <w:u w:val="single"/>
                    </w:rPr>
                    <w:t>达标</w:t>
                  </w:r>
                </w:p>
              </w:tc>
            </w:tr>
            <w:tr w14:paraId="53AE3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8" w:hRule="exact"/>
                <w:jc w:val="center"/>
              </w:trPr>
              <w:tc>
                <w:tcPr>
                  <w:tcW w:w="704" w:type="pct"/>
                  <w:vMerge w:val="restart"/>
                  <w:shd w:val="clear" w:color="auto" w:fill="auto"/>
                  <w:noWrap w:val="0"/>
                  <w:vAlign w:val="center"/>
                </w:tcPr>
                <w:p w14:paraId="64D94C48">
                  <w:pPr>
                    <w:jc w:val="center"/>
                    <w:rPr>
                      <w:rFonts w:hint="eastAsia" w:ascii="Times New Roman" w:hAnsi="Times New Roman" w:eastAsia="宋体" w:cs="Times New Roman"/>
                      <w:b/>
                      <w:bCs/>
                      <w:color w:val="auto"/>
                      <w:sz w:val="21"/>
                      <w:szCs w:val="21"/>
                      <w:u w:val="single"/>
                      <w:lang w:eastAsia="zh-CN"/>
                    </w:rPr>
                  </w:pPr>
                  <w:r>
                    <w:rPr>
                      <w:rFonts w:hint="default" w:ascii="Times New Roman" w:hAnsi="Times New Roman" w:eastAsia="Arial" w:cs="Times New Roman"/>
                      <w:b/>
                      <w:bCs/>
                      <w:color w:val="auto"/>
                      <w:sz w:val="21"/>
                      <w:szCs w:val="21"/>
                      <w:u w:val="single"/>
                    </w:rPr>
                    <w:t>南</w:t>
                  </w:r>
                  <w:r>
                    <w:rPr>
                      <w:rFonts w:hint="eastAsia" w:ascii="Times New Roman" w:hAnsi="Times New Roman" w:eastAsia="宋体" w:cs="Times New Roman"/>
                      <w:b/>
                      <w:bCs/>
                      <w:color w:val="auto"/>
                      <w:sz w:val="21"/>
                      <w:szCs w:val="21"/>
                      <w:u w:val="single"/>
                      <w:lang w:val="en-US" w:eastAsia="zh-CN"/>
                    </w:rPr>
                    <w:t>厂界</w:t>
                  </w:r>
                </w:p>
              </w:tc>
              <w:tc>
                <w:tcPr>
                  <w:tcW w:w="594" w:type="pct"/>
                  <w:shd w:val="clear" w:color="auto" w:fill="auto"/>
                  <w:noWrap w:val="0"/>
                  <w:vAlign w:val="center"/>
                </w:tcPr>
                <w:p w14:paraId="6A899382">
                  <w:pPr>
                    <w:jc w:val="center"/>
                    <w:rPr>
                      <w:rFonts w:hint="default" w:ascii="Times New Roman" w:hAnsi="Times New Roman" w:cs="Times New Roman"/>
                      <w:b/>
                      <w:bCs/>
                      <w:color w:val="auto"/>
                      <w:sz w:val="21"/>
                      <w:szCs w:val="21"/>
                      <w:u w:val="single"/>
                    </w:rPr>
                  </w:pPr>
                  <w:r>
                    <w:rPr>
                      <w:rFonts w:hint="default" w:ascii="Times New Roman" w:hAnsi="Times New Roman" w:eastAsia="Arial" w:cs="Times New Roman"/>
                      <w:b/>
                      <w:bCs/>
                      <w:color w:val="auto"/>
                      <w:sz w:val="21"/>
                      <w:szCs w:val="21"/>
                      <w:u w:val="single"/>
                    </w:rPr>
                    <w:t>昼间</w:t>
                  </w:r>
                </w:p>
              </w:tc>
              <w:tc>
                <w:tcPr>
                  <w:tcW w:w="957" w:type="pct"/>
                  <w:shd w:val="clear" w:color="auto" w:fill="auto"/>
                  <w:noWrap w:val="0"/>
                  <w:vAlign w:val="center"/>
                </w:tcPr>
                <w:p w14:paraId="47F41BD4">
                  <w:pPr>
                    <w:jc w:val="center"/>
                    <w:rPr>
                      <w:rFonts w:hint="default" w:ascii="Times New Roman" w:hAnsi="Times New Roman" w:eastAsia="宋体" w:cs="Times New Roman"/>
                      <w:b/>
                      <w:bCs/>
                      <w:color w:val="auto"/>
                      <w:sz w:val="21"/>
                      <w:szCs w:val="21"/>
                      <w:u w:val="single"/>
                      <w:lang w:val="en-US" w:eastAsia="zh-CN"/>
                    </w:rPr>
                  </w:pPr>
                  <w:r>
                    <w:rPr>
                      <w:rFonts w:hint="eastAsia" w:ascii="Times New Roman" w:hAnsi="Times New Roman" w:eastAsia="宋体" w:cs="Times New Roman"/>
                      <w:b/>
                      <w:bCs/>
                      <w:color w:val="auto"/>
                      <w:sz w:val="21"/>
                      <w:szCs w:val="21"/>
                      <w:u w:val="single"/>
                      <w:lang w:val="en-US" w:eastAsia="zh-CN"/>
                    </w:rPr>
                    <w:t>43.4</w:t>
                  </w:r>
                </w:p>
              </w:tc>
              <w:tc>
                <w:tcPr>
                  <w:tcW w:w="842" w:type="pct"/>
                  <w:shd w:val="clear" w:color="auto" w:fill="auto"/>
                  <w:noWrap w:val="0"/>
                  <w:vAlign w:val="center"/>
                </w:tcPr>
                <w:p w14:paraId="48C0DFC6">
                  <w:pPr>
                    <w:jc w:val="center"/>
                    <w:rPr>
                      <w:rFonts w:hint="default" w:ascii="Times New Roman" w:hAnsi="Times New Roman" w:eastAsia="宋体" w:cs="Times New Roman"/>
                      <w:b/>
                      <w:bCs/>
                      <w:color w:val="auto"/>
                      <w:sz w:val="21"/>
                      <w:szCs w:val="21"/>
                      <w:u w:val="single"/>
                      <w:lang w:val="en-US" w:eastAsia="zh-CN"/>
                    </w:rPr>
                  </w:pPr>
                  <w:r>
                    <w:rPr>
                      <w:rFonts w:hint="eastAsia" w:ascii="Times New Roman" w:hAnsi="Times New Roman" w:cs="Times New Roman"/>
                      <w:b/>
                      <w:bCs/>
                      <w:color w:val="auto"/>
                      <w:sz w:val="21"/>
                      <w:szCs w:val="21"/>
                      <w:u w:val="single"/>
                      <w:lang w:val="en-US" w:eastAsia="zh-CN"/>
                    </w:rPr>
                    <w:t>/</w:t>
                  </w:r>
                </w:p>
              </w:tc>
              <w:tc>
                <w:tcPr>
                  <w:tcW w:w="763" w:type="pct"/>
                  <w:shd w:val="clear" w:color="auto" w:fill="auto"/>
                  <w:noWrap w:val="0"/>
                  <w:vAlign w:val="center"/>
                </w:tcPr>
                <w:p w14:paraId="245E2F16">
                  <w:pPr>
                    <w:jc w:val="center"/>
                    <w:rPr>
                      <w:rFonts w:hint="default" w:ascii="Times New Roman" w:hAnsi="Times New Roman" w:eastAsia="Arial" w:cs="Times New Roman"/>
                      <w:b/>
                      <w:bCs/>
                      <w:color w:val="auto"/>
                      <w:sz w:val="21"/>
                      <w:szCs w:val="21"/>
                      <w:u w:val="single"/>
                    </w:rPr>
                  </w:pPr>
                  <w:r>
                    <w:rPr>
                      <w:rFonts w:hint="eastAsia" w:ascii="Times New Roman" w:hAnsi="Times New Roman" w:cs="Times New Roman"/>
                      <w:b/>
                      <w:bCs/>
                      <w:color w:val="auto"/>
                      <w:sz w:val="21"/>
                      <w:szCs w:val="21"/>
                      <w:u w:val="single"/>
                      <w:lang w:val="en-US" w:eastAsia="zh-CN"/>
                    </w:rPr>
                    <w:t>/</w:t>
                  </w:r>
                </w:p>
              </w:tc>
              <w:tc>
                <w:tcPr>
                  <w:tcW w:w="569" w:type="pct"/>
                  <w:shd w:val="clear" w:color="auto" w:fill="auto"/>
                  <w:noWrap w:val="0"/>
                  <w:vAlign w:val="center"/>
                </w:tcPr>
                <w:p w14:paraId="0631D537">
                  <w:pPr>
                    <w:jc w:val="center"/>
                    <w:rPr>
                      <w:rFonts w:hint="default" w:ascii="Times New Roman" w:hAnsi="Times New Roman" w:cs="Times New Roman"/>
                      <w:b/>
                      <w:bCs/>
                      <w:color w:val="auto"/>
                      <w:sz w:val="21"/>
                      <w:szCs w:val="21"/>
                      <w:u w:val="single"/>
                    </w:rPr>
                  </w:pPr>
                  <w:r>
                    <w:rPr>
                      <w:rFonts w:hint="eastAsia" w:ascii="Times New Roman" w:hAnsi="Times New Roman"/>
                      <w:b/>
                      <w:bCs/>
                      <w:color w:val="auto"/>
                      <w:sz w:val="21"/>
                      <w:szCs w:val="21"/>
                      <w:u w:val="single"/>
                      <w:lang w:val="en-US" w:eastAsia="zh-CN"/>
                    </w:rPr>
                    <w:t>65</w:t>
                  </w:r>
                </w:p>
              </w:tc>
              <w:tc>
                <w:tcPr>
                  <w:tcW w:w="568" w:type="pct"/>
                  <w:shd w:val="clear" w:color="auto" w:fill="auto"/>
                  <w:noWrap w:val="0"/>
                  <w:vAlign w:val="center"/>
                </w:tcPr>
                <w:p w14:paraId="431123AA">
                  <w:pPr>
                    <w:jc w:val="center"/>
                    <w:rPr>
                      <w:rFonts w:hint="default" w:ascii="Times New Roman" w:hAnsi="Times New Roman" w:eastAsia="Arial" w:cs="Times New Roman"/>
                      <w:b/>
                      <w:bCs/>
                      <w:color w:val="auto"/>
                      <w:sz w:val="21"/>
                      <w:szCs w:val="21"/>
                      <w:u w:val="single"/>
                    </w:rPr>
                  </w:pPr>
                  <w:r>
                    <w:rPr>
                      <w:rFonts w:hint="eastAsia"/>
                      <w:b/>
                      <w:bCs/>
                      <w:color w:val="auto"/>
                      <w:szCs w:val="21"/>
                      <w:u w:val="single"/>
                    </w:rPr>
                    <w:t>达标</w:t>
                  </w:r>
                </w:p>
              </w:tc>
            </w:tr>
            <w:tr w14:paraId="748CD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8" w:hRule="exact"/>
                <w:jc w:val="center"/>
              </w:trPr>
              <w:tc>
                <w:tcPr>
                  <w:tcW w:w="704" w:type="pct"/>
                  <w:vMerge w:val="continue"/>
                  <w:shd w:val="clear" w:color="auto" w:fill="auto"/>
                  <w:noWrap w:val="0"/>
                  <w:vAlign w:val="center"/>
                </w:tcPr>
                <w:p w14:paraId="363DF5AD">
                  <w:pPr>
                    <w:jc w:val="center"/>
                    <w:rPr>
                      <w:rFonts w:hint="default" w:ascii="Times New Roman" w:hAnsi="Times New Roman" w:cs="Times New Roman"/>
                      <w:b/>
                      <w:bCs/>
                      <w:color w:val="auto"/>
                      <w:sz w:val="21"/>
                      <w:szCs w:val="21"/>
                      <w:u w:val="single"/>
                    </w:rPr>
                  </w:pPr>
                  <w:r>
                    <w:rPr>
                      <w:rFonts w:hint="default" w:ascii="Times New Roman" w:hAnsi="Times New Roman" w:eastAsia="Arial" w:cs="Times New Roman"/>
                      <w:b/>
                      <w:bCs/>
                      <w:color w:val="auto"/>
                      <w:sz w:val="21"/>
                      <w:szCs w:val="21"/>
                      <w:u w:val="single"/>
                    </w:rPr>
                    <w:t>南侧</w:t>
                  </w:r>
                </w:p>
              </w:tc>
              <w:tc>
                <w:tcPr>
                  <w:tcW w:w="594" w:type="pct"/>
                  <w:shd w:val="clear" w:color="auto" w:fill="auto"/>
                  <w:noWrap w:val="0"/>
                  <w:vAlign w:val="center"/>
                </w:tcPr>
                <w:p w14:paraId="0540A268">
                  <w:pPr>
                    <w:jc w:val="center"/>
                    <w:rPr>
                      <w:rFonts w:hint="default" w:ascii="Times New Roman" w:hAnsi="Times New Roman" w:cs="Times New Roman"/>
                      <w:b/>
                      <w:bCs/>
                      <w:color w:val="auto"/>
                      <w:sz w:val="21"/>
                      <w:szCs w:val="21"/>
                      <w:u w:val="single"/>
                    </w:rPr>
                  </w:pPr>
                  <w:r>
                    <w:rPr>
                      <w:rFonts w:hint="default" w:ascii="Times New Roman" w:hAnsi="Times New Roman" w:eastAsia="Arial" w:cs="Times New Roman"/>
                      <w:b/>
                      <w:bCs/>
                      <w:color w:val="auto"/>
                      <w:sz w:val="21"/>
                      <w:szCs w:val="21"/>
                      <w:u w:val="single"/>
                    </w:rPr>
                    <w:t>夜间</w:t>
                  </w:r>
                </w:p>
              </w:tc>
              <w:tc>
                <w:tcPr>
                  <w:tcW w:w="957" w:type="pct"/>
                  <w:shd w:val="clear" w:color="auto" w:fill="auto"/>
                  <w:noWrap w:val="0"/>
                  <w:vAlign w:val="center"/>
                </w:tcPr>
                <w:p w14:paraId="2A948FB3">
                  <w:pPr>
                    <w:jc w:val="center"/>
                    <w:rPr>
                      <w:rFonts w:hint="eastAsia" w:ascii="Times New Roman" w:hAnsi="Times New Roman" w:eastAsia="宋体" w:cs="Times New Roman"/>
                      <w:b/>
                      <w:bCs/>
                      <w:color w:val="auto"/>
                      <w:sz w:val="21"/>
                      <w:szCs w:val="21"/>
                      <w:u w:val="single"/>
                      <w:lang w:eastAsia="zh-CN"/>
                    </w:rPr>
                  </w:pPr>
                  <w:r>
                    <w:rPr>
                      <w:rFonts w:hint="eastAsia" w:ascii="Times New Roman" w:hAnsi="Times New Roman" w:eastAsia="宋体" w:cs="Times New Roman"/>
                      <w:b/>
                      <w:bCs/>
                      <w:color w:val="auto"/>
                      <w:sz w:val="21"/>
                      <w:szCs w:val="21"/>
                      <w:u w:val="single"/>
                      <w:lang w:val="en-US" w:eastAsia="zh-CN"/>
                    </w:rPr>
                    <w:t>0</w:t>
                  </w:r>
                </w:p>
              </w:tc>
              <w:tc>
                <w:tcPr>
                  <w:tcW w:w="842" w:type="pct"/>
                  <w:shd w:val="clear" w:color="auto" w:fill="auto"/>
                  <w:noWrap w:val="0"/>
                  <w:vAlign w:val="center"/>
                </w:tcPr>
                <w:p w14:paraId="72430032">
                  <w:pPr>
                    <w:jc w:val="center"/>
                    <w:rPr>
                      <w:rFonts w:hint="eastAsia" w:ascii="Times New Roman" w:hAnsi="Times New Roman" w:eastAsia="宋体" w:cs="Times New Roman"/>
                      <w:b/>
                      <w:bCs/>
                      <w:color w:val="auto"/>
                      <w:sz w:val="21"/>
                      <w:szCs w:val="21"/>
                      <w:u w:val="single"/>
                      <w:lang w:eastAsia="zh-CN"/>
                    </w:rPr>
                  </w:pPr>
                  <w:r>
                    <w:rPr>
                      <w:rFonts w:hint="eastAsia" w:ascii="Times New Roman" w:hAnsi="Times New Roman" w:cs="Times New Roman"/>
                      <w:b/>
                      <w:bCs/>
                      <w:color w:val="auto"/>
                      <w:sz w:val="21"/>
                      <w:szCs w:val="21"/>
                      <w:u w:val="single"/>
                      <w:lang w:val="en-US" w:eastAsia="zh-CN"/>
                    </w:rPr>
                    <w:t>/</w:t>
                  </w:r>
                </w:p>
              </w:tc>
              <w:tc>
                <w:tcPr>
                  <w:tcW w:w="763" w:type="pct"/>
                  <w:shd w:val="clear" w:color="auto" w:fill="auto"/>
                  <w:noWrap w:val="0"/>
                  <w:vAlign w:val="center"/>
                </w:tcPr>
                <w:p w14:paraId="29B575E0">
                  <w:pPr>
                    <w:jc w:val="center"/>
                    <w:rPr>
                      <w:rFonts w:hint="default" w:ascii="Times New Roman" w:hAnsi="Times New Roman" w:eastAsia="Arial" w:cs="Times New Roman"/>
                      <w:b/>
                      <w:bCs/>
                      <w:color w:val="auto"/>
                      <w:sz w:val="21"/>
                      <w:szCs w:val="21"/>
                      <w:u w:val="single"/>
                    </w:rPr>
                  </w:pPr>
                  <w:r>
                    <w:rPr>
                      <w:rFonts w:hint="eastAsia" w:ascii="Times New Roman" w:hAnsi="Times New Roman" w:cs="Times New Roman"/>
                      <w:b/>
                      <w:bCs/>
                      <w:color w:val="auto"/>
                      <w:sz w:val="21"/>
                      <w:szCs w:val="21"/>
                      <w:u w:val="single"/>
                      <w:lang w:val="en-US" w:eastAsia="zh-CN"/>
                    </w:rPr>
                    <w:t>/</w:t>
                  </w:r>
                </w:p>
              </w:tc>
              <w:tc>
                <w:tcPr>
                  <w:tcW w:w="569" w:type="pct"/>
                  <w:shd w:val="clear" w:color="auto" w:fill="auto"/>
                  <w:noWrap w:val="0"/>
                  <w:vAlign w:val="center"/>
                </w:tcPr>
                <w:p w14:paraId="7E49AE2E">
                  <w:pPr>
                    <w:jc w:val="center"/>
                    <w:rPr>
                      <w:rFonts w:hint="default" w:ascii="Times New Roman" w:hAnsi="Times New Roman" w:cs="Times New Roman"/>
                      <w:b/>
                      <w:bCs/>
                      <w:color w:val="auto"/>
                      <w:sz w:val="21"/>
                      <w:szCs w:val="21"/>
                      <w:u w:val="single"/>
                    </w:rPr>
                  </w:pPr>
                  <w:r>
                    <w:rPr>
                      <w:rFonts w:hint="eastAsia" w:ascii="Times New Roman" w:hAnsi="Times New Roman" w:eastAsia="宋体" w:cs="Times New Roman"/>
                      <w:b/>
                      <w:bCs/>
                      <w:color w:val="auto"/>
                      <w:sz w:val="21"/>
                      <w:szCs w:val="21"/>
                      <w:u w:val="single"/>
                      <w:lang w:val="en-US" w:eastAsia="zh-CN"/>
                    </w:rPr>
                    <w:t>55</w:t>
                  </w:r>
                </w:p>
              </w:tc>
              <w:tc>
                <w:tcPr>
                  <w:tcW w:w="568" w:type="pct"/>
                  <w:shd w:val="clear" w:color="auto" w:fill="auto"/>
                  <w:noWrap w:val="0"/>
                  <w:vAlign w:val="center"/>
                </w:tcPr>
                <w:p w14:paraId="4012720D">
                  <w:pPr>
                    <w:jc w:val="center"/>
                    <w:rPr>
                      <w:rFonts w:hint="default" w:ascii="Times New Roman" w:hAnsi="Times New Roman" w:eastAsia="Arial" w:cs="Times New Roman"/>
                      <w:b/>
                      <w:bCs/>
                      <w:color w:val="auto"/>
                      <w:sz w:val="21"/>
                      <w:szCs w:val="21"/>
                      <w:u w:val="single"/>
                    </w:rPr>
                  </w:pPr>
                  <w:r>
                    <w:rPr>
                      <w:rFonts w:hint="eastAsia"/>
                      <w:b/>
                      <w:bCs/>
                      <w:color w:val="auto"/>
                      <w:szCs w:val="21"/>
                      <w:u w:val="single"/>
                    </w:rPr>
                    <w:t>达标</w:t>
                  </w:r>
                </w:p>
              </w:tc>
            </w:tr>
            <w:tr w14:paraId="67210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8" w:hRule="exact"/>
                <w:jc w:val="center"/>
              </w:trPr>
              <w:tc>
                <w:tcPr>
                  <w:tcW w:w="704" w:type="pct"/>
                  <w:vMerge w:val="restart"/>
                  <w:shd w:val="clear" w:color="auto" w:fill="auto"/>
                  <w:noWrap w:val="0"/>
                  <w:vAlign w:val="center"/>
                </w:tcPr>
                <w:p w14:paraId="7A316C01">
                  <w:pPr>
                    <w:jc w:val="center"/>
                    <w:rPr>
                      <w:rFonts w:hint="eastAsia" w:ascii="Times New Roman" w:hAnsi="Times New Roman" w:eastAsia="宋体" w:cs="Times New Roman"/>
                      <w:b/>
                      <w:bCs/>
                      <w:color w:val="auto"/>
                      <w:sz w:val="21"/>
                      <w:szCs w:val="21"/>
                      <w:u w:val="single"/>
                      <w:lang w:eastAsia="zh-CN"/>
                    </w:rPr>
                  </w:pPr>
                  <w:r>
                    <w:rPr>
                      <w:rFonts w:hint="default" w:ascii="Times New Roman" w:hAnsi="Times New Roman" w:eastAsia="Arial" w:cs="Times New Roman"/>
                      <w:b/>
                      <w:bCs/>
                      <w:color w:val="auto"/>
                      <w:sz w:val="21"/>
                      <w:szCs w:val="21"/>
                      <w:u w:val="single"/>
                    </w:rPr>
                    <w:t>西</w:t>
                  </w:r>
                  <w:r>
                    <w:rPr>
                      <w:rFonts w:hint="eastAsia" w:ascii="Times New Roman" w:hAnsi="Times New Roman" w:eastAsia="宋体" w:cs="Times New Roman"/>
                      <w:b/>
                      <w:bCs/>
                      <w:color w:val="auto"/>
                      <w:sz w:val="21"/>
                      <w:szCs w:val="21"/>
                      <w:u w:val="single"/>
                      <w:lang w:val="en-US" w:eastAsia="zh-CN"/>
                    </w:rPr>
                    <w:t>厂界</w:t>
                  </w:r>
                </w:p>
              </w:tc>
              <w:tc>
                <w:tcPr>
                  <w:tcW w:w="594" w:type="pct"/>
                  <w:shd w:val="clear" w:color="auto" w:fill="auto"/>
                  <w:noWrap w:val="0"/>
                  <w:vAlign w:val="center"/>
                </w:tcPr>
                <w:p w14:paraId="6812FBE7">
                  <w:pPr>
                    <w:jc w:val="center"/>
                    <w:rPr>
                      <w:rFonts w:hint="default" w:ascii="Times New Roman" w:hAnsi="Times New Roman" w:cs="Times New Roman"/>
                      <w:b/>
                      <w:bCs/>
                      <w:color w:val="auto"/>
                      <w:sz w:val="21"/>
                      <w:szCs w:val="21"/>
                      <w:u w:val="single"/>
                    </w:rPr>
                  </w:pPr>
                  <w:r>
                    <w:rPr>
                      <w:rFonts w:hint="default" w:ascii="Times New Roman" w:hAnsi="Times New Roman" w:eastAsia="Arial" w:cs="Times New Roman"/>
                      <w:b/>
                      <w:bCs/>
                      <w:color w:val="auto"/>
                      <w:sz w:val="21"/>
                      <w:szCs w:val="21"/>
                      <w:u w:val="single"/>
                    </w:rPr>
                    <w:t>昼间</w:t>
                  </w:r>
                </w:p>
              </w:tc>
              <w:tc>
                <w:tcPr>
                  <w:tcW w:w="957" w:type="pct"/>
                  <w:shd w:val="clear" w:color="auto" w:fill="auto"/>
                  <w:noWrap w:val="0"/>
                  <w:vAlign w:val="center"/>
                </w:tcPr>
                <w:p w14:paraId="1B6E317C">
                  <w:pPr>
                    <w:jc w:val="center"/>
                    <w:rPr>
                      <w:rFonts w:hint="default" w:ascii="Times New Roman" w:hAnsi="Times New Roman" w:eastAsia="宋体" w:cs="Times New Roman"/>
                      <w:b/>
                      <w:bCs/>
                      <w:color w:val="auto"/>
                      <w:sz w:val="21"/>
                      <w:szCs w:val="21"/>
                      <w:u w:val="single"/>
                      <w:lang w:val="en-US" w:eastAsia="zh-CN"/>
                    </w:rPr>
                  </w:pPr>
                  <w:r>
                    <w:rPr>
                      <w:rFonts w:hint="eastAsia" w:ascii="Times New Roman" w:hAnsi="Times New Roman" w:eastAsia="宋体" w:cs="Times New Roman"/>
                      <w:b/>
                      <w:bCs/>
                      <w:color w:val="auto"/>
                      <w:sz w:val="21"/>
                      <w:szCs w:val="21"/>
                      <w:u w:val="single"/>
                      <w:lang w:val="en-US" w:eastAsia="zh-CN"/>
                    </w:rPr>
                    <w:t>44.6</w:t>
                  </w:r>
                </w:p>
              </w:tc>
              <w:tc>
                <w:tcPr>
                  <w:tcW w:w="842" w:type="pct"/>
                  <w:shd w:val="clear" w:color="auto" w:fill="auto"/>
                  <w:noWrap w:val="0"/>
                  <w:vAlign w:val="center"/>
                </w:tcPr>
                <w:p w14:paraId="31F749BF">
                  <w:pPr>
                    <w:jc w:val="center"/>
                    <w:rPr>
                      <w:rFonts w:hint="eastAsia" w:ascii="Times New Roman" w:hAnsi="Times New Roman" w:eastAsia="宋体" w:cs="Times New Roman"/>
                      <w:b/>
                      <w:bCs/>
                      <w:color w:val="auto"/>
                      <w:sz w:val="21"/>
                      <w:szCs w:val="21"/>
                      <w:u w:val="single"/>
                      <w:lang w:eastAsia="zh-CN"/>
                    </w:rPr>
                  </w:pPr>
                  <w:r>
                    <w:rPr>
                      <w:rFonts w:hint="eastAsia" w:ascii="Times New Roman" w:hAnsi="Times New Roman" w:cs="Times New Roman"/>
                      <w:b/>
                      <w:bCs/>
                      <w:color w:val="auto"/>
                      <w:sz w:val="21"/>
                      <w:szCs w:val="21"/>
                      <w:u w:val="single"/>
                      <w:lang w:val="en-US" w:eastAsia="zh-CN"/>
                    </w:rPr>
                    <w:t>/</w:t>
                  </w:r>
                </w:p>
              </w:tc>
              <w:tc>
                <w:tcPr>
                  <w:tcW w:w="763" w:type="pct"/>
                  <w:shd w:val="clear" w:color="auto" w:fill="auto"/>
                  <w:noWrap w:val="0"/>
                  <w:vAlign w:val="center"/>
                </w:tcPr>
                <w:p w14:paraId="0A8FE252">
                  <w:pPr>
                    <w:jc w:val="center"/>
                    <w:rPr>
                      <w:rFonts w:hint="default" w:ascii="Times New Roman" w:hAnsi="Times New Roman" w:eastAsia="Arial" w:cs="Times New Roman"/>
                      <w:b/>
                      <w:bCs/>
                      <w:color w:val="auto"/>
                      <w:sz w:val="21"/>
                      <w:szCs w:val="21"/>
                      <w:u w:val="single"/>
                    </w:rPr>
                  </w:pPr>
                  <w:r>
                    <w:rPr>
                      <w:rFonts w:hint="eastAsia" w:ascii="Times New Roman" w:hAnsi="Times New Roman" w:cs="Times New Roman"/>
                      <w:b/>
                      <w:bCs/>
                      <w:color w:val="auto"/>
                      <w:sz w:val="21"/>
                      <w:szCs w:val="21"/>
                      <w:u w:val="single"/>
                      <w:lang w:val="en-US" w:eastAsia="zh-CN"/>
                    </w:rPr>
                    <w:t>/</w:t>
                  </w:r>
                </w:p>
              </w:tc>
              <w:tc>
                <w:tcPr>
                  <w:tcW w:w="569" w:type="pct"/>
                  <w:shd w:val="clear" w:color="auto" w:fill="auto"/>
                  <w:noWrap w:val="0"/>
                  <w:vAlign w:val="center"/>
                </w:tcPr>
                <w:p w14:paraId="3846BCA2">
                  <w:pPr>
                    <w:jc w:val="center"/>
                    <w:rPr>
                      <w:rFonts w:hint="default" w:ascii="Times New Roman" w:hAnsi="Times New Roman" w:cs="Times New Roman"/>
                      <w:b/>
                      <w:bCs/>
                      <w:color w:val="auto"/>
                      <w:sz w:val="21"/>
                      <w:szCs w:val="21"/>
                      <w:u w:val="single"/>
                    </w:rPr>
                  </w:pPr>
                  <w:r>
                    <w:rPr>
                      <w:rFonts w:hint="eastAsia" w:ascii="Times New Roman" w:hAnsi="Times New Roman"/>
                      <w:b/>
                      <w:bCs/>
                      <w:color w:val="auto"/>
                      <w:sz w:val="21"/>
                      <w:szCs w:val="21"/>
                      <w:u w:val="single"/>
                      <w:lang w:val="en-US" w:eastAsia="zh-CN"/>
                    </w:rPr>
                    <w:t>65</w:t>
                  </w:r>
                </w:p>
              </w:tc>
              <w:tc>
                <w:tcPr>
                  <w:tcW w:w="568" w:type="pct"/>
                  <w:shd w:val="clear" w:color="auto" w:fill="auto"/>
                  <w:noWrap w:val="0"/>
                  <w:vAlign w:val="center"/>
                </w:tcPr>
                <w:p w14:paraId="305774DD">
                  <w:pPr>
                    <w:jc w:val="center"/>
                    <w:rPr>
                      <w:rFonts w:hint="default" w:ascii="Times New Roman" w:hAnsi="Times New Roman" w:eastAsia="Arial" w:cs="Times New Roman"/>
                      <w:b/>
                      <w:bCs/>
                      <w:color w:val="auto"/>
                      <w:sz w:val="21"/>
                      <w:szCs w:val="21"/>
                      <w:u w:val="single"/>
                    </w:rPr>
                  </w:pPr>
                  <w:r>
                    <w:rPr>
                      <w:rFonts w:hint="eastAsia"/>
                      <w:b/>
                      <w:bCs/>
                      <w:color w:val="auto"/>
                      <w:szCs w:val="21"/>
                      <w:u w:val="single"/>
                    </w:rPr>
                    <w:t>达标</w:t>
                  </w:r>
                </w:p>
              </w:tc>
            </w:tr>
            <w:tr w14:paraId="7B3F9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8" w:hRule="exact"/>
                <w:jc w:val="center"/>
              </w:trPr>
              <w:tc>
                <w:tcPr>
                  <w:tcW w:w="704" w:type="pct"/>
                  <w:vMerge w:val="continue"/>
                  <w:shd w:val="clear" w:color="auto" w:fill="auto"/>
                  <w:noWrap w:val="0"/>
                  <w:vAlign w:val="center"/>
                </w:tcPr>
                <w:p w14:paraId="3FD757E0">
                  <w:pPr>
                    <w:jc w:val="center"/>
                    <w:rPr>
                      <w:rFonts w:hint="default" w:ascii="Times New Roman" w:hAnsi="Times New Roman" w:cs="Times New Roman"/>
                      <w:b/>
                      <w:bCs/>
                      <w:color w:val="auto"/>
                      <w:sz w:val="21"/>
                      <w:szCs w:val="21"/>
                      <w:u w:val="single"/>
                    </w:rPr>
                  </w:pPr>
                  <w:r>
                    <w:rPr>
                      <w:rFonts w:hint="default" w:ascii="Times New Roman" w:hAnsi="Times New Roman" w:eastAsia="Arial" w:cs="Times New Roman"/>
                      <w:b/>
                      <w:bCs/>
                      <w:color w:val="auto"/>
                      <w:sz w:val="21"/>
                      <w:szCs w:val="21"/>
                      <w:u w:val="single"/>
                    </w:rPr>
                    <w:t>西侧</w:t>
                  </w:r>
                </w:p>
              </w:tc>
              <w:tc>
                <w:tcPr>
                  <w:tcW w:w="594" w:type="pct"/>
                  <w:shd w:val="clear" w:color="auto" w:fill="auto"/>
                  <w:noWrap w:val="0"/>
                  <w:vAlign w:val="center"/>
                </w:tcPr>
                <w:p w14:paraId="34B3B3A6">
                  <w:pPr>
                    <w:jc w:val="center"/>
                    <w:rPr>
                      <w:rFonts w:hint="default" w:ascii="Times New Roman" w:hAnsi="Times New Roman" w:cs="Times New Roman"/>
                      <w:b/>
                      <w:bCs/>
                      <w:color w:val="auto"/>
                      <w:sz w:val="21"/>
                      <w:szCs w:val="21"/>
                      <w:u w:val="single"/>
                    </w:rPr>
                  </w:pPr>
                  <w:r>
                    <w:rPr>
                      <w:rFonts w:hint="default" w:ascii="Times New Roman" w:hAnsi="Times New Roman" w:eastAsia="Arial" w:cs="Times New Roman"/>
                      <w:b/>
                      <w:bCs/>
                      <w:color w:val="auto"/>
                      <w:sz w:val="21"/>
                      <w:szCs w:val="21"/>
                      <w:u w:val="single"/>
                    </w:rPr>
                    <w:t>夜间</w:t>
                  </w:r>
                </w:p>
              </w:tc>
              <w:tc>
                <w:tcPr>
                  <w:tcW w:w="957" w:type="pct"/>
                  <w:shd w:val="clear" w:color="auto" w:fill="auto"/>
                  <w:noWrap w:val="0"/>
                  <w:vAlign w:val="center"/>
                </w:tcPr>
                <w:p w14:paraId="43C33171">
                  <w:pPr>
                    <w:jc w:val="center"/>
                    <w:rPr>
                      <w:rFonts w:hint="eastAsia" w:ascii="Times New Roman" w:hAnsi="Times New Roman" w:eastAsia="宋体" w:cs="Times New Roman"/>
                      <w:b/>
                      <w:bCs/>
                      <w:color w:val="auto"/>
                      <w:sz w:val="21"/>
                      <w:szCs w:val="21"/>
                      <w:u w:val="single"/>
                      <w:lang w:eastAsia="zh-CN"/>
                    </w:rPr>
                  </w:pPr>
                  <w:r>
                    <w:rPr>
                      <w:rFonts w:hint="eastAsia" w:ascii="Times New Roman" w:hAnsi="Times New Roman" w:eastAsia="宋体" w:cs="Times New Roman"/>
                      <w:b/>
                      <w:bCs/>
                      <w:color w:val="auto"/>
                      <w:sz w:val="21"/>
                      <w:szCs w:val="21"/>
                      <w:u w:val="single"/>
                      <w:lang w:val="en-US" w:eastAsia="zh-CN"/>
                    </w:rPr>
                    <w:t>0</w:t>
                  </w:r>
                </w:p>
              </w:tc>
              <w:tc>
                <w:tcPr>
                  <w:tcW w:w="842" w:type="pct"/>
                  <w:shd w:val="clear" w:color="auto" w:fill="auto"/>
                  <w:noWrap w:val="0"/>
                  <w:vAlign w:val="center"/>
                </w:tcPr>
                <w:p w14:paraId="29715331">
                  <w:pPr>
                    <w:jc w:val="center"/>
                    <w:rPr>
                      <w:rFonts w:hint="eastAsia" w:ascii="Times New Roman" w:hAnsi="Times New Roman" w:eastAsia="宋体" w:cs="Times New Roman"/>
                      <w:b/>
                      <w:bCs/>
                      <w:color w:val="auto"/>
                      <w:sz w:val="21"/>
                      <w:szCs w:val="21"/>
                      <w:u w:val="single"/>
                      <w:lang w:eastAsia="zh-CN"/>
                    </w:rPr>
                  </w:pPr>
                  <w:r>
                    <w:rPr>
                      <w:rFonts w:hint="eastAsia" w:ascii="Times New Roman" w:hAnsi="Times New Roman" w:cs="Times New Roman"/>
                      <w:b/>
                      <w:bCs/>
                      <w:color w:val="auto"/>
                      <w:sz w:val="21"/>
                      <w:szCs w:val="21"/>
                      <w:u w:val="single"/>
                      <w:lang w:val="en-US" w:eastAsia="zh-CN"/>
                    </w:rPr>
                    <w:t>/</w:t>
                  </w:r>
                </w:p>
              </w:tc>
              <w:tc>
                <w:tcPr>
                  <w:tcW w:w="763" w:type="pct"/>
                  <w:shd w:val="clear" w:color="auto" w:fill="auto"/>
                  <w:noWrap w:val="0"/>
                  <w:vAlign w:val="center"/>
                </w:tcPr>
                <w:p w14:paraId="6D902A19">
                  <w:pPr>
                    <w:jc w:val="center"/>
                    <w:rPr>
                      <w:rFonts w:hint="default" w:ascii="Times New Roman" w:hAnsi="Times New Roman" w:eastAsia="Arial" w:cs="Times New Roman"/>
                      <w:b/>
                      <w:bCs/>
                      <w:color w:val="auto"/>
                      <w:sz w:val="21"/>
                      <w:szCs w:val="21"/>
                      <w:u w:val="single"/>
                    </w:rPr>
                  </w:pPr>
                  <w:r>
                    <w:rPr>
                      <w:rFonts w:hint="eastAsia" w:ascii="Times New Roman" w:hAnsi="Times New Roman" w:cs="Times New Roman"/>
                      <w:b/>
                      <w:bCs/>
                      <w:color w:val="auto"/>
                      <w:sz w:val="21"/>
                      <w:szCs w:val="21"/>
                      <w:u w:val="single"/>
                      <w:lang w:val="en-US" w:eastAsia="zh-CN"/>
                    </w:rPr>
                    <w:t>/</w:t>
                  </w:r>
                </w:p>
              </w:tc>
              <w:tc>
                <w:tcPr>
                  <w:tcW w:w="569" w:type="pct"/>
                  <w:shd w:val="clear" w:color="auto" w:fill="auto"/>
                  <w:noWrap w:val="0"/>
                  <w:vAlign w:val="center"/>
                </w:tcPr>
                <w:p w14:paraId="0B55A0A8">
                  <w:pPr>
                    <w:jc w:val="center"/>
                    <w:rPr>
                      <w:rFonts w:hint="default" w:ascii="Times New Roman" w:hAnsi="Times New Roman" w:cs="Times New Roman"/>
                      <w:b/>
                      <w:bCs/>
                      <w:color w:val="auto"/>
                      <w:sz w:val="21"/>
                      <w:szCs w:val="21"/>
                      <w:u w:val="single"/>
                    </w:rPr>
                  </w:pPr>
                  <w:r>
                    <w:rPr>
                      <w:rFonts w:hint="eastAsia" w:ascii="Times New Roman" w:hAnsi="Times New Roman" w:eastAsia="宋体" w:cs="Times New Roman"/>
                      <w:b/>
                      <w:bCs/>
                      <w:color w:val="auto"/>
                      <w:sz w:val="21"/>
                      <w:szCs w:val="21"/>
                      <w:u w:val="single"/>
                      <w:lang w:val="en-US" w:eastAsia="zh-CN"/>
                    </w:rPr>
                    <w:t>55</w:t>
                  </w:r>
                </w:p>
              </w:tc>
              <w:tc>
                <w:tcPr>
                  <w:tcW w:w="568" w:type="pct"/>
                  <w:shd w:val="clear" w:color="auto" w:fill="auto"/>
                  <w:noWrap w:val="0"/>
                  <w:vAlign w:val="center"/>
                </w:tcPr>
                <w:p w14:paraId="524D6F76">
                  <w:pPr>
                    <w:jc w:val="center"/>
                    <w:rPr>
                      <w:rFonts w:hint="default" w:ascii="Times New Roman" w:hAnsi="Times New Roman" w:eastAsia="Arial" w:cs="Times New Roman"/>
                      <w:b/>
                      <w:bCs/>
                      <w:color w:val="auto"/>
                      <w:sz w:val="21"/>
                      <w:szCs w:val="21"/>
                      <w:u w:val="single"/>
                    </w:rPr>
                  </w:pPr>
                  <w:r>
                    <w:rPr>
                      <w:rFonts w:hint="eastAsia"/>
                      <w:b/>
                      <w:bCs/>
                      <w:color w:val="auto"/>
                      <w:szCs w:val="21"/>
                      <w:u w:val="single"/>
                    </w:rPr>
                    <w:t>达标</w:t>
                  </w:r>
                </w:p>
              </w:tc>
            </w:tr>
            <w:tr w14:paraId="73F0D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8" w:hRule="exact"/>
                <w:jc w:val="center"/>
              </w:trPr>
              <w:tc>
                <w:tcPr>
                  <w:tcW w:w="704" w:type="pct"/>
                  <w:vMerge w:val="restart"/>
                  <w:shd w:val="clear" w:color="auto" w:fill="auto"/>
                  <w:noWrap w:val="0"/>
                  <w:vAlign w:val="center"/>
                </w:tcPr>
                <w:p w14:paraId="6559F30E">
                  <w:pPr>
                    <w:jc w:val="center"/>
                    <w:rPr>
                      <w:rFonts w:hint="eastAsia" w:ascii="Times New Roman" w:hAnsi="Times New Roman" w:eastAsia="宋体" w:cs="Times New Roman"/>
                      <w:b/>
                      <w:bCs/>
                      <w:color w:val="auto"/>
                      <w:sz w:val="21"/>
                      <w:szCs w:val="21"/>
                      <w:u w:val="single"/>
                      <w:lang w:eastAsia="zh-CN"/>
                    </w:rPr>
                  </w:pPr>
                  <w:r>
                    <w:rPr>
                      <w:rFonts w:hint="default" w:ascii="Times New Roman" w:hAnsi="Times New Roman" w:eastAsia="Arial" w:cs="Times New Roman"/>
                      <w:b/>
                      <w:bCs/>
                      <w:color w:val="auto"/>
                      <w:sz w:val="21"/>
                      <w:szCs w:val="21"/>
                      <w:u w:val="single"/>
                    </w:rPr>
                    <w:t>北</w:t>
                  </w:r>
                  <w:r>
                    <w:rPr>
                      <w:rFonts w:hint="eastAsia" w:ascii="Times New Roman" w:hAnsi="Times New Roman" w:eastAsia="宋体" w:cs="Times New Roman"/>
                      <w:b/>
                      <w:bCs/>
                      <w:color w:val="auto"/>
                      <w:sz w:val="21"/>
                      <w:szCs w:val="21"/>
                      <w:u w:val="single"/>
                      <w:lang w:val="en-US" w:eastAsia="zh-CN"/>
                    </w:rPr>
                    <w:t>厂界</w:t>
                  </w:r>
                </w:p>
              </w:tc>
              <w:tc>
                <w:tcPr>
                  <w:tcW w:w="594" w:type="pct"/>
                  <w:shd w:val="clear" w:color="auto" w:fill="auto"/>
                  <w:noWrap w:val="0"/>
                  <w:vAlign w:val="center"/>
                </w:tcPr>
                <w:p w14:paraId="762B8558">
                  <w:pPr>
                    <w:jc w:val="center"/>
                    <w:rPr>
                      <w:rFonts w:hint="default" w:ascii="Times New Roman" w:hAnsi="Times New Roman" w:cs="Times New Roman"/>
                      <w:b/>
                      <w:bCs/>
                      <w:color w:val="auto"/>
                      <w:sz w:val="21"/>
                      <w:szCs w:val="21"/>
                      <w:u w:val="single"/>
                    </w:rPr>
                  </w:pPr>
                  <w:r>
                    <w:rPr>
                      <w:rFonts w:hint="default" w:ascii="Times New Roman" w:hAnsi="Times New Roman" w:eastAsia="Arial" w:cs="Times New Roman"/>
                      <w:b/>
                      <w:bCs/>
                      <w:color w:val="auto"/>
                      <w:sz w:val="21"/>
                      <w:szCs w:val="21"/>
                      <w:u w:val="single"/>
                    </w:rPr>
                    <w:t>昼间</w:t>
                  </w:r>
                </w:p>
              </w:tc>
              <w:tc>
                <w:tcPr>
                  <w:tcW w:w="957" w:type="pct"/>
                  <w:shd w:val="clear" w:color="auto" w:fill="auto"/>
                  <w:noWrap w:val="0"/>
                  <w:vAlign w:val="center"/>
                </w:tcPr>
                <w:p w14:paraId="514C2D5C">
                  <w:pPr>
                    <w:jc w:val="center"/>
                    <w:rPr>
                      <w:rFonts w:hint="default" w:ascii="Times New Roman" w:hAnsi="Times New Roman" w:eastAsia="宋体" w:cs="Times New Roman"/>
                      <w:b/>
                      <w:bCs/>
                      <w:color w:val="auto"/>
                      <w:sz w:val="21"/>
                      <w:szCs w:val="21"/>
                      <w:u w:val="single"/>
                      <w:lang w:val="en-US" w:eastAsia="zh-CN"/>
                    </w:rPr>
                  </w:pPr>
                  <w:r>
                    <w:rPr>
                      <w:rFonts w:hint="eastAsia" w:ascii="Times New Roman" w:hAnsi="Times New Roman" w:eastAsia="宋体" w:cs="Times New Roman"/>
                      <w:b/>
                      <w:bCs/>
                      <w:color w:val="auto"/>
                      <w:sz w:val="21"/>
                      <w:szCs w:val="21"/>
                      <w:u w:val="single"/>
                      <w:lang w:val="en-US" w:eastAsia="zh-CN"/>
                    </w:rPr>
                    <w:t>40.1</w:t>
                  </w:r>
                </w:p>
              </w:tc>
              <w:tc>
                <w:tcPr>
                  <w:tcW w:w="842" w:type="pct"/>
                  <w:shd w:val="clear" w:color="auto" w:fill="auto"/>
                  <w:noWrap w:val="0"/>
                  <w:vAlign w:val="center"/>
                </w:tcPr>
                <w:p w14:paraId="598D1AFD">
                  <w:pPr>
                    <w:jc w:val="center"/>
                    <w:rPr>
                      <w:rFonts w:hint="default" w:ascii="Times New Roman" w:hAnsi="Times New Roman" w:eastAsia="宋体" w:cs="Times New Roman"/>
                      <w:b/>
                      <w:bCs/>
                      <w:color w:val="auto"/>
                      <w:sz w:val="21"/>
                      <w:szCs w:val="21"/>
                      <w:u w:val="single"/>
                      <w:lang w:val="en-US" w:eastAsia="zh-CN"/>
                    </w:rPr>
                  </w:pPr>
                  <w:r>
                    <w:rPr>
                      <w:rFonts w:hint="eastAsia" w:ascii="Times New Roman" w:hAnsi="Times New Roman" w:cs="Times New Roman"/>
                      <w:b/>
                      <w:bCs/>
                      <w:color w:val="auto"/>
                      <w:sz w:val="21"/>
                      <w:szCs w:val="21"/>
                      <w:u w:val="single"/>
                      <w:lang w:val="en-US" w:eastAsia="zh-CN"/>
                    </w:rPr>
                    <w:t>/</w:t>
                  </w:r>
                </w:p>
              </w:tc>
              <w:tc>
                <w:tcPr>
                  <w:tcW w:w="763" w:type="pct"/>
                  <w:shd w:val="clear" w:color="auto" w:fill="auto"/>
                  <w:noWrap w:val="0"/>
                  <w:vAlign w:val="center"/>
                </w:tcPr>
                <w:p w14:paraId="58A7357A">
                  <w:pPr>
                    <w:jc w:val="center"/>
                    <w:rPr>
                      <w:rFonts w:hint="default" w:ascii="Times New Roman" w:hAnsi="Times New Roman" w:eastAsia="宋体" w:cs="Times New Roman"/>
                      <w:b/>
                      <w:bCs/>
                      <w:color w:val="auto"/>
                      <w:sz w:val="21"/>
                      <w:szCs w:val="21"/>
                      <w:u w:val="single"/>
                      <w:lang w:val="en-US" w:eastAsia="zh-CN"/>
                    </w:rPr>
                  </w:pPr>
                  <w:r>
                    <w:rPr>
                      <w:rFonts w:hint="eastAsia" w:ascii="Times New Roman" w:hAnsi="Times New Roman" w:cs="Times New Roman"/>
                      <w:b/>
                      <w:bCs/>
                      <w:color w:val="auto"/>
                      <w:sz w:val="21"/>
                      <w:szCs w:val="21"/>
                      <w:u w:val="single"/>
                      <w:lang w:val="en-US" w:eastAsia="zh-CN"/>
                    </w:rPr>
                    <w:t>/</w:t>
                  </w:r>
                </w:p>
              </w:tc>
              <w:tc>
                <w:tcPr>
                  <w:tcW w:w="569" w:type="pct"/>
                  <w:shd w:val="clear" w:color="auto" w:fill="auto"/>
                  <w:noWrap w:val="0"/>
                  <w:vAlign w:val="center"/>
                </w:tcPr>
                <w:p w14:paraId="5F68B485">
                  <w:pPr>
                    <w:jc w:val="center"/>
                    <w:rPr>
                      <w:rFonts w:hint="default" w:ascii="Times New Roman" w:hAnsi="Times New Roman" w:cs="Times New Roman"/>
                      <w:b/>
                      <w:bCs/>
                      <w:color w:val="auto"/>
                      <w:sz w:val="21"/>
                      <w:szCs w:val="21"/>
                      <w:u w:val="single"/>
                    </w:rPr>
                  </w:pPr>
                  <w:r>
                    <w:rPr>
                      <w:rFonts w:hint="eastAsia" w:ascii="Times New Roman" w:hAnsi="Times New Roman"/>
                      <w:b/>
                      <w:bCs/>
                      <w:color w:val="auto"/>
                      <w:sz w:val="21"/>
                      <w:szCs w:val="21"/>
                      <w:u w:val="single"/>
                      <w:lang w:val="en-US" w:eastAsia="zh-CN"/>
                    </w:rPr>
                    <w:t>65</w:t>
                  </w:r>
                </w:p>
              </w:tc>
              <w:tc>
                <w:tcPr>
                  <w:tcW w:w="568" w:type="pct"/>
                  <w:shd w:val="clear" w:color="auto" w:fill="auto"/>
                  <w:noWrap w:val="0"/>
                  <w:vAlign w:val="center"/>
                </w:tcPr>
                <w:p w14:paraId="181DCA91">
                  <w:pPr>
                    <w:jc w:val="center"/>
                    <w:rPr>
                      <w:rFonts w:hint="default" w:ascii="Times New Roman" w:hAnsi="Times New Roman" w:eastAsia="Arial" w:cs="Times New Roman"/>
                      <w:b/>
                      <w:bCs/>
                      <w:color w:val="auto"/>
                      <w:sz w:val="21"/>
                      <w:szCs w:val="21"/>
                      <w:u w:val="single"/>
                    </w:rPr>
                  </w:pPr>
                  <w:r>
                    <w:rPr>
                      <w:rFonts w:hint="eastAsia"/>
                      <w:b/>
                      <w:bCs/>
                      <w:color w:val="auto"/>
                      <w:szCs w:val="21"/>
                      <w:u w:val="single"/>
                    </w:rPr>
                    <w:t>达标</w:t>
                  </w:r>
                </w:p>
              </w:tc>
            </w:tr>
            <w:tr w14:paraId="27373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8" w:hRule="exact"/>
                <w:jc w:val="center"/>
              </w:trPr>
              <w:tc>
                <w:tcPr>
                  <w:tcW w:w="704" w:type="pct"/>
                  <w:vMerge w:val="continue"/>
                  <w:shd w:val="clear" w:color="auto" w:fill="auto"/>
                  <w:noWrap w:val="0"/>
                  <w:vAlign w:val="center"/>
                </w:tcPr>
                <w:p w14:paraId="6A22BF41">
                  <w:pPr>
                    <w:jc w:val="center"/>
                    <w:rPr>
                      <w:rFonts w:hint="default" w:ascii="Times New Roman" w:hAnsi="Times New Roman" w:cs="Times New Roman"/>
                      <w:b/>
                      <w:bCs/>
                      <w:color w:val="auto"/>
                      <w:sz w:val="21"/>
                      <w:szCs w:val="21"/>
                      <w:u w:val="single"/>
                    </w:rPr>
                  </w:pPr>
                  <w:r>
                    <w:rPr>
                      <w:rFonts w:hint="default" w:ascii="Times New Roman" w:hAnsi="Times New Roman" w:eastAsia="Arial" w:cs="Times New Roman"/>
                      <w:b/>
                      <w:bCs/>
                      <w:color w:val="auto"/>
                      <w:sz w:val="21"/>
                      <w:szCs w:val="21"/>
                      <w:u w:val="single"/>
                    </w:rPr>
                    <w:t>北侧</w:t>
                  </w:r>
                </w:p>
              </w:tc>
              <w:tc>
                <w:tcPr>
                  <w:tcW w:w="594" w:type="pct"/>
                  <w:shd w:val="clear" w:color="auto" w:fill="auto"/>
                  <w:noWrap w:val="0"/>
                  <w:vAlign w:val="center"/>
                </w:tcPr>
                <w:p w14:paraId="5FF54999">
                  <w:pPr>
                    <w:jc w:val="center"/>
                    <w:rPr>
                      <w:rFonts w:hint="default" w:ascii="Times New Roman" w:hAnsi="Times New Roman" w:cs="Times New Roman"/>
                      <w:b/>
                      <w:bCs/>
                      <w:color w:val="auto"/>
                      <w:sz w:val="21"/>
                      <w:szCs w:val="21"/>
                      <w:u w:val="single"/>
                    </w:rPr>
                  </w:pPr>
                  <w:r>
                    <w:rPr>
                      <w:rFonts w:hint="default" w:ascii="Times New Roman" w:hAnsi="Times New Roman" w:eastAsia="Arial" w:cs="Times New Roman"/>
                      <w:b/>
                      <w:bCs/>
                      <w:color w:val="auto"/>
                      <w:sz w:val="21"/>
                      <w:szCs w:val="21"/>
                      <w:u w:val="single"/>
                    </w:rPr>
                    <w:t>夜间</w:t>
                  </w:r>
                </w:p>
              </w:tc>
              <w:tc>
                <w:tcPr>
                  <w:tcW w:w="957" w:type="pct"/>
                  <w:shd w:val="clear" w:color="auto" w:fill="auto"/>
                  <w:noWrap w:val="0"/>
                  <w:vAlign w:val="center"/>
                </w:tcPr>
                <w:p w14:paraId="6D02A0C0">
                  <w:pPr>
                    <w:jc w:val="center"/>
                    <w:rPr>
                      <w:rFonts w:hint="eastAsia" w:ascii="Times New Roman" w:hAnsi="Times New Roman" w:eastAsia="宋体" w:cs="Times New Roman"/>
                      <w:b/>
                      <w:bCs/>
                      <w:color w:val="auto"/>
                      <w:sz w:val="21"/>
                      <w:szCs w:val="21"/>
                      <w:u w:val="single"/>
                      <w:lang w:eastAsia="zh-CN"/>
                    </w:rPr>
                  </w:pPr>
                  <w:r>
                    <w:rPr>
                      <w:rFonts w:hint="eastAsia" w:ascii="Times New Roman" w:hAnsi="Times New Roman" w:eastAsia="宋体" w:cs="Times New Roman"/>
                      <w:b/>
                      <w:bCs/>
                      <w:color w:val="auto"/>
                      <w:sz w:val="21"/>
                      <w:szCs w:val="21"/>
                      <w:u w:val="single"/>
                      <w:lang w:val="en-US" w:eastAsia="zh-CN"/>
                    </w:rPr>
                    <w:t>0</w:t>
                  </w:r>
                </w:p>
              </w:tc>
              <w:tc>
                <w:tcPr>
                  <w:tcW w:w="842" w:type="pct"/>
                  <w:shd w:val="clear" w:color="auto" w:fill="auto"/>
                  <w:noWrap w:val="0"/>
                  <w:vAlign w:val="center"/>
                </w:tcPr>
                <w:p w14:paraId="269EC084">
                  <w:pPr>
                    <w:jc w:val="center"/>
                    <w:rPr>
                      <w:rFonts w:hint="default" w:ascii="Times New Roman" w:hAnsi="Times New Roman" w:eastAsia="宋体" w:cs="Times New Roman"/>
                      <w:b/>
                      <w:bCs/>
                      <w:color w:val="auto"/>
                      <w:sz w:val="21"/>
                      <w:szCs w:val="21"/>
                      <w:u w:val="single"/>
                      <w:lang w:val="en-US" w:eastAsia="zh-CN"/>
                    </w:rPr>
                  </w:pPr>
                  <w:r>
                    <w:rPr>
                      <w:rFonts w:hint="eastAsia" w:ascii="Times New Roman" w:hAnsi="Times New Roman" w:cs="Times New Roman"/>
                      <w:b/>
                      <w:bCs/>
                      <w:color w:val="auto"/>
                      <w:sz w:val="21"/>
                      <w:szCs w:val="21"/>
                      <w:u w:val="single"/>
                      <w:lang w:val="en-US" w:eastAsia="zh-CN"/>
                    </w:rPr>
                    <w:t>/</w:t>
                  </w:r>
                </w:p>
              </w:tc>
              <w:tc>
                <w:tcPr>
                  <w:tcW w:w="763" w:type="pct"/>
                  <w:shd w:val="clear" w:color="auto" w:fill="auto"/>
                  <w:noWrap w:val="0"/>
                  <w:vAlign w:val="center"/>
                </w:tcPr>
                <w:p w14:paraId="60A641F7">
                  <w:pPr>
                    <w:jc w:val="center"/>
                    <w:rPr>
                      <w:rFonts w:hint="default" w:ascii="Times New Roman" w:hAnsi="Times New Roman" w:eastAsia="宋体" w:cs="Times New Roman"/>
                      <w:b/>
                      <w:bCs/>
                      <w:color w:val="auto"/>
                      <w:sz w:val="21"/>
                      <w:szCs w:val="21"/>
                      <w:u w:val="single"/>
                      <w:lang w:val="en-US" w:eastAsia="zh-CN"/>
                    </w:rPr>
                  </w:pPr>
                  <w:r>
                    <w:rPr>
                      <w:rFonts w:hint="eastAsia" w:ascii="Times New Roman" w:hAnsi="Times New Roman" w:cs="Times New Roman"/>
                      <w:b/>
                      <w:bCs/>
                      <w:color w:val="auto"/>
                      <w:sz w:val="21"/>
                      <w:szCs w:val="21"/>
                      <w:u w:val="single"/>
                      <w:lang w:val="en-US" w:eastAsia="zh-CN"/>
                    </w:rPr>
                    <w:t>/</w:t>
                  </w:r>
                </w:p>
              </w:tc>
              <w:tc>
                <w:tcPr>
                  <w:tcW w:w="569" w:type="pct"/>
                  <w:shd w:val="clear" w:color="auto" w:fill="auto"/>
                  <w:noWrap w:val="0"/>
                  <w:vAlign w:val="center"/>
                </w:tcPr>
                <w:p w14:paraId="4E849E61">
                  <w:pPr>
                    <w:jc w:val="center"/>
                    <w:rPr>
                      <w:rFonts w:hint="default" w:ascii="Times New Roman" w:hAnsi="Times New Roman" w:cs="Times New Roman"/>
                      <w:b/>
                      <w:bCs/>
                      <w:color w:val="auto"/>
                      <w:sz w:val="21"/>
                      <w:szCs w:val="21"/>
                      <w:u w:val="single"/>
                    </w:rPr>
                  </w:pPr>
                  <w:r>
                    <w:rPr>
                      <w:rFonts w:hint="eastAsia" w:ascii="Times New Roman" w:hAnsi="Times New Roman" w:eastAsia="宋体" w:cs="Times New Roman"/>
                      <w:b/>
                      <w:bCs/>
                      <w:color w:val="auto"/>
                      <w:sz w:val="21"/>
                      <w:szCs w:val="21"/>
                      <w:u w:val="single"/>
                      <w:lang w:val="en-US" w:eastAsia="zh-CN"/>
                    </w:rPr>
                    <w:t>55</w:t>
                  </w:r>
                </w:p>
              </w:tc>
              <w:tc>
                <w:tcPr>
                  <w:tcW w:w="568" w:type="pct"/>
                  <w:shd w:val="clear" w:color="auto" w:fill="auto"/>
                  <w:noWrap w:val="0"/>
                  <w:vAlign w:val="center"/>
                </w:tcPr>
                <w:p w14:paraId="1E41D461">
                  <w:pPr>
                    <w:jc w:val="center"/>
                    <w:rPr>
                      <w:rFonts w:hint="default" w:ascii="Times New Roman" w:hAnsi="Times New Roman" w:eastAsia="Arial" w:cs="Times New Roman"/>
                      <w:b/>
                      <w:bCs/>
                      <w:color w:val="auto"/>
                      <w:sz w:val="21"/>
                      <w:szCs w:val="21"/>
                      <w:u w:val="single"/>
                    </w:rPr>
                  </w:pPr>
                  <w:r>
                    <w:rPr>
                      <w:rFonts w:hint="eastAsia"/>
                      <w:b/>
                      <w:bCs/>
                      <w:color w:val="auto"/>
                      <w:szCs w:val="21"/>
                      <w:u w:val="single"/>
                    </w:rPr>
                    <w:t>达标</w:t>
                  </w:r>
                </w:p>
              </w:tc>
            </w:tr>
          </w:tbl>
          <w:p w14:paraId="14431E63">
            <w:pPr>
              <w:pStyle w:val="21"/>
              <w:widowControl w:val="0"/>
              <w:adjustRightInd w:val="0"/>
              <w:snapToGrid w:val="0"/>
              <w:spacing w:before="0" w:beforeAutospacing="0" w:after="0" w:afterAutospacing="0" w:line="360" w:lineRule="auto"/>
              <w:ind w:firstLine="480" w:firstLineChars="200"/>
              <w:jc w:val="both"/>
              <w:rPr>
                <w:rFonts w:ascii="Times New Roman" w:hAnsi="Times New Roman"/>
                <w:color w:val="auto"/>
                <w:szCs w:val="24"/>
              </w:rPr>
            </w:pPr>
            <w:r>
              <w:rPr>
                <w:rFonts w:ascii="Times New Roman" w:hAnsi="Times New Roman"/>
                <w:color w:val="auto"/>
                <w:szCs w:val="24"/>
              </w:rPr>
              <w:t>由表可知，本项目运营期各厂界噪声预测值均满足《工业企业厂界环境噪声排放标准》（GB12348-2008）</w:t>
            </w:r>
            <w:r>
              <w:rPr>
                <w:rFonts w:hint="eastAsia" w:ascii="Times New Roman" w:hAnsi="Times New Roman"/>
                <w:color w:val="auto"/>
                <w:szCs w:val="24"/>
              </w:rPr>
              <w:t>3</w:t>
            </w:r>
            <w:r>
              <w:rPr>
                <w:rFonts w:ascii="Times New Roman" w:hAnsi="Times New Roman"/>
                <w:color w:val="auto"/>
                <w:szCs w:val="24"/>
              </w:rPr>
              <w:t>类标准要求，项目运营期噪声对周围环境影响不大。</w:t>
            </w:r>
          </w:p>
          <w:p w14:paraId="7E23F45B">
            <w:pPr>
              <w:pStyle w:val="46"/>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default" w:ascii="Times New Roman" w:hAnsi="Arial Unicode MS" w:eastAsia="宋体" w:cs="Times New Roman"/>
                <w:b/>
                <w:color w:val="auto"/>
                <w:kern w:val="2"/>
                <w:sz w:val="24"/>
                <w:szCs w:val="24"/>
                <w:lang w:val="en-US" w:eastAsia="zh-CN" w:bidi="ar-SA"/>
              </w:rPr>
            </w:pPr>
            <w:r>
              <w:rPr>
                <w:rFonts w:hint="default" w:ascii="Times New Roman" w:hAnsi="Arial Unicode MS" w:eastAsia="宋体" w:cs="Times New Roman"/>
                <w:b/>
                <w:color w:val="auto"/>
                <w:kern w:val="2"/>
                <w:sz w:val="24"/>
                <w:szCs w:val="24"/>
                <w:lang w:val="en-US" w:eastAsia="zh-CN" w:bidi="ar-SA"/>
              </w:rPr>
              <w:t>本项目噪声监测计划</w:t>
            </w:r>
          </w:p>
          <w:tbl>
            <w:tblPr>
              <w:tblStyle w:val="25"/>
              <w:tblpPr w:leftFromText="180" w:rightFromText="180" w:vertAnchor="text" w:horzAnchor="page" w:tblpX="162" w:tblpY="54"/>
              <w:tblOverlap w:val="never"/>
              <w:tblW w:w="493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9"/>
              <w:gridCol w:w="1124"/>
              <w:gridCol w:w="1185"/>
              <w:gridCol w:w="1064"/>
              <w:gridCol w:w="4042"/>
            </w:tblGrid>
            <w:tr w14:paraId="5D10B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650" w:type="pct"/>
                  <w:noWrap w:val="0"/>
                  <w:vAlign w:val="center"/>
                </w:tcPr>
                <w:p w14:paraId="37FBC377">
                  <w:pPr>
                    <w:pStyle w:val="8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85"/>
                      <w:rFonts w:hint="default" w:ascii="Times New Roman" w:hAnsi="Times New Roman" w:cs="Times New Roman"/>
                      <w:b/>
                      <w:bCs/>
                      <w:color w:val="auto"/>
                      <w:kern w:val="2"/>
                      <w:sz w:val="21"/>
                      <w:szCs w:val="21"/>
                      <w:u w:val="none"/>
                    </w:rPr>
                  </w:pPr>
                  <w:r>
                    <w:rPr>
                      <w:rStyle w:val="85"/>
                      <w:rFonts w:hint="default" w:ascii="Times New Roman" w:hAnsi="Times New Roman" w:cs="Times New Roman"/>
                      <w:b/>
                      <w:bCs/>
                      <w:color w:val="auto"/>
                      <w:kern w:val="2"/>
                      <w:sz w:val="21"/>
                      <w:szCs w:val="21"/>
                      <w:u w:val="none"/>
                    </w:rPr>
                    <w:t>监测项目</w:t>
                  </w:r>
                </w:p>
              </w:tc>
              <w:tc>
                <w:tcPr>
                  <w:tcW w:w="659" w:type="pct"/>
                  <w:noWrap w:val="0"/>
                  <w:vAlign w:val="center"/>
                </w:tcPr>
                <w:p w14:paraId="6147D1A8">
                  <w:pPr>
                    <w:pStyle w:val="8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85"/>
                      <w:rFonts w:hint="default" w:ascii="Times New Roman" w:hAnsi="Times New Roman" w:cs="Times New Roman"/>
                      <w:b/>
                      <w:bCs/>
                      <w:color w:val="auto"/>
                      <w:kern w:val="2"/>
                      <w:sz w:val="21"/>
                      <w:szCs w:val="21"/>
                      <w:u w:val="none"/>
                    </w:rPr>
                  </w:pPr>
                  <w:r>
                    <w:rPr>
                      <w:rStyle w:val="85"/>
                      <w:rFonts w:hint="default" w:ascii="Times New Roman" w:hAnsi="Times New Roman" w:cs="Times New Roman"/>
                      <w:b/>
                      <w:bCs/>
                      <w:color w:val="auto"/>
                      <w:kern w:val="2"/>
                      <w:sz w:val="21"/>
                      <w:szCs w:val="21"/>
                      <w:u w:val="none"/>
                    </w:rPr>
                    <w:t>监测点位</w:t>
                  </w:r>
                </w:p>
              </w:tc>
              <w:tc>
                <w:tcPr>
                  <w:tcW w:w="695" w:type="pct"/>
                  <w:noWrap w:val="0"/>
                  <w:vAlign w:val="center"/>
                </w:tcPr>
                <w:p w14:paraId="12C0E65C">
                  <w:pPr>
                    <w:pStyle w:val="8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85"/>
                      <w:rFonts w:hint="default" w:ascii="Times New Roman" w:hAnsi="Times New Roman" w:cs="Times New Roman"/>
                      <w:b/>
                      <w:bCs/>
                      <w:color w:val="auto"/>
                      <w:kern w:val="2"/>
                      <w:sz w:val="21"/>
                      <w:szCs w:val="21"/>
                      <w:u w:val="none"/>
                    </w:rPr>
                  </w:pPr>
                  <w:r>
                    <w:rPr>
                      <w:rStyle w:val="85"/>
                      <w:rFonts w:hint="default" w:ascii="Times New Roman" w:hAnsi="Times New Roman" w:cs="Times New Roman"/>
                      <w:b/>
                      <w:bCs/>
                      <w:color w:val="auto"/>
                      <w:kern w:val="2"/>
                      <w:sz w:val="21"/>
                      <w:szCs w:val="21"/>
                      <w:u w:val="none"/>
                    </w:rPr>
                    <w:t>监测指标</w:t>
                  </w:r>
                </w:p>
              </w:tc>
              <w:tc>
                <w:tcPr>
                  <w:tcW w:w="624" w:type="pct"/>
                  <w:noWrap w:val="0"/>
                  <w:vAlign w:val="center"/>
                </w:tcPr>
                <w:p w14:paraId="451D8912">
                  <w:pPr>
                    <w:pStyle w:val="8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85"/>
                      <w:rFonts w:hint="default" w:ascii="Times New Roman" w:hAnsi="Times New Roman" w:cs="Times New Roman"/>
                      <w:b/>
                      <w:bCs/>
                      <w:color w:val="auto"/>
                      <w:kern w:val="2"/>
                      <w:sz w:val="21"/>
                      <w:szCs w:val="21"/>
                      <w:u w:val="none"/>
                    </w:rPr>
                  </w:pPr>
                  <w:r>
                    <w:rPr>
                      <w:rStyle w:val="85"/>
                      <w:rFonts w:hint="default" w:ascii="Times New Roman" w:hAnsi="Times New Roman" w:cs="Times New Roman"/>
                      <w:b/>
                      <w:bCs/>
                      <w:color w:val="auto"/>
                      <w:kern w:val="2"/>
                      <w:sz w:val="21"/>
                      <w:szCs w:val="21"/>
                      <w:u w:val="none"/>
                    </w:rPr>
                    <w:t>监测频次</w:t>
                  </w:r>
                </w:p>
              </w:tc>
              <w:tc>
                <w:tcPr>
                  <w:tcW w:w="2370" w:type="pct"/>
                  <w:noWrap w:val="0"/>
                  <w:vAlign w:val="center"/>
                </w:tcPr>
                <w:p w14:paraId="79BF1382">
                  <w:pPr>
                    <w:pStyle w:val="8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85"/>
                      <w:rFonts w:hint="default" w:ascii="Times New Roman" w:hAnsi="Times New Roman" w:cs="Times New Roman"/>
                      <w:b/>
                      <w:bCs/>
                      <w:color w:val="auto"/>
                      <w:kern w:val="2"/>
                      <w:sz w:val="21"/>
                      <w:szCs w:val="21"/>
                      <w:u w:val="none"/>
                    </w:rPr>
                  </w:pPr>
                  <w:r>
                    <w:rPr>
                      <w:rStyle w:val="85"/>
                      <w:rFonts w:hint="default" w:ascii="Times New Roman" w:hAnsi="Times New Roman" w:cs="Times New Roman"/>
                      <w:b/>
                      <w:bCs/>
                      <w:color w:val="auto"/>
                      <w:kern w:val="2"/>
                      <w:sz w:val="21"/>
                      <w:szCs w:val="21"/>
                      <w:u w:val="none"/>
                    </w:rPr>
                    <w:t>执行标准</w:t>
                  </w:r>
                </w:p>
              </w:tc>
            </w:tr>
            <w:tr w14:paraId="4DFB0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650" w:type="pct"/>
                  <w:noWrap w:val="0"/>
                  <w:vAlign w:val="center"/>
                </w:tcPr>
                <w:p w14:paraId="417C217E">
                  <w:pPr>
                    <w:pStyle w:val="8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85"/>
                      <w:rFonts w:hint="default" w:ascii="Times New Roman" w:hAnsi="Times New Roman" w:cs="Times New Roman"/>
                      <w:b w:val="0"/>
                      <w:bCs w:val="0"/>
                      <w:color w:val="auto"/>
                      <w:kern w:val="2"/>
                      <w:sz w:val="21"/>
                      <w:szCs w:val="21"/>
                      <w:u w:val="none"/>
                    </w:rPr>
                  </w:pPr>
                  <w:r>
                    <w:rPr>
                      <w:rStyle w:val="85"/>
                      <w:rFonts w:hint="default" w:ascii="Times New Roman" w:hAnsi="Times New Roman" w:cs="Times New Roman"/>
                      <w:b w:val="0"/>
                      <w:bCs w:val="0"/>
                      <w:color w:val="auto"/>
                      <w:kern w:val="2"/>
                      <w:sz w:val="21"/>
                      <w:szCs w:val="21"/>
                      <w:u w:val="none"/>
                    </w:rPr>
                    <w:t>噪声</w:t>
                  </w:r>
                </w:p>
              </w:tc>
              <w:tc>
                <w:tcPr>
                  <w:tcW w:w="659" w:type="pct"/>
                  <w:noWrap w:val="0"/>
                  <w:vAlign w:val="center"/>
                </w:tcPr>
                <w:p w14:paraId="05B76B4E">
                  <w:pPr>
                    <w:pStyle w:val="8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85"/>
                      <w:rFonts w:hint="default" w:ascii="Times New Roman" w:hAnsi="Times New Roman" w:cs="Times New Roman"/>
                      <w:b w:val="0"/>
                      <w:bCs w:val="0"/>
                      <w:color w:val="auto"/>
                      <w:kern w:val="2"/>
                      <w:sz w:val="21"/>
                      <w:szCs w:val="21"/>
                      <w:u w:val="none"/>
                    </w:rPr>
                  </w:pPr>
                  <w:r>
                    <w:rPr>
                      <w:rStyle w:val="85"/>
                      <w:rFonts w:hint="default" w:ascii="Times New Roman" w:hAnsi="Times New Roman" w:cs="Times New Roman"/>
                      <w:b w:val="0"/>
                      <w:bCs w:val="0"/>
                      <w:color w:val="auto"/>
                      <w:kern w:val="2"/>
                      <w:sz w:val="21"/>
                      <w:szCs w:val="21"/>
                      <w:u w:val="none"/>
                    </w:rPr>
                    <w:t>厂界四周</w:t>
                  </w:r>
                </w:p>
              </w:tc>
              <w:tc>
                <w:tcPr>
                  <w:tcW w:w="695" w:type="pct"/>
                  <w:noWrap w:val="0"/>
                  <w:vAlign w:val="center"/>
                </w:tcPr>
                <w:p w14:paraId="520821DE">
                  <w:pPr>
                    <w:pStyle w:val="8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pacing w:val="-6"/>
                      <w:sz w:val="21"/>
                      <w:szCs w:val="21"/>
                      <w:u w:val="none"/>
                    </w:rPr>
                  </w:pPr>
                  <w:r>
                    <w:rPr>
                      <w:rFonts w:hint="default" w:ascii="Times New Roman" w:hAnsi="Times New Roman" w:cs="Times New Roman"/>
                      <w:b w:val="0"/>
                      <w:bCs w:val="0"/>
                      <w:color w:val="auto"/>
                      <w:spacing w:val="-6"/>
                      <w:sz w:val="21"/>
                      <w:szCs w:val="21"/>
                      <w:u w:val="none"/>
                    </w:rPr>
                    <w:t>等效连续A声级</w:t>
                  </w:r>
                </w:p>
              </w:tc>
              <w:tc>
                <w:tcPr>
                  <w:tcW w:w="624" w:type="pct"/>
                  <w:noWrap w:val="0"/>
                  <w:vAlign w:val="center"/>
                </w:tcPr>
                <w:p w14:paraId="16634196">
                  <w:pPr>
                    <w:pStyle w:val="8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85"/>
                      <w:rFonts w:hint="default" w:ascii="Times New Roman" w:hAnsi="Times New Roman" w:cs="Times New Roman"/>
                      <w:b w:val="0"/>
                      <w:bCs w:val="0"/>
                      <w:color w:val="auto"/>
                      <w:kern w:val="2"/>
                      <w:sz w:val="21"/>
                      <w:szCs w:val="21"/>
                      <w:u w:val="none"/>
                    </w:rPr>
                  </w:pPr>
                  <w:r>
                    <w:rPr>
                      <w:rStyle w:val="85"/>
                      <w:rFonts w:hint="default" w:ascii="Times New Roman" w:hAnsi="Times New Roman" w:cs="Times New Roman"/>
                      <w:b w:val="0"/>
                      <w:bCs w:val="0"/>
                      <w:color w:val="auto"/>
                      <w:kern w:val="2"/>
                      <w:sz w:val="21"/>
                      <w:szCs w:val="21"/>
                      <w:u w:val="none"/>
                    </w:rPr>
                    <w:t>1次/季度</w:t>
                  </w:r>
                </w:p>
              </w:tc>
              <w:tc>
                <w:tcPr>
                  <w:tcW w:w="2370" w:type="pct"/>
                  <w:noWrap w:val="0"/>
                  <w:vAlign w:val="center"/>
                </w:tcPr>
                <w:p w14:paraId="50957582">
                  <w:pPr>
                    <w:pStyle w:val="8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pacing w:val="-6"/>
                      <w:sz w:val="21"/>
                      <w:szCs w:val="21"/>
                      <w:u w:val="none"/>
                    </w:rPr>
                  </w:pPr>
                  <w:r>
                    <w:rPr>
                      <w:rFonts w:hint="default" w:ascii="Times New Roman" w:hAnsi="Times New Roman" w:cs="Times New Roman"/>
                      <w:b w:val="0"/>
                      <w:bCs w:val="0"/>
                      <w:color w:val="auto"/>
                      <w:spacing w:val="-6"/>
                      <w:sz w:val="21"/>
                      <w:szCs w:val="21"/>
                      <w:u w:val="none"/>
                    </w:rPr>
                    <w:t>《工业企业厂界环境噪声排放标准》(GB12348—2008)3类标准</w:t>
                  </w:r>
                </w:p>
              </w:tc>
            </w:tr>
          </w:tbl>
          <w:p w14:paraId="7C586AB9">
            <w:pPr>
              <w:spacing w:line="360" w:lineRule="auto"/>
              <w:rPr>
                <w:b/>
                <w:bCs/>
                <w:color w:val="auto"/>
                <w:kern w:val="0"/>
                <w:sz w:val="24"/>
              </w:rPr>
            </w:pPr>
            <w:r>
              <w:rPr>
                <w:rFonts w:hint="eastAsia"/>
                <w:b/>
                <w:bCs/>
                <w:color w:val="auto"/>
                <w:kern w:val="0"/>
                <w:sz w:val="24"/>
              </w:rPr>
              <w:t>4、固体废物环境影响分析</w:t>
            </w:r>
          </w:p>
          <w:p w14:paraId="10F823CB">
            <w:pPr>
              <w:spacing w:line="360" w:lineRule="auto"/>
              <w:ind w:firstLine="482" w:firstLineChars="200"/>
              <w:rPr>
                <w:b/>
                <w:bCs/>
                <w:color w:val="auto"/>
                <w:kern w:val="0"/>
                <w:sz w:val="24"/>
              </w:rPr>
            </w:pPr>
            <w:r>
              <w:rPr>
                <w:rFonts w:hint="eastAsia"/>
                <w:b/>
                <w:bCs/>
                <w:color w:val="auto"/>
                <w:kern w:val="0"/>
                <w:sz w:val="24"/>
              </w:rPr>
              <w:t>4.1 固体废物产生情况</w:t>
            </w:r>
          </w:p>
          <w:p w14:paraId="33BCD246">
            <w:pPr>
              <w:spacing w:line="360" w:lineRule="auto"/>
              <w:ind w:firstLine="480" w:firstLineChars="200"/>
              <w:rPr>
                <w:rFonts w:hint="eastAsia"/>
                <w:color w:val="auto"/>
                <w:kern w:val="0"/>
                <w:sz w:val="24"/>
              </w:rPr>
            </w:pPr>
            <w:r>
              <w:rPr>
                <w:rFonts w:hint="eastAsia"/>
                <w:color w:val="auto"/>
                <w:kern w:val="0"/>
                <w:sz w:val="24"/>
              </w:rPr>
              <w:t>本项目固体废物主要有废木材边角料、废砂纸、除尘设施收集的粉尘、</w:t>
            </w:r>
            <w:r>
              <w:rPr>
                <w:rFonts w:hint="eastAsia"/>
                <w:b/>
                <w:bCs/>
                <w:color w:val="auto"/>
                <w:kern w:val="0"/>
                <w:sz w:val="24"/>
                <w:u w:val="single"/>
                <w:lang w:val="en-US" w:eastAsia="zh-CN"/>
              </w:rPr>
              <w:t>饮水机RO膜、</w:t>
            </w:r>
            <w:r>
              <w:rPr>
                <w:rFonts w:hint="eastAsia"/>
                <w:color w:val="auto"/>
                <w:kern w:val="0"/>
                <w:sz w:val="24"/>
              </w:rPr>
              <w:t>废漆料（胶）包装桶、</w:t>
            </w:r>
            <w:r>
              <w:rPr>
                <w:rFonts w:hint="eastAsia"/>
                <w:b/>
                <w:bCs/>
                <w:color w:val="auto"/>
                <w:kern w:val="0"/>
                <w:sz w:val="24"/>
                <w:u w:val="single"/>
                <w:lang w:val="en-US" w:eastAsia="zh-CN"/>
              </w:rPr>
              <w:t>油磨粉尘、</w:t>
            </w:r>
            <w:r>
              <w:rPr>
                <w:rFonts w:hint="eastAsia"/>
                <w:color w:val="auto"/>
                <w:kern w:val="0"/>
                <w:sz w:val="24"/>
                <w:lang w:val="en-US" w:eastAsia="zh-CN"/>
              </w:rPr>
              <w:t>废机油、</w:t>
            </w:r>
            <w:r>
              <w:rPr>
                <w:rFonts w:hint="eastAsia"/>
                <w:color w:val="auto"/>
                <w:kern w:val="0"/>
                <w:sz w:val="24"/>
              </w:rPr>
              <w:t>废液压油、</w:t>
            </w:r>
            <w:r>
              <w:rPr>
                <w:rFonts w:hint="eastAsia"/>
                <w:color w:val="auto"/>
                <w:kern w:val="0"/>
                <w:sz w:val="24"/>
                <w:lang w:val="en-US" w:eastAsia="zh-CN"/>
              </w:rPr>
              <w:t>废机油桶、废液压油桶、</w:t>
            </w:r>
            <w:r>
              <w:rPr>
                <w:rFonts w:hint="eastAsia"/>
                <w:color w:val="auto"/>
                <w:kern w:val="0"/>
                <w:sz w:val="24"/>
              </w:rPr>
              <w:t>废过滤棉（含漆渣）、废活性炭、废催化剂</w:t>
            </w:r>
            <w:r>
              <w:rPr>
                <w:rFonts w:hint="eastAsia"/>
                <w:color w:val="auto"/>
                <w:kern w:val="0"/>
                <w:sz w:val="24"/>
                <w:lang w:eastAsia="zh-CN"/>
              </w:rPr>
              <w:t>、</w:t>
            </w:r>
            <w:r>
              <w:rPr>
                <w:rFonts w:hint="eastAsia"/>
                <w:color w:val="auto"/>
                <w:kern w:val="0"/>
                <w:sz w:val="24"/>
                <w:lang w:val="en-US" w:eastAsia="zh-CN"/>
              </w:rPr>
              <w:t>废UV灯管</w:t>
            </w:r>
            <w:r>
              <w:rPr>
                <w:rFonts w:hint="eastAsia"/>
                <w:color w:val="auto"/>
                <w:kern w:val="0"/>
                <w:sz w:val="24"/>
              </w:rPr>
              <w:t>及生活垃圾。其中，木材边角料、废砂纸、除尘设施收集的粉尘为一般工业固废；废液压油、废过滤棉（含漆渣）、废活性炭、废催化剂、废漆料（胶）包装桶等属于危险废物。</w:t>
            </w:r>
          </w:p>
          <w:p w14:paraId="727BBC1C">
            <w:pPr>
              <w:snapToGrid w:val="0"/>
              <w:spacing w:line="360" w:lineRule="auto"/>
              <w:ind w:firstLine="480" w:firstLineChars="200"/>
              <w:rPr>
                <w:rFonts w:hint="eastAsia"/>
                <w:color w:val="auto"/>
                <w:kern w:val="0"/>
                <w:sz w:val="24"/>
              </w:rPr>
            </w:pPr>
            <w:r>
              <w:rPr>
                <w:rFonts w:hint="eastAsia"/>
                <w:color w:val="auto"/>
                <w:kern w:val="0"/>
                <w:sz w:val="24"/>
              </w:rPr>
              <w:t>（1）一般工业固体废物</w:t>
            </w:r>
          </w:p>
          <w:p w14:paraId="0A577493">
            <w:pPr>
              <w:snapToGrid w:val="0"/>
              <w:spacing w:line="360" w:lineRule="auto"/>
              <w:ind w:firstLine="480" w:firstLineChars="200"/>
              <w:rPr>
                <w:rFonts w:hint="eastAsia"/>
                <w:color w:val="auto"/>
                <w:kern w:val="0"/>
                <w:sz w:val="24"/>
              </w:rPr>
            </w:pPr>
            <w:r>
              <w:rPr>
                <w:rFonts w:hint="eastAsia"/>
                <w:color w:val="auto"/>
                <w:kern w:val="0"/>
                <w:sz w:val="24"/>
              </w:rPr>
              <w:t>①木材边角料</w:t>
            </w:r>
          </w:p>
          <w:p w14:paraId="4E320CBA">
            <w:pPr>
              <w:snapToGrid w:val="0"/>
              <w:spacing w:line="360" w:lineRule="auto"/>
              <w:ind w:firstLine="480" w:firstLineChars="200"/>
              <w:rPr>
                <w:rFonts w:hint="eastAsia"/>
                <w:color w:val="auto"/>
                <w:kern w:val="0"/>
                <w:sz w:val="24"/>
              </w:rPr>
            </w:pPr>
            <w:r>
              <w:rPr>
                <w:rFonts w:hint="eastAsia"/>
                <w:color w:val="auto"/>
                <w:kern w:val="0"/>
                <w:sz w:val="24"/>
              </w:rPr>
              <w:t>项目在加工过程中会产生木材边角料，经与项目单位沟通废废边角料产生量约2.08t/a，出售给废品回收单位。</w:t>
            </w:r>
          </w:p>
          <w:p w14:paraId="0E6F8DDC">
            <w:pPr>
              <w:spacing w:line="360" w:lineRule="auto"/>
              <w:ind w:firstLine="480" w:firstLineChars="200"/>
              <w:rPr>
                <w:rFonts w:hint="eastAsia"/>
                <w:color w:val="auto"/>
                <w:kern w:val="0"/>
                <w:sz w:val="24"/>
              </w:rPr>
            </w:pPr>
            <w:r>
              <w:rPr>
                <w:rFonts w:hint="eastAsia"/>
                <w:color w:val="auto"/>
                <w:kern w:val="0"/>
                <w:sz w:val="24"/>
              </w:rPr>
              <w:t>②除尘设施收集的粉尘</w:t>
            </w:r>
          </w:p>
          <w:p w14:paraId="63A16E0B">
            <w:pPr>
              <w:spacing w:line="360" w:lineRule="auto"/>
              <w:ind w:firstLine="480" w:firstLineChars="200"/>
              <w:rPr>
                <w:rFonts w:hint="eastAsia"/>
                <w:color w:val="auto"/>
                <w:kern w:val="0"/>
                <w:sz w:val="24"/>
              </w:rPr>
            </w:pPr>
            <w:r>
              <w:rPr>
                <w:rFonts w:hint="eastAsia"/>
                <w:color w:val="auto"/>
                <w:kern w:val="0"/>
                <w:sz w:val="24"/>
              </w:rPr>
              <w:t>根据废气污染物产排污环节分析可知，除尘器收集的粉尘量为</w:t>
            </w:r>
            <w:r>
              <w:rPr>
                <w:rFonts w:hint="eastAsia"/>
                <w:b/>
                <w:bCs/>
                <w:color w:val="auto"/>
                <w:kern w:val="0"/>
                <w:sz w:val="24"/>
                <w:u w:val="single"/>
                <w:lang w:val="en-US" w:eastAsia="zh-CN"/>
              </w:rPr>
              <w:t>2.6605</w:t>
            </w:r>
            <w:r>
              <w:rPr>
                <w:rFonts w:hint="eastAsia"/>
                <w:color w:val="auto"/>
                <w:kern w:val="0"/>
                <w:sz w:val="24"/>
              </w:rPr>
              <w:t>t/a，出售给废品回收单位。</w:t>
            </w:r>
          </w:p>
          <w:p w14:paraId="15D4451C">
            <w:pPr>
              <w:spacing w:line="360" w:lineRule="auto"/>
              <w:ind w:firstLine="480" w:firstLineChars="200"/>
              <w:rPr>
                <w:rFonts w:hint="eastAsia"/>
                <w:color w:val="auto"/>
                <w:kern w:val="0"/>
                <w:sz w:val="24"/>
              </w:rPr>
            </w:pPr>
            <w:r>
              <w:rPr>
                <w:rFonts w:hint="eastAsia"/>
                <w:color w:val="auto"/>
                <w:kern w:val="0"/>
                <w:sz w:val="24"/>
              </w:rPr>
              <w:t>③废砂纸</w:t>
            </w:r>
          </w:p>
          <w:p w14:paraId="4AF561FE">
            <w:pPr>
              <w:spacing w:line="360" w:lineRule="auto"/>
              <w:ind w:firstLine="480" w:firstLineChars="200"/>
              <w:rPr>
                <w:rFonts w:hint="eastAsia"/>
                <w:color w:val="auto"/>
                <w:kern w:val="0"/>
                <w:sz w:val="24"/>
              </w:rPr>
            </w:pPr>
            <w:r>
              <w:rPr>
                <w:rFonts w:hint="eastAsia"/>
                <w:color w:val="auto"/>
                <w:kern w:val="0"/>
                <w:sz w:val="24"/>
              </w:rPr>
              <w:t>项目在打磨工序需要使用砂纸，年使用砂纸2000张（按砂纸重量2kg/100张计），废砂纸产生量约为0.04t，出售给废品回收单位。</w:t>
            </w:r>
          </w:p>
          <w:p w14:paraId="4E2F0769">
            <w:pPr>
              <w:spacing w:line="360" w:lineRule="auto"/>
              <w:ind w:firstLine="482" w:firstLineChars="200"/>
              <w:rPr>
                <w:rFonts w:hint="eastAsia"/>
                <w:b/>
                <w:bCs/>
                <w:color w:val="auto"/>
                <w:kern w:val="0"/>
                <w:sz w:val="24"/>
                <w:u w:val="single"/>
                <w:lang w:val="en-US" w:eastAsia="zh-CN"/>
              </w:rPr>
            </w:pPr>
            <w:r>
              <w:rPr>
                <w:rFonts w:hint="eastAsia"/>
                <w:b/>
                <w:bCs/>
                <w:color w:val="auto"/>
                <w:kern w:val="0"/>
                <w:sz w:val="24"/>
                <w:u w:val="single"/>
                <w:lang w:val="en-US" w:eastAsia="zh-CN"/>
              </w:rPr>
              <w:t>④饮水机RO膜</w:t>
            </w:r>
          </w:p>
          <w:p w14:paraId="1E8B869B">
            <w:pPr>
              <w:spacing w:line="360" w:lineRule="auto"/>
              <w:ind w:firstLine="482" w:firstLineChars="200"/>
              <w:rPr>
                <w:rFonts w:hint="default"/>
                <w:b/>
                <w:bCs/>
                <w:color w:val="auto"/>
                <w:kern w:val="0"/>
                <w:sz w:val="24"/>
                <w:u w:val="single"/>
                <w:lang w:val="en-US" w:eastAsia="zh-CN"/>
              </w:rPr>
            </w:pPr>
            <w:r>
              <w:rPr>
                <w:rFonts w:hint="eastAsia"/>
                <w:b/>
                <w:bCs/>
                <w:color w:val="auto"/>
                <w:kern w:val="0"/>
                <w:sz w:val="24"/>
                <w:u w:val="single"/>
                <w:lang w:val="en-US" w:eastAsia="zh-CN"/>
              </w:rPr>
              <w:t>项目调漆用水由饮水机制备，根据企业所提供资料，饮水机RO膜一年更换一次，产量约为0.01t/a，由厂家回收处理。</w:t>
            </w:r>
          </w:p>
          <w:p w14:paraId="24B2DF16">
            <w:pPr>
              <w:spacing w:line="360" w:lineRule="auto"/>
              <w:ind w:firstLine="480" w:firstLineChars="200"/>
              <w:rPr>
                <w:color w:val="auto"/>
                <w:kern w:val="0"/>
                <w:sz w:val="24"/>
              </w:rPr>
            </w:pPr>
            <w:r>
              <w:rPr>
                <w:rFonts w:hint="eastAsia"/>
                <w:color w:val="auto"/>
                <w:kern w:val="0"/>
                <w:sz w:val="24"/>
              </w:rPr>
              <w:t>（2）危险废物</w:t>
            </w:r>
          </w:p>
          <w:p w14:paraId="63EB919C">
            <w:pPr>
              <w:spacing w:line="360" w:lineRule="auto"/>
              <w:ind w:firstLine="480" w:firstLineChars="200"/>
              <w:rPr>
                <w:rFonts w:hint="eastAsia"/>
                <w:color w:val="auto"/>
                <w:kern w:val="0"/>
                <w:sz w:val="24"/>
              </w:rPr>
            </w:pPr>
            <w:r>
              <w:rPr>
                <w:rFonts w:hint="eastAsia"/>
                <w:color w:val="auto"/>
                <w:kern w:val="0"/>
                <w:sz w:val="24"/>
              </w:rPr>
              <w:t>①废过滤棉（含漆渣）</w:t>
            </w:r>
          </w:p>
          <w:p w14:paraId="3C2DB14D">
            <w:pPr>
              <w:spacing w:line="360" w:lineRule="auto"/>
              <w:ind w:firstLine="480" w:firstLineChars="200"/>
              <w:rPr>
                <w:rFonts w:hint="eastAsia"/>
                <w:color w:val="auto"/>
                <w:kern w:val="0"/>
                <w:sz w:val="24"/>
              </w:rPr>
            </w:pPr>
            <w:r>
              <w:rPr>
                <w:rFonts w:hint="eastAsia"/>
                <w:color w:val="auto"/>
                <w:kern w:val="0"/>
                <w:sz w:val="24"/>
              </w:rPr>
              <w:t>根据废气污染物产排污环节分析可知，漆渣产生量约为</w:t>
            </w:r>
            <w:r>
              <w:rPr>
                <w:rFonts w:hint="eastAsia"/>
                <w:b/>
                <w:bCs/>
                <w:color w:val="auto"/>
                <w:kern w:val="0"/>
                <w:sz w:val="24"/>
                <w:u w:val="single"/>
                <w:lang w:val="en-US" w:eastAsia="zh-CN"/>
              </w:rPr>
              <w:t>2.5586</w:t>
            </w:r>
            <w:r>
              <w:rPr>
                <w:rFonts w:hint="eastAsia"/>
                <w:color w:val="auto"/>
                <w:kern w:val="0"/>
                <w:sz w:val="24"/>
              </w:rPr>
              <w:t>t/a，过滤棉约为0.5t/a，合计</w:t>
            </w:r>
            <w:r>
              <w:rPr>
                <w:rFonts w:hint="eastAsia"/>
                <w:b/>
                <w:bCs/>
                <w:color w:val="auto"/>
                <w:kern w:val="0"/>
                <w:sz w:val="24"/>
                <w:u w:val="single"/>
                <w:lang w:val="en-US" w:eastAsia="zh-CN"/>
              </w:rPr>
              <w:t>3.0586</w:t>
            </w:r>
            <w:r>
              <w:rPr>
                <w:rFonts w:hint="eastAsia"/>
                <w:color w:val="auto"/>
                <w:kern w:val="0"/>
                <w:sz w:val="24"/>
              </w:rPr>
              <w:t>t/a。根据《国家危险废物名录》（</w:t>
            </w:r>
            <w:r>
              <w:rPr>
                <w:rFonts w:hint="eastAsia"/>
                <w:b/>
                <w:bCs/>
                <w:color w:val="auto"/>
                <w:kern w:val="0"/>
                <w:sz w:val="24"/>
                <w:u w:val="single"/>
              </w:rPr>
              <w:t>202</w:t>
            </w:r>
            <w:r>
              <w:rPr>
                <w:rFonts w:hint="eastAsia"/>
                <w:b/>
                <w:bCs/>
                <w:color w:val="auto"/>
                <w:kern w:val="0"/>
                <w:sz w:val="24"/>
                <w:u w:val="single"/>
                <w:lang w:val="en-US" w:eastAsia="zh-CN"/>
              </w:rPr>
              <w:t>5</w:t>
            </w:r>
            <w:r>
              <w:rPr>
                <w:rFonts w:hint="eastAsia"/>
                <w:color w:val="auto"/>
                <w:kern w:val="0"/>
                <w:sz w:val="24"/>
              </w:rPr>
              <w:t>年版），废过滤棉（含漆渣）属于HW49，危废代码为9</w:t>
            </w:r>
            <w:r>
              <w:rPr>
                <w:rFonts w:hint="eastAsia"/>
                <w:b/>
                <w:bCs/>
                <w:color w:val="auto"/>
                <w:kern w:val="0"/>
                <w:sz w:val="24"/>
                <w:u w:val="single"/>
              </w:rPr>
              <w:t>00-041-49</w:t>
            </w:r>
            <w:r>
              <w:rPr>
                <w:rFonts w:hint="eastAsia"/>
                <w:color w:val="auto"/>
                <w:kern w:val="0"/>
                <w:sz w:val="24"/>
              </w:rPr>
              <w:t>，暂存在危废暂存间内，定期委托给有废物处置资质的公司进行妥善处置。</w:t>
            </w:r>
          </w:p>
          <w:p w14:paraId="4E9081C1">
            <w:pPr>
              <w:spacing w:line="360" w:lineRule="auto"/>
              <w:ind w:firstLine="480" w:firstLineChars="200"/>
              <w:rPr>
                <w:rFonts w:hint="eastAsia"/>
                <w:color w:val="auto"/>
                <w:kern w:val="0"/>
                <w:sz w:val="24"/>
              </w:rPr>
            </w:pPr>
            <w:r>
              <w:rPr>
                <w:rFonts w:hint="eastAsia"/>
                <w:color w:val="auto"/>
                <w:kern w:val="0"/>
                <w:sz w:val="24"/>
              </w:rPr>
              <w:t>②</w:t>
            </w:r>
            <w:r>
              <w:rPr>
                <w:rFonts w:hint="eastAsia"/>
                <w:color w:val="auto"/>
                <w:kern w:val="0"/>
                <w:sz w:val="24"/>
                <w:lang w:val="en-US" w:eastAsia="zh-CN"/>
              </w:rPr>
              <w:t>废机油、</w:t>
            </w:r>
            <w:r>
              <w:rPr>
                <w:rFonts w:hint="eastAsia"/>
                <w:color w:val="auto"/>
                <w:kern w:val="0"/>
                <w:sz w:val="24"/>
              </w:rPr>
              <w:t>废液压油</w:t>
            </w:r>
          </w:p>
          <w:p w14:paraId="12952D4A">
            <w:pPr>
              <w:spacing w:line="360" w:lineRule="auto"/>
              <w:ind w:firstLine="480" w:firstLineChars="200"/>
              <w:rPr>
                <w:rFonts w:hint="eastAsia"/>
                <w:color w:val="auto"/>
                <w:kern w:val="0"/>
                <w:sz w:val="24"/>
              </w:rPr>
            </w:pPr>
            <w:r>
              <w:rPr>
                <w:rFonts w:hint="eastAsia"/>
                <w:color w:val="auto"/>
                <w:kern w:val="0"/>
                <w:sz w:val="24"/>
              </w:rPr>
              <w:t>生产设备在使用过程中需要用到</w:t>
            </w:r>
            <w:r>
              <w:rPr>
                <w:rFonts w:hint="eastAsia"/>
                <w:color w:val="auto"/>
                <w:kern w:val="0"/>
                <w:sz w:val="24"/>
                <w:lang w:val="en-US" w:eastAsia="zh-CN"/>
              </w:rPr>
              <w:t>机油、</w:t>
            </w:r>
            <w:r>
              <w:rPr>
                <w:rFonts w:hint="eastAsia"/>
                <w:color w:val="auto"/>
                <w:kern w:val="0"/>
                <w:sz w:val="24"/>
              </w:rPr>
              <w:t>液压油，从而产生一定量的</w:t>
            </w:r>
            <w:r>
              <w:rPr>
                <w:rFonts w:hint="eastAsia"/>
                <w:color w:val="auto"/>
                <w:kern w:val="0"/>
                <w:sz w:val="24"/>
                <w:lang w:val="en-US" w:eastAsia="zh-CN"/>
              </w:rPr>
              <w:t>废机油、</w:t>
            </w:r>
            <w:r>
              <w:rPr>
                <w:rFonts w:hint="eastAsia"/>
                <w:color w:val="auto"/>
                <w:kern w:val="0"/>
                <w:sz w:val="24"/>
              </w:rPr>
              <w:t>废液压油，根据《国家危险废物名录》（</w:t>
            </w:r>
            <w:r>
              <w:rPr>
                <w:rFonts w:hint="eastAsia"/>
                <w:b/>
                <w:bCs/>
                <w:color w:val="auto"/>
                <w:kern w:val="0"/>
                <w:sz w:val="24"/>
                <w:u w:val="single"/>
              </w:rPr>
              <w:t>202</w:t>
            </w:r>
            <w:r>
              <w:rPr>
                <w:rFonts w:hint="eastAsia"/>
                <w:b/>
                <w:bCs/>
                <w:color w:val="auto"/>
                <w:kern w:val="0"/>
                <w:sz w:val="24"/>
                <w:u w:val="single"/>
                <w:lang w:val="en-US" w:eastAsia="zh-CN"/>
              </w:rPr>
              <w:t>5</w:t>
            </w:r>
            <w:r>
              <w:rPr>
                <w:rFonts w:hint="eastAsia"/>
                <w:color w:val="auto"/>
                <w:kern w:val="0"/>
                <w:sz w:val="24"/>
              </w:rPr>
              <w:t>年版），</w:t>
            </w:r>
            <w:r>
              <w:rPr>
                <w:rFonts w:hint="eastAsia"/>
                <w:color w:val="auto"/>
                <w:kern w:val="0"/>
                <w:sz w:val="24"/>
                <w:lang w:val="en-US" w:eastAsia="zh-CN"/>
              </w:rPr>
              <w:t>废机油、</w:t>
            </w:r>
            <w:r>
              <w:rPr>
                <w:rFonts w:hint="eastAsia"/>
                <w:color w:val="auto"/>
                <w:kern w:val="0"/>
                <w:sz w:val="24"/>
              </w:rPr>
              <w:t>废液压油属于HW08，危废代码</w:t>
            </w:r>
            <w:r>
              <w:rPr>
                <w:rFonts w:hint="eastAsia"/>
                <w:color w:val="auto"/>
                <w:kern w:val="0"/>
                <w:sz w:val="24"/>
                <w:lang w:val="en-US" w:eastAsia="zh-CN"/>
              </w:rPr>
              <w:t>分别</w:t>
            </w:r>
            <w:r>
              <w:rPr>
                <w:rFonts w:hint="eastAsia"/>
                <w:color w:val="auto"/>
                <w:kern w:val="0"/>
                <w:sz w:val="24"/>
              </w:rPr>
              <w:t>为</w:t>
            </w:r>
            <w:r>
              <w:rPr>
                <w:rFonts w:hint="eastAsia"/>
                <w:b/>
                <w:bCs/>
                <w:color w:val="auto"/>
                <w:kern w:val="0"/>
                <w:sz w:val="24"/>
                <w:u w:val="single"/>
                <w:lang w:val="en-US" w:eastAsia="zh-CN"/>
              </w:rPr>
              <w:t>900-214-08</w:t>
            </w:r>
            <w:r>
              <w:rPr>
                <w:rFonts w:hint="eastAsia"/>
                <w:color w:val="auto"/>
                <w:kern w:val="0"/>
                <w:sz w:val="24"/>
                <w:lang w:val="en-US" w:eastAsia="zh-CN"/>
              </w:rPr>
              <w:t>、</w:t>
            </w:r>
            <w:r>
              <w:rPr>
                <w:rFonts w:hint="eastAsia"/>
                <w:b/>
                <w:bCs/>
                <w:color w:val="auto"/>
                <w:kern w:val="0"/>
                <w:sz w:val="24"/>
                <w:u w:val="single"/>
              </w:rPr>
              <w:t>900-218-08</w:t>
            </w:r>
            <w:r>
              <w:rPr>
                <w:rFonts w:hint="eastAsia"/>
                <w:color w:val="auto"/>
                <w:kern w:val="0"/>
                <w:sz w:val="24"/>
              </w:rPr>
              <w:t>。根据建设方提供的资料数据，</w:t>
            </w:r>
            <w:r>
              <w:rPr>
                <w:rFonts w:hint="eastAsia"/>
                <w:color w:val="auto"/>
                <w:kern w:val="0"/>
                <w:sz w:val="24"/>
                <w:lang w:val="en-US" w:eastAsia="zh-CN"/>
              </w:rPr>
              <w:t>废机油</w:t>
            </w:r>
            <w:r>
              <w:rPr>
                <w:rFonts w:hint="eastAsia"/>
                <w:color w:val="auto"/>
                <w:kern w:val="0"/>
                <w:sz w:val="24"/>
              </w:rPr>
              <w:t>的产生量为0.</w:t>
            </w:r>
            <w:r>
              <w:rPr>
                <w:rFonts w:hint="eastAsia"/>
                <w:color w:val="auto"/>
                <w:kern w:val="0"/>
                <w:sz w:val="24"/>
                <w:lang w:val="en-US" w:eastAsia="zh-CN"/>
              </w:rPr>
              <w:t>3</w:t>
            </w:r>
            <w:r>
              <w:rPr>
                <w:rFonts w:hint="eastAsia"/>
                <w:color w:val="auto"/>
                <w:kern w:val="0"/>
                <w:sz w:val="24"/>
              </w:rPr>
              <w:t>t/a</w:t>
            </w:r>
            <w:r>
              <w:rPr>
                <w:rFonts w:hint="eastAsia"/>
                <w:color w:val="auto"/>
                <w:kern w:val="0"/>
                <w:sz w:val="24"/>
                <w:lang w:val="en-US" w:eastAsia="zh-CN"/>
              </w:rPr>
              <w:t>、</w:t>
            </w:r>
            <w:r>
              <w:rPr>
                <w:rFonts w:hint="eastAsia"/>
                <w:color w:val="auto"/>
                <w:kern w:val="0"/>
                <w:sz w:val="24"/>
              </w:rPr>
              <w:t>废液压油的产生量为0.</w:t>
            </w:r>
            <w:r>
              <w:rPr>
                <w:rFonts w:hint="eastAsia"/>
                <w:color w:val="auto"/>
                <w:kern w:val="0"/>
                <w:sz w:val="24"/>
                <w:lang w:val="en-US" w:eastAsia="zh-CN"/>
              </w:rPr>
              <w:t>15</w:t>
            </w:r>
            <w:r>
              <w:rPr>
                <w:rFonts w:hint="eastAsia"/>
                <w:color w:val="auto"/>
                <w:kern w:val="0"/>
                <w:sz w:val="24"/>
              </w:rPr>
              <w:t>t/a。</w:t>
            </w:r>
          </w:p>
          <w:p w14:paraId="1C0120E6">
            <w:pPr>
              <w:spacing w:line="360" w:lineRule="auto"/>
              <w:ind w:firstLine="480" w:firstLineChars="200"/>
              <w:rPr>
                <w:rFonts w:hint="default"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③</w:t>
            </w:r>
            <w:r>
              <w:rPr>
                <w:rFonts w:hint="eastAsia" w:ascii="Times New Roman" w:hAnsi="Times New Roman" w:eastAsia="宋体" w:cs="Times New Roman"/>
                <w:color w:val="auto"/>
                <w:kern w:val="0"/>
                <w:sz w:val="24"/>
              </w:rPr>
              <w:t>废机油桶</w:t>
            </w:r>
            <w:r>
              <w:rPr>
                <w:rFonts w:hint="eastAsia" w:ascii="Times New Roman" w:hAnsi="Times New Roman" w:eastAsia="宋体" w:cs="Times New Roman"/>
                <w:color w:val="auto"/>
                <w:kern w:val="0"/>
                <w:sz w:val="24"/>
                <w:lang w:eastAsia="zh-CN"/>
              </w:rPr>
              <w:t>、</w:t>
            </w:r>
            <w:r>
              <w:rPr>
                <w:rFonts w:hint="eastAsia" w:ascii="Times New Roman" w:hAnsi="Times New Roman" w:eastAsia="宋体" w:cs="Times New Roman"/>
                <w:color w:val="auto"/>
                <w:kern w:val="0"/>
                <w:sz w:val="24"/>
                <w:lang w:val="en-US" w:eastAsia="zh-CN"/>
              </w:rPr>
              <w:t>废液压油桶</w:t>
            </w:r>
          </w:p>
          <w:p w14:paraId="34EA724F">
            <w:pPr>
              <w:spacing w:line="360" w:lineRule="auto"/>
              <w:ind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项目所用设备检修过程中会产生少量废机油桶</w:t>
            </w:r>
            <w:r>
              <w:rPr>
                <w:rFonts w:hint="eastAsia" w:ascii="Times New Roman" w:hAnsi="Times New Roman" w:eastAsia="宋体" w:cs="Times New Roman"/>
                <w:color w:val="auto"/>
                <w:kern w:val="0"/>
                <w:sz w:val="24"/>
                <w:lang w:eastAsia="zh-CN"/>
              </w:rPr>
              <w:t>、</w:t>
            </w:r>
            <w:r>
              <w:rPr>
                <w:rFonts w:hint="eastAsia" w:ascii="Times New Roman" w:hAnsi="Times New Roman" w:eastAsia="宋体" w:cs="Times New Roman"/>
                <w:color w:val="auto"/>
                <w:kern w:val="0"/>
                <w:sz w:val="24"/>
                <w:lang w:val="en-US" w:eastAsia="zh-CN"/>
              </w:rPr>
              <w:t>废液压油桶</w:t>
            </w:r>
            <w:r>
              <w:rPr>
                <w:rFonts w:hint="eastAsia" w:ascii="Times New Roman" w:hAnsi="Times New Roman" w:eastAsia="宋体" w:cs="Times New Roman"/>
                <w:color w:val="auto"/>
                <w:kern w:val="0"/>
                <w:sz w:val="24"/>
              </w:rPr>
              <w:t>，产生量约为0.0</w:t>
            </w:r>
            <w:r>
              <w:rPr>
                <w:rFonts w:hint="eastAsia" w:ascii="Times New Roman" w:hAnsi="Times New Roman" w:eastAsia="宋体" w:cs="Times New Roman"/>
                <w:color w:val="auto"/>
                <w:kern w:val="0"/>
                <w:sz w:val="24"/>
                <w:lang w:val="en-US" w:eastAsia="zh-CN"/>
              </w:rPr>
              <w:t>1</w:t>
            </w:r>
            <w:r>
              <w:rPr>
                <w:rFonts w:hint="eastAsia" w:ascii="Times New Roman" w:hAnsi="Times New Roman" w:eastAsia="宋体" w:cs="Times New Roman"/>
                <w:color w:val="auto"/>
                <w:kern w:val="0"/>
                <w:sz w:val="24"/>
              </w:rPr>
              <w:t>t/a，</w:t>
            </w:r>
            <w:r>
              <w:rPr>
                <w:rFonts w:hint="eastAsia"/>
                <w:color w:val="auto"/>
                <w:kern w:val="0"/>
                <w:sz w:val="24"/>
              </w:rPr>
              <w:t>根据《国家危险废物名录》（</w:t>
            </w:r>
            <w:r>
              <w:rPr>
                <w:rFonts w:hint="eastAsia"/>
                <w:b/>
                <w:bCs/>
                <w:color w:val="auto"/>
                <w:kern w:val="0"/>
                <w:sz w:val="24"/>
                <w:u w:val="single"/>
              </w:rPr>
              <w:t>202</w:t>
            </w:r>
            <w:r>
              <w:rPr>
                <w:rFonts w:hint="eastAsia"/>
                <w:b/>
                <w:bCs/>
                <w:color w:val="auto"/>
                <w:kern w:val="0"/>
                <w:sz w:val="24"/>
                <w:u w:val="single"/>
                <w:lang w:val="en-US" w:eastAsia="zh-CN"/>
              </w:rPr>
              <w:t>5</w:t>
            </w:r>
            <w:r>
              <w:rPr>
                <w:rFonts w:hint="eastAsia"/>
                <w:color w:val="auto"/>
                <w:kern w:val="0"/>
                <w:sz w:val="24"/>
              </w:rPr>
              <w:t>年版）</w:t>
            </w:r>
            <w:r>
              <w:rPr>
                <w:rFonts w:hint="eastAsia"/>
                <w:color w:val="auto"/>
                <w:kern w:val="0"/>
                <w:sz w:val="24"/>
                <w:lang w:eastAsia="zh-CN"/>
              </w:rPr>
              <w:t>，</w:t>
            </w:r>
            <w:r>
              <w:rPr>
                <w:rFonts w:hint="eastAsia" w:ascii="Times New Roman" w:hAnsi="Times New Roman" w:eastAsia="宋体" w:cs="Times New Roman"/>
                <w:color w:val="auto"/>
                <w:kern w:val="0"/>
                <w:sz w:val="24"/>
              </w:rPr>
              <w:t>属于危险废物，类别为：HW08，代码分别为：</w:t>
            </w:r>
            <w:r>
              <w:rPr>
                <w:rFonts w:hint="eastAsia" w:ascii="Times New Roman" w:hAnsi="Times New Roman" w:eastAsia="宋体" w:cs="Times New Roman"/>
                <w:b/>
                <w:bCs/>
                <w:color w:val="auto"/>
                <w:kern w:val="0"/>
                <w:sz w:val="24"/>
                <w:u w:val="single"/>
              </w:rPr>
              <w:t>900-249-08</w:t>
            </w:r>
            <w:r>
              <w:rPr>
                <w:rFonts w:hint="eastAsia" w:ascii="Times New Roman" w:hAnsi="Times New Roman" w:eastAsia="宋体" w:cs="Times New Roman"/>
                <w:color w:val="auto"/>
                <w:kern w:val="0"/>
                <w:sz w:val="24"/>
              </w:rPr>
              <w:t>。</w:t>
            </w:r>
          </w:p>
          <w:p w14:paraId="5D28768D">
            <w:pPr>
              <w:spacing w:line="360" w:lineRule="auto"/>
              <w:ind w:firstLine="480" w:firstLineChars="200"/>
              <w:rPr>
                <w:rFonts w:hint="eastAsia"/>
                <w:color w:val="auto"/>
                <w:kern w:val="0"/>
                <w:sz w:val="24"/>
              </w:rPr>
            </w:pPr>
            <w:r>
              <w:rPr>
                <w:rFonts w:hint="eastAsia"/>
                <w:color w:val="auto"/>
                <w:kern w:val="0"/>
                <w:sz w:val="24"/>
                <w:lang w:val="en-US" w:eastAsia="zh-CN"/>
              </w:rPr>
              <w:t>④</w:t>
            </w:r>
            <w:r>
              <w:rPr>
                <w:rFonts w:hint="eastAsia"/>
                <w:color w:val="auto"/>
                <w:kern w:val="0"/>
                <w:sz w:val="24"/>
              </w:rPr>
              <w:t>废催化剂</w:t>
            </w:r>
          </w:p>
          <w:p w14:paraId="4443AFD0">
            <w:pPr>
              <w:spacing w:line="360" w:lineRule="auto"/>
              <w:ind w:firstLine="480" w:firstLineChars="200"/>
              <w:rPr>
                <w:rFonts w:hint="eastAsia"/>
                <w:color w:val="auto"/>
                <w:kern w:val="0"/>
                <w:sz w:val="24"/>
              </w:rPr>
            </w:pPr>
            <w:r>
              <w:rPr>
                <w:rFonts w:hint="eastAsia"/>
                <w:color w:val="auto"/>
                <w:kern w:val="0"/>
                <w:sz w:val="24"/>
              </w:rPr>
              <w:t>项目废气处理采用蜂窝陶瓷基贵金属催化剂（Pt、Pd），据估算，催化剂</w:t>
            </w:r>
            <w:r>
              <w:rPr>
                <w:rFonts w:hint="eastAsia"/>
                <w:color w:val="auto"/>
                <w:kern w:val="0"/>
                <w:sz w:val="24"/>
                <w:lang w:val="en-US" w:eastAsia="zh-CN"/>
              </w:rPr>
              <w:t>3</w:t>
            </w:r>
            <w:r>
              <w:rPr>
                <w:rFonts w:hint="eastAsia"/>
                <w:color w:val="auto"/>
                <w:kern w:val="0"/>
                <w:sz w:val="24"/>
              </w:rPr>
              <w:t>年更换一次，废催化剂产生量为0.15m</w:t>
            </w:r>
            <w:r>
              <w:rPr>
                <w:rFonts w:hint="eastAsia"/>
                <w:color w:val="auto"/>
                <w:kern w:val="0"/>
                <w:sz w:val="24"/>
                <w:vertAlign w:val="superscript"/>
              </w:rPr>
              <w:t>3</w:t>
            </w:r>
            <w:r>
              <w:rPr>
                <w:rFonts w:hint="eastAsia"/>
                <w:color w:val="auto"/>
                <w:kern w:val="0"/>
                <w:sz w:val="24"/>
              </w:rPr>
              <w:t>，约0.45t。</w:t>
            </w:r>
          </w:p>
          <w:p w14:paraId="40509C76">
            <w:pPr>
              <w:spacing w:line="360" w:lineRule="auto"/>
              <w:ind w:firstLine="480" w:firstLineChars="200"/>
              <w:rPr>
                <w:rFonts w:hint="eastAsia"/>
                <w:color w:val="auto"/>
                <w:kern w:val="0"/>
                <w:sz w:val="24"/>
              </w:rPr>
            </w:pPr>
            <w:r>
              <w:rPr>
                <w:rFonts w:hint="eastAsia"/>
                <w:color w:val="auto"/>
                <w:kern w:val="0"/>
                <w:sz w:val="24"/>
              </w:rPr>
              <w:t>根据《国家危险废物名录》（</w:t>
            </w:r>
            <w:r>
              <w:rPr>
                <w:rFonts w:hint="eastAsia"/>
                <w:b/>
                <w:bCs/>
                <w:color w:val="auto"/>
                <w:kern w:val="0"/>
                <w:sz w:val="24"/>
                <w:u w:val="single"/>
              </w:rPr>
              <w:t>202</w:t>
            </w:r>
            <w:r>
              <w:rPr>
                <w:rFonts w:hint="eastAsia"/>
                <w:b/>
                <w:bCs/>
                <w:color w:val="auto"/>
                <w:kern w:val="0"/>
                <w:sz w:val="24"/>
                <w:u w:val="single"/>
                <w:lang w:val="en-US" w:eastAsia="zh-CN"/>
              </w:rPr>
              <w:t>5</w:t>
            </w:r>
            <w:r>
              <w:rPr>
                <w:rFonts w:hint="eastAsia"/>
                <w:color w:val="auto"/>
                <w:kern w:val="0"/>
                <w:sz w:val="24"/>
              </w:rPr>
              <w:t>年），废催化剂属于危险废物，废物类别及代码：HW50，</w:t>
            </w:r>
            <w:r>
              <w:rPr>
                <w:rFonts w:hint="eastAsia"/>
                <w:b/>
                <w:bCs/>
                <w:color w:val="auto"/>
                <w:kern w:val="0"/>
                <w:sz w:val="24"/>
                <w:u w:val="single"/>
              </w:rPr>
              <w:t>772-007-50</w:t>
            </w:r>
            <w:r>
              <w:rPr>
                <w:rFonts w:hint="eastAsia"/>
                <w:color w:val="auto"/>
                <w:kern w:val="0"/>
                <w:sz w:val="24"/>
              </w:rPr>
              <w:t>环境治理产生的废钒钛系催化剂，收集后暂存于危废暂存间，定期交由有资质的单位回收处理。</w:t>
            </w:r>
          </w:p>
          <w:p w14:paraId="05EB1A82">
            <w:pPr>
              <w:spacing w:line="360" w:lineRule="auto"/>
              <w:ind w:firstLine="480" w:firstLineChars="200"/>
              <w:rPr>
                <w:rFonts w:hint="eastAsia"/>
                <w:color w:val="auto"/>
                <w:kern w:val="0"/>
                <w:sz w:val="24"/>
              </w:rPr>
            </w:pPr>
            <w:r>
              <w:rPr>
                <w:rFonts w:hint="eastAsia"/>
                <w:color w:val="auto"/>
                <w:kern w:val="0"/>
                <w:sz w:val="24"/>
                <w:lang w:val="en-US" w:eastAsia="zh-CN"/>
              </w:rPr>
              <w:t>⑤</w:t>
            </w:r>
            <w:r>
              <w:rPr>
                <w:rFonts w:hint="eastAsia"/>
                <w:color w:val="auto"/>
                <w:kern w:val="0"/>
                <w:sz w:val="24"/>
              </w:rPr>
              <w:t>漆料、胶等废包装桶</w:t>
            </w:r>
          </w:p>
          <w:p w14:paraId="194E0816">
            <w:pPr>
              <w:spacing w:line="360" w:lineRule="auto"/>
              <w:ind w:firstLine="480" w:firstLineChars="200"/>
              <w:rPr>
                <w:rFonts w:hint="eastAsia"/>
                <w:color w:val="auto"/>
                <w:kern w:val="0"/>
                <w:sz w:val="24"/>
              </w:rPr>
            </w:pPr>
            <w:r>
              <w:rPr>
                <w:rFonts w:hint="eastAsia"/>
                <w:color w:val="auto"/>
                <w:kern w:val="0"/>
                <w:sz w:val="24"/>
              </w:rPr>
              <w:t>项目使用的漆料、稀释剂、胶、固化剂均为桶装。根据建设单位提供资料，漆料、胶、固化剂等废包装桶产生量为0.5t/a。根据《国家危险废物名录》（</w:t>
            </w:r>
            <w:r>
              <w:rPr>
                <w:rFonts w:hint="eastAsia"/>
                <w:b/>
                <w:bCs/>
                <w:color w:val="auto"/>
                <w:kern w:val="0"/>
                <w:sz w:val="24"/>
                <w:u w:val="single"/>
              </w:rPr>
              <w:t>202</w:t>
            </w:r>
            <w:r>
              <w:rPr>
                <w:rFonts w:hint="eastAsia"/>
                <w:b/>
                <w:bCs/>
                <w:color w:val="auto"/>
                <w:kern w:val="0"/>
                <w:sz w:val="24"/>
                <w:u w:val="single"/>
                <w:lang w:val="en-US" w:eastAsia="zh-CN"/>
              </w:rPr>
              <w:t>5</w:t>
            </w:r>
            <w:r>
              <w:rPr>
                <w:rFonts w:hint="eastAsia"/>
                <w:color w:val="auto"/>
                <w:kern w:val="0"/>
                <w:sz w:val="24"/>
              </w:rPr>
              <w:t>年版），其属于HW49，危废代码</w:t>
            </w:r>
            <w:r>
              <w:rPr>
                <w:rFonts w:hint="eastAsia"/>
                <w:b/>
                <w:bCs/>
                <w:color w:val="auto"/>
                <w:kern w:val="0"/>
                <w:sz w:val="24"/>
                <w:u w:val="single"/>
              </w:rPr>
              <w:t>900-041-49</w:t>
            </w:r>
            <w:r>
              <w:rPr>
                <w:rFonts w:hint="eastAsia"/>
                <w:color w:val="auto"/>
                <w:kern w:val="0"/>
                <w:sz w:val="24"/>
              </w:rPr>
              <w:t>。</w:t>
            </w:r>
          </w:p>
          <w:p w14:paraId="566633B0">
            <w:pPr>
              <w:spacing w:line="360" w:lineRule="auto"/>
              <w:ind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根据《固体废物鉴别标准通则》（GB34330-2017），固体废物不包括“任何不需要修改和加工即可用于其原始用途的物质，或者在产生点经过修复和加工后满足国家、地方制定或行业通行的产品质量标准并且用于其原始用途的物质”。据此，项目未破损交由厂家回收的废包装桶，不属于危险废物。废油漆桶及废胶桶，其中破损的废包装桶作为危险固废，委托有资质单位处理，未破损的废包装桶，由厂家回收，不作为固废处理。</w:t>
            </w:r>
          </w:p>
          <w:p w14:paraId="1E268D26">
            <w:pPr>
              <w:spacing w:line="360" w:lineRule="auto"/>
              <w:ind w:firstLine="480" w:firstLineChars="200"/>
              <w:rPr>
                <w:rFonts w:hint="eastAsia"/>
                <w:color w:val="auto"/>
                <w:kern w:val="0"/>
                <w:sz w:val="24"/>
              </w:rPr>
            </w:pPr>
            <w:r>
              <w:rPr>
                <w:rFonts w:hint="eastAsia"/>
                <w:color w:val="auto"/>
                <w:kern w:val="0"/>
                <w:sz w:val="24"/>
              </w:rPr>
              <w:t>⑤废活性炭</w:t>
            </w:r>
          </w:p>
          <w:p w14:paraId="3A324C66">
            <w:pPr>
              <w:spacing w:line="360" w:lineRule="auto"/>
              <w:ind w:firstLine="480" w:firstLineChars="200"/>
              <w:rPr>
                <w:rFonts w:hint="eastAsia"/>
                <w:color w:val="auto"/>
                <w:kern w:val="0"/>
                <w:sz w:val="24"/>
              </w:rPr>
            </w:pPr>
            <w:r>
              <w:rPr>
                <w:rFonts w:hint="eastAsia"/>
                <w:color w:val="auto"/>
                <w:kern w:val="0"/>
                <w:sz w:val="24"/>
              </w:rPr>
              <w:t>本项目废气处理过程中采用活性炭吸附/脱附+催化燃烧，会产生废活性炭。本项目催化燃烧装置共设</w:t>
            </w:r>
            <w:r>
              <w:rPr>
                <w:rFonts w:hint="eastAsia"/>
                <w:b/>
                <w:bCs/>
                <w:color w:val="auto"/>
                <w:kern w:val="0"/>
                <w:sz w:val="24"/>
                <w:u w:val="single"/>
                <w:lang w:val="en-US" w:eastAsia="zh-CN"/>
              </w:rPr>
              <w:t>6个吸附仓</w:t>
            </w:r>
            <w:r>
              <w:rPr>
                <w:rFonts w:hint="eastAsia"/>
                <w:color w:val="auto"/>
                <w:kern w:val="0"/>
                <w:sz w:val="24"/>
              </w:rPr>
              <w:t>，蜂窝活性炭总填装量10m</w:t>
            </w:r>
            <w:r>
              <w:rPr>
                <w:rFonts w:hint="eastAsia"/>
                <w:color w:val="auto"/>
                <w:kern w:val="0"/>
                <w:sz w:val="24"/>
                <w:vertAlign w:val="superscript"/>
              </w:rPr>
              <w:t>3</w:t>
            </w:r>
            <w:r>
              <w:rPr>
                <w:rFonts w:hint="eastAsia"/>
                <w:color w:val="auto"/>
                <w:kern w:val="0"/>
                <w:sz w:val="24"/>
              </w:rPr>
              <w:t>，约4.8t，活性炭定期脱附再生，3-5年更换一次，故废活性炭的产生量为4.8t/3a。</w:t>
            </w:r>
          </w:p>
          <w:p w14:paraId="4CB5D16B">
            <w:pPr>
              <w:spacing w:line="360" w:lineRule="auto"/>
              <w:ind w:firstLine="480" w:firstLineChars="200"/>
              <w:rPr>
                <w:rFonts w:hint="eastAsia"/>
                <w:color w:val="auto"/>
                <w:kern w:val="0"/>
                <w:sz w:val="24"/>
              </w:rPr>
            </w:pPr>
            <w:r>
              <w:rPr>
                <w:rFonts w:hint="eastAsia"/>
                <w:color w:val="auto"/>
                <w:kern w:val="0"/>
                <w:sz w:val="24"/>
              </w:rPr>
              <w:t>废活性炭属于《国家危险废物名录》（</w:t>
            </w:r>
            <w:r>
              <w:rPr>
                <w:rFonts w:hint="eastAsia"/>
                <w:b/>
                <w:bCs/>
                <w:color w:val="auto"/>
                <w:kern w:val="0"/>
                <w:sz w:val="24"/>
                <w:u w:val="single"/>
              </w:rPr>
              <w:t>202</w:t>
            </w:r>
            <w:r>
              <w:rPr>
                <w:rFonts w:hint="eastAsia"/>
                <w:b/>
                <w:bCs/>
                <w:color w:val="auto"/>
                <w:kern w:val="0"/>
                <w:sz w:val="24"/>
                <w:u w:val="single"/>
                <w:lang w:val="en-US" w:eastAsia="zh-CN"/>
              </w:rPr>
              <w:t>5</w:t>
            </w:r>
            <w:r>
              <w:rPr>
                <w:rFonts w:hint="eastAsia"/>
                <w:color w:val="auto"/>
                <w:kern w:val="0"/>
                <w:sz w:val="24"/>
              </w:rPr>
              <w:t>年</w:t>
            </w:r>
            <w:r>
              <w:rPr>
                <w:rFonts w:hint="eastAsia"/>
                <w:color w:val="auto"/>
                <w:kern w:val="0"/>
                <w:sz w:val="24"/>
                <w:lang w:val="en-US" w:eastAsia="zh-CN"/>
              </w:rPr>
              <w:t>版</w:t>
            </w:r>
            <w:r>
              <w:rPr>
                <w:rFonts w:hint="eastAsia"/>
                <w:color w:val="auto"/>
                <w:kern w:val="0"/>
                <w:sz w:val="24"/>
              </w:rPr>
              <w:t>）中的HW49其他废物，废物代码为</w:t>
            </w:r>
            <w:r>
              <w:rPr>
                <w:rFonts w:hint="eastAsia"/>
                <w:b/>
                <w:bCs/>
                <w:color w:val="auto"/>
                <w:kern w:val="0"/>
                <w:sz w:val="24"/>
                <w:u w:val="single"/>
              </w:rPr>
              <w:t>900-039-49</w:t>
            </w:r>
            <w:r>
              <w:rPr>
                <w:rFonts w:hint="eastAsia"/>
                <w:color w:val="auto"/>
                <w:kern w:val="0"/>
                <w:sz w:val="24"/>
              </w:rPr>
              <w:t>，暂存危废暂存间，定期交有资质单位处置。</w:t>
            </w:r>
          </w:p>
          <w:p w14:paraId="289EEED1">
            <w:pPr>
              <w:spacing w:line="360" w:lineRule="auto"/>
              <w:ind w:firstLine="480" w:firstLineChars="200"/>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⑥废UV灯管</w:t>
            </w:r>
          </w:p>
          <w:p w14:paraId="211EE31E">
            <w:pPr>
              <w:spacing w:line="360" w:lineRule="auto"/>
              <w:ind w:firstLine="480" w:firstLineChars="200"/>
              <w:rPr>
                <w:rFonts w:hint="eastAsia"/>
                <w:color w:val="auto"/>
                <w:kern w:val="0"/>
                <w:sz w:val="24"/>
              </w:rPr>
            </w:pPr>
            <w:r>
              <w:rPr>
                <w:rFonts w:hint="eastAsia"/>
                <w:color w:val="auto"/>
                <w:kern w:val="0"/>
                <w:sz w:val="24"/>
                <w:lang w:val="en-US" w:eastAsia="zh-CN"/>
              </w:rPr>
              <w:t>项目辊涂UV漆工序会产生废UV灯管</w:t>
            </w:r>
            <w:r>
              <w:rPr>
                <w:rFonts w:hint="eastAsia"/>
                <w:color w:val="auto"/>
                <w:kern w:val="0"/>
                <w:sz w:val="24"/>
              </w:rPr>
              <w:t>，产生量约为</w:t>
            </w:r>
            <w:r>
              <w:rPr>
                <w:rFonts w:hint="eastAsia"/>
                <w:color w:val="auto"/>
                <w:kern w:val="0"/>
                <w:sz w:val="24"/>
                <w:lang w:val="en-US" w:eastAsia="zh-CN"/>
              </w:rPr>
              <w:t>0.5</w:t>
            </w:r>
            <w:r>
              <w:rPr>
                <w:rFonts w:hint="eastAsia"/>
                <w:color w:val="auto"/>
                <w:kern w:val="0"/>
                <w:sz w:val="24"/>
              </w:rPr>
              <w:t>t/a。根据《国家危险废物名录》（</w:t>
            </w:r>
            <w:r>
              <w:rPr>
                <w:rFonts w:hint="eastAsia"/>
                <w:b/>
                <w:bCs/>
                <w:color w:val="auto"/>
                <w:kern w:val="0"/>
                <w:sz w:val="24"/>
                <w:u w:val="single"/>
              </w:rPr>
              <w:t>202</w:t>
            </w:r>
            <w:r>
              <w:rPr>
                <w:rFonts w:hint="eastAsia"/>
                <w:b/>
                <w:bCs/>
                <w:color w:val="auto"/>
                <w:kern w:val="0"/>
                <w:sz w:val="24"/>
                <w:u w:val="single"/>
                <w:lang w:val="en-US" w:eastAsia="zh-CN"/>
              </w:rPr>
              <w:t>5</w:t>
            </w:r>
            <w:r>
              <w:rPr>
                <w:rFonts w:hint="eastAsia"/>
                <w:color w:val="auto"/>
                <w:kern w:val="0"/>
                <w:sz w:val="24"/>
              </w:rPr>
              <w:t>年版），</w:t>
            </w:r>
            <w:r>
              <w:rPr>
                <w:rFonts w:hint="eastAsia"/>
                <w:color w:val="auto"/>
                <w:kern w:val="0"/>
                <w:sz w:val="24"/>
                <w:lang w:val="en-US" w:eastAsia="zh-CN"/>
              </w:rPr>
              <w:t>废灯管</w:t>
            </w:r>
            <w:r>
              <w:rPr>
                <w:rFonts w:hint="eastAsia"/>
                <w:color w:val="auto"/>
                <w:kern w:val="0"/>
                <w:sz w:val="24"/>
              </w:rPr>
              <w:t>属于HW</w:t>
            </w:r>
            <w:r>
              <w:rPr>
                <w:rFonts w:hint="eastAsia"/>
                <w:color w:val="auto"/>
                <w:kern w:val="0"/>
                <w:sz w:val="24"/>
                <w:lang w:val="en-US" w:eastAsia="zh-CN"/>
              </w:rPr>
              <w:t>29</w:t>
            </w:r>
            <w:r>
              <w:rPr>
                <w:rFonts w:hint="eastAsia"/>
                <w:color w:val="auto"/>
                <w:kern w:val="0"/>
                <w:sz w:val="24"/>
              </w:rPr>
              <w:t>，危废代码为</w:t>
            </w:r>
            <w:r>
              <w:rPr>
                <w:rFonts w:hint="eastAsia"/>
                <w:b/>
                <w:bCs/>
                <w:color w:val="auto"/>
                <w:kern w:val="0"/>
                <w:sz w:val="24"/>
                <w:u w:val="single"/>
                <w:lang w:val="en-US" w:eastAsia="zh-CN"/>
              </w:rPr>
              <w:t>900-023-29</w:t>
            </w:r>
            <w:r>
              <w:rPr>
                <w:rFonts w:hint="eastAsia"/>
                <w:color w:val="auto"/>
                <w:kern w:val="0"/>
                <w:sz w:val="24"/>
              </w:rPr>
              <w:t>，暂存在危废暂存间内，定期委托给有废物处置资质的公司进行妥善处置。</w:t>
            </w:r>
          </w:p>
          <w:p w14:paraId="146C842B">
            <w:pPr>
              <w:spacing w:line="360" w:lineRule="auto"/>
              <w:ind w:firstLine="482" w:firstLineChars="200"/>
              <w:rPr>
                <w:rFonts w:hint="eastAsia" w:ascii="Times New Roman" w:hAnsi="Times New Roman" w:eastAsia="宋体" w:cs="Times New Roman"/>
                <w:b/>
                <w:bCs/>
                <w:color w:val="auto"/>
                <w:kern w:val="0"/>
                <w:sz w:val="24"/>
                <w:u w:val="single"/>
                <w:lang w:val="en-US" w:eastAsia="zh-CN"/>
              </w:rPr>
            </w:pPr>
            <w:r>
              <w:rPr>
                <w:rFonts w:hint="eastAsia" w:ascii="Times New Roman" w:hAnsi="Times New Roman" w:eastAsia="宋体" w:cs="Times New Roman"/>
                <w:b/>
                <w:bCs/>
                <w:color w:val="auto"/>
                <w:kern w:val="0"/>
                <w:sz w:val="24"/>
                <w:u w:val="single"/>
                <w:lang w:val="en-US" w:eastAsia="zh-CN"/>
              </w:rPr>
              <w:t>⑦</w:t>
            </w:r>
            <w:r>
              <w:rPr>
                <w:rFonts w:hint="eastAsia" w:cs="Times New Roman"/>
                <w:b/>
                <w:bCs/>
                <w:color w:val="auto"/>
                <w:kern w:val="0"/>
                <w:sz w:val="24"/>
                <w:u w:val="single"/>
                <w:lang w:val="en-US" w:eastAsia="zh-CN"/>
              </w:rPr>
              <w:t>油磨</w:t>
            </w:r>
            <w:r>
              <w:rPr>
                <w:rFonts w:hint="eastAsia" w:ascii="Times New Roman" w:hAnsi="Times New Roman" w:eastAsia="宋体" w:cs="Times New Roman"/>
                <w:b/>
                <w:bCs/>
                <w:color w:val="auto"/>
                <w:kern w:val="0"/>
                <w:sz w:val="24"/>
                <w:u w:val="single"/>
                <w:lang w:val="en-US" w:eastAsia="zh-CN"/>
              </w:rPr>
              <w:t>粉尘</w:t>
            </w:r>
          </w:p>
          <w:p w14:paraId="132F9ED6">
            <w:pPr>
              <w:spacing w:line="360" w:lineRule="auto"/>
              <w:ind w:firstLine="482" w:firstLineChars="200"/>
              <w:rPr>
                <w:rFonts w:hint="eastAsia"/>
                <w:color w:val="auto"/>
                <w:kern w:val="0"/>
                <w:sz w:val="24"/>
              </w:rPr>
            </w:pPr>
            <w:r>
              <w:rPr>
                <w:rFonts w:hint="default"/>
                <w:b/>
                <w:bCs/>
                <w:color w:val="auto"/>
                <w:kern w:val="0"/>
                <w:sz w:val="24"/>
                <w:u w:val="single"/>
                <w:lang w:val="en-US" w:eastAsia="zh-CN"/>
              </w:rPr>
              <w:t>根据废气污染物产排污环节分析可知，</w:t>
            </w:r>
            <w:r>
              <w:rPr>
                <w:rFonts w:hint="eastAsia"/>
                <w:b/>
                <w:bCs/>
                <w:color w:val="auto"/>
                <w:kern w:val="0"/>
                <w:sz w:val="24"/>
                <w:u w:val="single"/>
                <w:lang w:val="en-US" w:eastAsia="zh-CN"/>
              </w:rPr>
              <w:t>油磨</w:t>
            </w:r>
            <w:r>
              <w:rPr>
                <w:rFonts w:hint="default"/>
                <w:b/>
                <w:bCs/>
                <w:color w:val="auto"/>
                <w:kern w:val="0"/>
                <w:sz w:val="24"/>
                <w:u w:val="single"/>
                <w:lang w:val="en-US" w:eastAsia="zh-CN"/>
              </w:rPr>
              <w:t>收集的粉尘量为</w:t>
            </w:r>
            <w:r>
              <w:rPr>
                <w:rFonts w:hint="eastAsia"/>
                <w:b/>
                <w:bCs/>
                <w:color w:val="auto"/>
                <w:kern w:val="0"/>
                <w:sz w:val="24"/>
                <w:u w:val="single"/>
                <w:lang w:val="en-US" w:eastAsia="zh-CN"/>
              </w:rPr>
              <w:t>2.1810</w:t>
            </w:r>
            <w:r>
              <w:rPr>
                <w:rFonts w:hint="default"/>
                <w:b/>
                <w:bCs/>
                <w:color w:val="auto"/>
                <w:kern w:val="0"/>
                <w:sz w:val="24"/>
                <w:u w:val="single"/>
                <w:lang w:val="en-US" w:eastAsia="zh-CN"/>
              </w:rPr>
              <w:t>t/a，</w:t>
            </w:r>
            <w:r>
              <w:rPr>
                <w:rFonts w:hint="eastAsia"/>
                <w:b/>
                <w:bCs/>
                <w:color w:val="auto"/>
                <w:kern w:val="0"/>
                <w:sz w:val="24"/>
                <w:u w:val="single"/>
              </w:rPr>
              <w:t>根据《国家危险废物名录》（202</w:t>
            </w:r>
            <w:r>
              <w:rPr>
                <w:rFonts w:hint="eastAsia"/>
                <w:b/>
                <w:bCs/>
                <w:color w:val="auto"/>
                <w:kern w:val="0"/>
                <w:sz w:val="24"/>
                <w:u w:val="single"/>
                <w:lang w:val="en-US" w:eastAsia="zh-CN"/>
              </w:rPr>
              <w:t>5</w:t>
            </w:r>
            <w:r>
              <w:rPr>
                <w:rFonts w:hint="eastAsia"/>
                <w:b/>
                <w:bCs/>
                <w:color w:val="auto"/>
                <w:kern w:val="0"/>
                <w:sz w:val="24"/>
                <w:u w:val="single"/>
              </w:rPr>
              <w:t>年版），</w:t>
            </w:r>
            <w:r>
              <w:rPr>
                <w:rFonts w:hint="eastAsia"/>
                <w:b/>
                <w:bCs/>
                <w:color w:val="auto"/>
                <w:kern w:val="0"/>
                <w:sz w:val="24"/>
                <w:u w:val="single"/>
                <w:lang w:val="en-US" w:eastAsia="zh-CN"/>
              </w:rPr>
              <w:t>废灯管</w:t>
            </w:r>
            <w:r>
              <w:rPr>
                <w:rFonts w:hint="eastAsia"/>
                <w:b/>
                <w:bCs/>
                <w:color w:val="auto"/>
                <w:kern w:val="0"/>
                <w:sz w:val="24"/>
                <w:u w:val="single"/>
              </w:rPr>
              <w:t>属于HW</w:t>
            </w:r>
            <w:r>
              <w:rPr>
                <w:rFonts w:hint="eastAsia"/>
                <w:b/>
                <w:bCs/>
                <w:color w:val="auto"/>
                <w:kern w:val="0"/>
                <w:sz w:val="24"/>
                <w:u w:val="single"/>
                <w:lang w:val="en-US" w:eastAsia="zh-CN"/>
              </w:rPr>
              <w:t>12</w:t>
            </w:r>
            <w:r>
              <w:rPr>
                <w:rFonts w:hint="eastAsia"/>
                <w:b/>
                <w:bCs/>
                <w:color w:val="auto"/>
                <w:kern w:val="0"/>
                <w:sz w:val="24"/>
                <w:u w:val="single"/>
              </w:rPr>
              <w:t>，危废代码为</w:t>
            </w:r>
            <w:r>
              <w:rPr>
                <w:rFonts w:hint="eastAsia"/>
                <w:b/>
                <w:bCs/>
                <w:color w:val="auto"/>
                <w:kern w:val="0"/>
                <w:sz w:val="24"/>
                <w:u w:val="single"/>
                <w:lang w:val="en-US" w:eastAsia="zh-CN"/>
              </w:rPr>
              <w:t>900-252-12</w:t>
            </w:r>
            <w:r>
              <w:rPr>
                <w:rFonts w:hint="eastAsia"/>
                <w:b/>
                <w:bCs/>
                <w:color w:val="auto"/>
                <w:kern w:val="0"/>
                <w:sz w:val="24"/>
                <w:u w:val="single"/>
              </w:rPr>
              <w:t>，暂存在危废暂存间内，定期委托给有废物处置资质的公司进行妥善处置。</w:t>
            </w:r>
          </w:p>
          <w:p w14:paraId="2FCE19A8">
            <w:pPr>
              <w:spacing w:line="360" w:lineRule="auto"/>
              <w:ind w:firstLine="480" w:firstLineChars="200"/>
              <w:rPr>
                <w:rFonts w:hint="eastAsia"/>
                <w:color w:val="auto"/>
                <w:kern w:val="0"/>
                <w:sz w:val="24"/>
              </w:rPr>
            </w:pPr>
            <w:r>
              <w:rPr>
                <w:rFonts w:hint="eastAsia"/>
                <w:color w:val="auto"/>
                <w:kern w:val="0"/>
                <w:sz w:val="24"/>
              </w:rPr>
              <w:t>（3）员工生活垃圾</w:t>
            </w:r>
          </w:p>
          <w:p w14:paraId="1308818D">
            <w:pPr>
              <w:spacing w:line="360" w:lineRule="auto"/>
              <w:ind w:firstLine="480" w:firstLineChars="200"/>
              <w:rPr>
                <w:rFonts w:hint="eastAsia"/>
                <w:color w:val="auto"/>
                <w:kern w:val="0"/>
                <w:sz w:val="24"/>
              </w:rPr>
            </w:pPr>
            <w:r>
              <w:rPr>
                <w:rFonts w:hint="eastAsia"/>
                <w:color w:val="auto"/>
                <w:kern w:val="0"/>
                <w:sz w:val="24"/>
              </w:rPr>
              <w:t>项目职工50人，员工生活垃圾产生量按0.5kg/d计，则生活垃圾产生量为7.5t/a，生活垃圾集中收集后，由当地环卫部门统一清运处理。</w:t>
            </w:r>
          </w:p>
          <w:p w14:paraId="698CB3D7">
            <w:pPr>
              <w:pStyle w:val="46"/>
              <w:keepNext w:val="0"/>
              <w:keepLines w:val="0"/>
              <w:pageBreakBefore w:val="0"/>
              <w:widowControl w:val="0"/>
              <w:numPr>
                <w:ilvl w:val="0"/>
                <w:numId w:val="0"/>
              </w:numPr>
              <w:tabs>
                <w:tab w:val="clear" w:pos="0"/>
              </w:tabs>
              <w:kinsoku/>
              <w:wordWrap/>
              <w:overflowPunct/>
              <w:topLinePunct w:val="0"/>
              <w:autoSpaceDE/>
              <w:autoSpaceDN/>
              <w:bidi w:val="0"/>
              <w:adjustRightInd/>
              <w:snapToGrid/>
              <w:ind w:leftChars="0"/>
              <w:textAlignment w:val="auto"/>
              <w:rPr>
                <w:rFonts w:hint="eastAsia" w:ascii="Times New Roman" w:hAnsi="Arial Unicode MS" w:eastAsia="宋体" w:cs="Times New Roman"/>
                <w:b/>
                <w:color w:val="auto"/>
                <w:kern w:val="2"/>
                <w:sz w:val="24"/>
                <w:szCs w:val="24"/>
                <w:lang w:val="en-US" w:eastAsia="zh-CN" w:bidi="ar-SA"/>
              </w:rPr>
            </w:pPr>
          </w:p>
          <w:p w14:paraId="7395EE56">
            <w:pPr>
              <w:pStyle w:val="46"/>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eastAsia" w:ascii="Times New Roman" w:hAnsi="Arial Unicode MS" w:eastAsia="宋体" w:cs="Times New Roman"/>
                <w:b/>
                <w:color w:val="auto"/>
                <w:kern w:val="2"/>
                <w:sz w:val="24"/>
                <w:szCs w:val="24"/>
                <w:lang w:val="en-US" w:eastAsia="zh-CN" w:bidi="ar-SA"/>
              </w:rPr>
            </w:pPr>
            <w:r>
              <w:rPr>
                <w:rFonts w:hint="eastAsia" w:ascii="Times New Roman" w:hAnsi="Arial Unicode MS" w:eastAsia="宋体" w:cs="Times New Roman"/>
                <w:b/>
                <w:color w:val="auto"/>
                <w:kern w:val="2"/>
                <w:sz w:val="24"/>
                <w:szCs w:val="24"/>
                <w:lang w:val="en-US" w:eastAsia="zh-CN" w:bidi="ar-SA"/>
              </w:rPr>
              <w:t>项目固体废物产生情况一览表</w:t>
            </w:r>
          </w:p>
          <w:tbl>
            <w:tblPr>
              <w:tblStyle w:val="25"/>
              <w:tblW w:w="86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1272"/>
              <w:gridCol w:w="1110"/>
              <w:gridCol w:w="1313"/>
              <w:gridCol w:w="1180"/>
              <w:gridCol w:w="2655"/>
            </w:tblGrid>
            <w:tr w14:paraId="1B09D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Align w:val="center"/>
                </w:tcPr>
                <w:p w14:paraId="7E0E8E28">
                  <w:pPr>
                    <w:pStyle w:val="21"/>
                    <w:snapToGrid w:val="0"/>
                    <w:spacing w:before="0" w:beforeAutospacing="0" w:after="0" w:afterAutospacing="0"/>
                    <w:jc w:val="center"/>
                    <w:rPr>
                      <w:rFonts w:ascii="Times New Roman" w:hAnsi="Times New Roman"/>
                      <w:b/>
                      <w:bCs/>
                      <w:color w:val="auto"/>
                      <w:kern w:val="2"/>
                      <w:sz w:val="21"/>
                      <w:szCs w:val="21"/>
                    </w:rPr>
                  </w:pPr>
                  <w:r>
                    <w:rPr>
                      <w:rFonts w:ascii="Times New Roman" w:hAnsi="Times New Roman"/>
                      <w:b/>
                      <w:bCs/>
                      <w:color w:val="auto"/>
                      <w:kern w:val="2"/>
                      <w:sz w:val="21"/>
                      <w:szCs w:val="21"/>
                    </w:rPr>
                    <w:t>产污环节</w:t>
                  </w:r>
                </w:p>
              </w:tc>
              <w:tc>
                <w:tcPr>
                  <w:tcW w:w="1272" w:type="dxa"/>
                  <w:vAlign w:val="center"/>
                </w:tcPr>
                <w:p w14:paraId="6C7E8177">
                  <w:pPr>
                    <w:pStyle w:val="21"/>
                    <w:snapToGrid w:val="0"/>
                    <w:spacing w:before="0" w:beforeAutospacing="0" w:after="0" w:afterAutospacing="0"/>
                    <w:jc w:val="center"/>
                    <w:rPr>
                      <w:rFonts w:ascii="Times New Roman" w:hAnsi="Times New Roman"/>
                      <w:b/>
                      <w:bCs/>
                      <w:color w:val="auto"/>
                      <w:kern w:val="2"/>
                      <w:sz w:val="21"/>
                      <w:szCs w:val="21"/>
                    </w:rPr>
                  </w:pPr>
                  <w:r>
                    <w:rPr>
                      <w:rFonts w:ascii="Times New Roman" w:hAnsi="Times New Roman"/>
                      <w:b/>
                      <w:bCs/>
                      <w:color w:val="auto"/>
                      <w:kern w:val="2"/>
                      <w:sz w:val="21"/>
                      <w:szCs w:val="21"/>
                    </w:rPr>
                    <w:t>污染物</w:t>
                  </w:r>
                </w:p>
              </w:tc>
              <w:tc>
                <w:tcPr>
                  <w:tcW w:w="1110" w:type="dxa"/>
                  <w:vAlign w:val="center"/>
                </w:tcPr>
                <w:p w14:paraId="4D5813DB">
                  <w:pPr>
                    <w:pStyle w:val="21"/>
                    <w:snapToGrid w:val="0"/>
                    <w:spacing w:before="0" w:beforeAutospacing="0" w:after="0" w:afterAutospacing="0"/>
                    <w:jc w:val="center"/>
                    <w:rPr>
                      <w:rFonts w:ascii="Times New Roman" w:hAnsi="Times New Roman"/>
                      <w:b/>
                      <w:bCs/>
                      <w:color w:val="auto"/>
                      <w:kern w:val="2"/>
                      <w:sz w:val="21"/>
                      <w:szCs w:val="21"/>
                    </w:rPr>
                  </w:pPr>
                  <w:r>
                    <w:rPr>
                      <w:rFonts w:ascii="Times New Roman" w:hAnsi="Times New Roman"/>
                      <w:b/>
                      <w:bCs/>
                      <w:color w:val="auto"/>
                      <w:kern w:val="2"/>
                      <w:sz w:val="21"/>
                      <w:szCs w:val="21"/>
                    </w:rPr>
                    <w:t>性质</w:t>
                  </w:r>
                </w:p>
              </w:tc>
              <w:tc>
                <w:tcPr>
                  <w:tcW w:w="1313" w:type="dxa"/>
                  <w:vAlign w:val="center"/>
                </w:tcPr>
                <w:p w14:paraId="0C0A6F67">
                  <w:pPr>
                    <w:pStyle w:val="21"/>
                    <w:snapToGrid w:val="0"/>
                    <w:spacing w:before="0" w:beforeAutospacing="0" w:after="0" w:afterAutospacing="0"/>
                    <w:jc w:val="center"/>
                    <w:rPr>
                      <w:rFonts w:ascii="Times New Roman" w:hAnsi="Times New Roman"/>
                      <w:b/>
                      <w:bCs/>
                      <w:color w:val="auto"/>
                      <w:kern w:val="2"/>
                      <w:sz w:val="21"/>
                      <w:szCs w:val="21"/>
                    </w:rPr>
                  </w:pPr>
                  <w:r>
                    <w:rPr>
                      <w:rFonts w:ascii="Times New Roman" w:hAnsi="Times New Roman"/>
                      <w:b/>
                      <w:bCs/>
                      <w:color w:val="auto"/>
                      <w:kern w:val="2"/>
                      <w:sz w:val="21"/>
                      <w:szCs w:val="21"/>
                    </w:rPr>
                    <w:t>固废代码</w:t>
                  </w:r>
                </w:p>
              </w:tc>
              <w:tc>
                <w:tcPr>
                  <w:tcW w:w="1180" w:type="dxa"/>
                  <w:vAlign w:val="center"/>
                </w:tcPr>
                <w:p w14:paraId="25A35829">
                  <w:pPr>
                    <w:pStyle w:val="21"/>
                    <w:snapToGrid w:val="0"/>
                    <w:spacing w:before="0" w:beforeAutospacing="0" w:after="0" w:afterAutospacing="0"/>
                    <w:jc w:val="center"/>
                    <w:rPr>
                      <w:rFonts w:ascii="Times New Roman" w:hAnsi="Times New Roman"/>
                      <w:b/>
                      <w:bCs/>
                      <w:color w:val="auto"/>
                      <w:kern w:val="2"/>
                      <w:sz w:val="21"/>
                      <w:szCs w:val="21"/>
                    </w:rPr>
                  </w:pPr>
                  <w:r>
                    <w:rPr>
                      <w:rFonts w:ascii="Times New Roman" w:hAnsi="Times New Roman"/>
                      <w:b/>
                      <w:bCs/>
                      <w:color w:val="auto"/>
                      <w:kern w:val="2"/>
                      <w:sz w:val="21"/>
                      <w:szCs w:val="21"/>
                    </w:rPr>
                    <w:t>产生量</w:t>
                  </w:r>
                  <w:r>
                    <w:rPr>
                      <w:rFonts w:ascii="Times New Roman" w:hAnsi="Times New Roman"/>
                      <w:b/>
                      <w:bCs/>
                      <w:color w:val="auto"/>
                      <w:sz w:val="21"/>
                      <w:szCs w:val="21"/>
                      <w:lang w:bidi="ar"/>
                    </w:rPr>
                    <w:t>t/a</w:t>
                  </w:r>
                </w:p>
              </w:tc>
              <w:tc>
                <w:tcPr>
                  <w:tcW w:w="2655" w:type="dxa"/>
                  <w:vAlign w:val="center"/>
                </w:tcPr>
                <w:p w14:paraId="15121890">
                  <w:pPr>
                    <w:pStyle w:val="21"/>
                    <w:snapToGrid w:val="0"/>
                    <w:spacing w:before="0" w:beforeAutospacing="0" w:after="0" w:afterAutospacing="0"/>
                    <w:jc w:val="center"/>
                    <w:rPr>
                      <w:rFonts w:ascii="Times New Roman" w:hAnsi="Times New Roman"/>
                      <w:b/>
                      <w:bCs/>
                      <w:color w:val="auto"/>
                      <w:kern w:val="2"/>
                      <w:sz w:val="21"/>
                      <w:szCs w:val="21"/>
                    </w:rPr>
                  </w:pPr>
                  <w:r>
                    <w:rPr>
                      <w:rFonts w:ascii="Times New Roman" w:hAnsi="Times New Roman"/>
                      <w:b/>
                      <w:bCs/>
                      <w:color w:val="auto"/>
                      <w:kern w:val="2"/>
                      <w:sz w:val="21"/>
                      <w:szCs w:val="21"/>
                    </w:rPr>
                    <w:t>处理处置措施</w:t>
                  </w:r>
                </w:p>
              </w:tc>
            </w:tr>
            <w:tr w14:paraId="4D966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101" w:type="dxa"/>
                  <w:vAlign w:val="center"/>
                </w:tcPr>
                <w:p w14:paraId="0086D4A6">
                  <w:pPr>
                    <w:snapToGrid w:val="0"/>
                    <w:jc w:val="center"/>
                    <w:rPr>
                      <w:color w:val="auto"/>
                      <w:szCs w:val="21"/>
                    </w:rPr>
                  </w:pPr>
                  <w:r>
                    <w:rPr>
                      <w:color w:val="auto"/>
                      <w:szCs w:val="21"/>
                    </w:rPr>
                    <w:t>员工生活</w:t>
                  </w:r>
                </w:p>
              </w:tc>
              <w:tc>
                <w:tcPr>
                  <w:tcW w:w="1272" w:type="dxa"/>
                  <w:vAlign w:val="center"/>
                </w:tcPr>
                <w:p w14:paraId="4A0B0F69">
                  <w:pPr>
                    <w:snapToGrid w:val="0"/>
                    <w:jc w:val="center"/>
                    <w:rPr>
                      <w:color w:val="auto"/>
                      <w:szCs w:val="21"/>
                    </w:rPr>
                  </w:pPr>
                  <w:r>
                    <w:rPr>
                      <w:color w:val="auto"/>
                      <w:szCs w:val="21"/>
                    </w:rPr>
                    <w:t>生活垃圾</w:t>
                  </w:r>
                </w:p>
              </w:tc>
              <w:tc>
                <w:tcPr>
                  <w:tcW w:w="1110" w:type="dxa"/>
                  <w:vAlign w:val="center"/>
                </w:tcPr>
                <w:p w14:paraId="24F8BC9A">
                  <w:pPr>
                    <w:snapToGrid w:val="0"/>
                    <w:jc w:val="center"/>
                    <w:rPr>
                      <w:color w:val="auto"/>
                      <w:szCs w:val="21"/>
                    </w:rPr>
                  </w:pPr>
                  <w:r>
                    <w:rPr>
                      <w:color w:val="auto"/>
                      <w:szCs w:val="21"/>
                    </w:rPr>
                    <w:t>/</w:t>
                  </w:r>
                </w:p>
              </w:tc>
              <w:tc>
                <w:tcPr>
                  <w:tcW w:w="1313" w:type="dxa"/>
                  <w:vAlign w:val="center"/>
                </w:tcPr>
                <w:p w14:paraId="6084362D">
                  <w:pPr>
                    <w:snapToGrid w:val="0"/>
                    <w:jc w:val="center"/>
                    <w:rPr>
                      <w:color w:val="auto"/>
                      <w:szCs w:val="21"/>
                    </w:rPr>
                  </w:pPr>
                  <w:r>
                    <w:rPr>
                      <w:color w:val="auto"/>
                      <w:szCs w:val="21"/>
                    </w:rPr>
                    <w:t>/</w:t>
                  </w:r>
                </w:p>
              </w:tc>
              <w:tc>
                <w:tcPr>
                  <w:tcW w:w="1180" w:type="dxa"/>
                  <w:vAlign w:val="center"/>
                </w:tcPr>
                <w:p w14:paraId="580F20CB">
                  <w:pPr>
                    <w:snapToGrid w:val="0"/>
                    <w:jc w:val="center"/>
                    <w:rPr>
                      <w:color w:val="auto"/>
                      <w:szCs w:val="21"/>
                      <w:lang w:bidi="ar"/>
                    </w:rPr>
                  </w:pPr>
                  <w:r>
                    <w:rPr>
                      <w:color w:val="auto"/>
                      <w:szCs w:val="21"/>
                      <w:lang w:bidi="ar"/>
                    </w:rPr>
                    <w:t>7.5</w:t>
                  </w:r>
                </w:p>
              </w:tc>
              <w:tc>
                <w:tcPr>
                  <w:tcW w:w="2655" w:type="dxa"/>
                  <w:vAlign w:val="center"/>
                </w:tcPr>
                <w:p w14:paraId="2B8EAB8F">
                  <w:pPr>
                    <w:pStyle w:val="21"/>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收集后由环卫部门处置</w:t>
                  </w:r>
                </w:p>
              </w:tc>
            </w:tr>
            <w:tr w14:paraId="08711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101" w:type="dxa"/>
                  <w:vAlign w:val="center"/>
                </w:tcPr>
                <w:p w14:paraId="3137FB71">
                  <w:pPr>
                    <w:snapToGrid w:val="0"/>
                    <w:jc w:val="center"/>
                    <w:rPr>
                      <w:rFonts w:hint="default" w:eastAsia="宋体"/>
                      <w:b/>
                      <w:bCs/>
                      <w:color w:val="auto"/>
                      <w:szCs w:val="21"/>
                      <w:u w:val="single"/>
                      <w:lang w:val="en-US" w:eastAsia="zh-CN"/>
                    </w:rPr>
                  </w:pPr>
                  <w:r>
                    <w:rPr>
                      <w:rFonts w:hint="eastAsia"/>
                      <w:b/>
                      <w:bCs/>
                      <w:color w:val="auto"/>
                      <w:szCs w:val="21"/>
                      <w:u w:val="single"/>
                      <w:lang w:val="en-US" w:eastAsia="zh-CN"/>
                    </w:rPr>
                    <w:t>调漆</w:t>
                  </w:r>
                </w:p>
              </w:tc>
              <w:tc>
                <w:tcPr>
                  <w:tcW w:w="1272" w:type="dxa"/>
                  <w:vAlign w:val="center"/>
                </w:tcPr>
                <w:p w14:paraId="749CE6C7">
                  <w:pPr>
                    <w:snapToGrid w:val="0"/>
                    <w:jc w:val="center"/>
                    <w:rPr>
                      <w:rFonts w:hint="default" w:eastAsia="宋体"/>
                      <w:b/>
                      <w:bCs/>
                      <w:color w:val="auto"/>
                      <w:szCs w:val="21"/>
                      <w:u w:val="single"/>
                      <w:lang w:val="en-US" w:eastAsia="zh-CN"/>
                    </w:rPr>
                  </w:pPr>
                  <w:r>
                    <w:rPr>
                      <w:rFonts w:hint="eastAsia"/>
                      <w:b/>
                      <w:bCs/>
                      <w:color w:val="auto"/>
                      <w:szCs w:val="21"/>
                      <w:u w:val="single"/>
                      <w:lang w:val="en-US" w:eastAsia="zh-CN"/>
                    </w:rPr>
                    <w:t>饮水机RO膜</w:t>
                  </w:r>
                </w:p>
              </w:tc>
              <w:tc>
                <w:tcPr>
                  <w:tcW w:w="1110" w:type="dxa"/>
                  <w:vAlign w:val="center"/>
                </w:tcPr>
                <w:p w14:paraId="7CCB480D">
                  <w:pPr>
                    <w:snapToGrid w:val="0"/>
                    <w:jc w:val="center"/>
                    <w:rPr>
                      <w:rFonts w:ascii="Times New Roman" w:hAnsi="Times New Roman" w:eastAsia="宋体" w:cs="Times New Roman"/>
                      <w:b/>
                      <w:bCs/>
                      <w:color w:val="auto"/>
                      <w:kern w:val="2"/>
                      <w:sz w:val="21"/>
                      <w:szCs w:val="21"/>
                      <w:u w:val="single"/>
                      <w:lang w:val="en-US" w:eastAsia="zh-CN" w:bidi="ar-SA"/>
                    </w:rPr>
                  </w:pPr>
                  <w:r>
                    <w:rPr>
                      <w:b/>
                      <w:bCs/>
                      <w:color w:val="auto"/>
                      <w:szCs w:val="21"/>
                      <w:u w:val="single"/>
                    </w:rPr>
                    <w:t>一般固废</w:t>
                  </w:r>
                </w:p>
              </w:tc>
              <w:tc>
                <w:tcPr>
                  <w:tcW w:w="1313" w:type="dxa"/>
                  <w:vAlign w:val="center"/>
                </w:tcPr>
                <w:p w14:paraId="36DBF4D1">
                  <w:pPr>
                    <w:snapToGrid w:val="0"/>
                    <w:jc w:val="center"/>
                    <w:rPr>
                      <w:rFonts w:hint="default" w:ascii="Times New Roman" w:hAnsi="Times New Roman" w:eastAsia="宋体" w:cs="Times New Roman"/>
                      <w:b/>
                      <w:bCs/>
                      <w:color w:val="auto"/>
                      <w:kern w:val="2"/>
                      <w:sz w:val="21"/>
                      <w:szCs w:val="21"/>
                      <w:u w:val="single"/>
                      <w:lang w:val="en-US" w:eastAsia="zh-CN" w:bidi="ar-SA"/>
                    </w:rPr>
                  </w:pPr>
                  <w:r>
                    <w:rPr>
                      <w:rFonts w:hint="eastAsia"/>
                      <w:b/>
                      <w:bCs/>
                      <w:color w:val="auto"/>
                      <w:szCs w:val="21"/>
                      <w:u w:val="single"/>
                      <w:lang w:val="en-US" w:eastAsia="zh-CN"/>
                    </w:rPr>
                    <w:t>900-009-S59</w:t>
                  </w:r>
                </w:p>
              </w:tc>
              <w:tc>
                <w:tcPr>
                  <w:tcW w:w="1180" w:type="dxa"/>
                  <w:vAlign w:val="center"/>
                </w:tcPr>
                <w:p w14:paraId="2892A970">
                  <w:pPr>
                    <w:snapToGrid w:val="0"/>
                    <w:jc w:val="center"/>
                    <w:rPr>
                      <w:rFonts w:hint="default" w:ascii="Times New Roman" w:hAnsi="Times New Roman" w:eastAsia="宋体" w:cs="Times New Roman"/>
                      <w:b/>
                      <w:bCs/>
                      <w:color w:val="auto"/>
                      <w:kern w:val="2"/>
                      <w:sz w:val="21"/>
                      <w:szCs w:val="21"/>
                      <w:u w:val="single"/>
                      <w:lang w:val="en-US" w:eastAsia="zh-CN" w:bidi="ar-SA"/>
                    </w:rPr>
                  </w:pPr>
                  <w:r>
                    <w:rPr>
                      <w:rFonts w:hint="eastAsia"/>
                      <w:b/>
                      <w:bCs/>
                      <w:color w:val="auto"/>
                      <w:szCs w:val="21"/>
                      <w:u w:val="single"/>
                      <w:lang w:val="en-US" w:eastAsia="zh-CN"/>
                    </w:rPr>
                    <w:t>0.01</w:t>
                  </w:r>
                </w:p>
              </w:tc>
              <w:tc>
                <w:tcPr>
                  <w:tcW w:w="2655" w:type="dxa"/>
                  <w:vAlign w:val="center"/>
                </w:tcPr>
                <w:p w14:paraId="0C6BE273">
                  <w:pPr>
                    <w:pStyle w:val="21"/>
                    <w:snapToGrid w:val="0"/>
                    <w:spacing w:before="0" w:beforeAutospacing="0" w:after="0" w:afterAutospacing="0"/>
                    <w:jc w:val="center"/>
                    <w:rPr>
                      <w:rFonts w:hint="default" w:ascii="Times New Roman" w:hAnsi="Times New Roman" w:eastAsia="宋体"/>
                      <w:b/>
                      <w:bCs/>
                      <w:color w:val="auto"/>
                      <w:kern w:val="2"/>
                      <w:sz w:val="21"/>
                      <w:szCs w:val="21"/>
                      <w:u w:val="single"/>
                      <w:lang w:val="en-US" w:eastAsia="zh-CN"/>
                    </w:rPr>
                  </w:pPr>
                  <w:r>
                    <w:rPr>
                      <w:rFonts w:hint="eastAsia"/>
                      <w:b/>
                      <w:bCs/>
                      <w:color w:val="auto"/>
                      <w:sz w:val="21"/>
                      <w:szCs w:val="21"/>
                      <w:u w:val="single"/>
                      <w:lang w:val="en-US" w:eastAsia="zh-CN"/>
                    </w:rPr>
                    <w:t>一年更换一次，</w:t>
                  </w:r>
                  <w:r>
                    <w:rPr>
                      <w:rFonts w:hint="eastAsia" w:ascii="Times New Roman" w:hAnsi="Times New Roman"/>
                      <w:b/>
                      <w:bCs/>
                      <w:color w:val="auto"/>
                      <w:kern w:val="2"/>
                      <w:sz w:val="21"/>
                      <w:szCs w:val="21"/>
                      <w:u w:val="single"/>
                      <w:lang w:val="en-US" w:eastAsia="zh-CN"/>
                    </w:rPr>
                    <w:t>由厂家回收</w:t>
                  </w:r>
                </w:p>
              </w:tc>
            </w:tr>
            <w:tr w14:paraId="6A36E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01" w:type="dxa"/>
                  <w:vAlign w:val="center"/>
                </w:tcPr>
                <w:p w14:paraId="630C34AA">
                  <w:pPr>
                    <w:pStyle w:val="21"/>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下料</w:t>
                  </w:r>
                </w:p>
              </w:tc>
              <w:tc>
                <w:tcPr>
                  <w:tcW w:w="1272" w:type="dxa"/>
                  <w:vAlign w:val="center"/>
                </w:tcPr>
                <w:p w14:paraId="102B4CC5">
                  <w:pPr>
                    <w:pStyle w:val="21"/>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 w:val="21"/>
                      <w:szCs w:val="21"/>
                    </w:rPr>
                    <w:t>木材边角料</w:t>
                  </w:r>
                </w:p>
              </w:tc>
              <w:tc>
                <w:tcPr>
                  <w:tcW w:w="1110" w:type="dxa"/>
                  <w:vAlign w:val="center"/>
                </w:tcPr>
                <w:p w14:paraId="57436A32">
                  <w:pPr>
                    <w:snapToGrid w:val="0"/>
                    <w:jc w:val="center"/>
                    <w:rPr>
                      <w:color w:val="auto"/>
                      <w:szCs w:val="21"/>
                    </w:rPr>
                  </w:pPr>
                  <w:r>
                    <w:rPr>
                      <w:color w:val="auto"/>
                      <w:szCs w:val="21"/>
                    </w:rPr>
                    <w:t>一般固废</w:t>
                  </w:r>
                </w:p>
              </w:tc>
              <w:tc>
                <w:tcPr>
                  <w:tcW w:w="1313" w:type="dxa"/>
                  <w:vAlign w:val="center"/>
                </w:tcPr>
                <w:p w14:paraId="037A0270">
                  <w:pPr>
                    <w:snapToGrid w:val="0"/>
                    <w:jc w:val="center"/>
                    <w:rPr>
                      <w:rFonts w:hint="default" w:eastAsia="宋体"/>
                      <w:b/>
                      <w:bCs/>
                      <w:color w:val="auto"/>
                      <w:szCs w:val="21"/>
                      <w:u w:val="single"/>
                      <w:lang w:val="en-US" w:eastAsia="zh-CN"/>
                    </w:rPr>
                  </w:pPr>
                  <w:r>
                    <w:rPr>
                      <w:rFonts w:hint="eastAsia"/>
                      <w:b/>
                      <w:bCs/>
                      <w:color w:val="auto"/>
                      <w:szCs w:val="21"/>
                      <w:u w:val="single"/>
                      <w:lang w:val="en-US" w:eastAsia="zh-CN"/>
                    </w:rPr>
                    <w:t>900-009-S17</w:t>
                  </w:r>
                </w:p>
              </w:tc>
              <w:tc>
                <w:tcPr>
                  <w:tcW w:w="1180" w:type="dxa"/>
                  <w:vAlign w:val="center"/>
                </w:tcPr>
                <w:p w14:paraId="4C51DA15">
                  <w:pPr>
                    <w:snapToGrid w:val="0"/>
                    <w:jc w:val="center"/>
                    <w:rPr>
                      <w:color w:val="auto"/>
                      <w:szCs w:val="21"/>
                    </w:rPr>
                  </w:pPr>
                  <w:r>
                    <w:rPr>
                      <w:color w:val="auto"/>
                      <w:szCs w:val="21"/>
                    </w:rPr>
                    <w:t>2.08</w:t>
                  </w:r>
                </w:p>
              </w:tc>
              <w:tc>
                <w:tcPr>
                  <w:tcW w:w="2655" w:type="dxa"/>
                  <w:vAlign w:val="center"/>
                </w:tcPr>
                <w:p w14:paraId="5C086FBB">
                  <w:pPr>
                    <w:snapToGrid w:val="0"/>
                    <w:jc w:val="center"/>
                    <w:rPr>
                      <w:color w:val="auto"/>
                      <w:szCs w:val="21"/>
                    </w:rPr>
                  </w:pPr>
                  <w:r>
                    <w:rPr>
                      <w:color w:val="auto"/>
                      <w:szCs w:val="21"/>
                    </w:rPr>
                    <w:t>在一般固废间暂存，定期外售至废品收购站</w:t>
                  </w:r>
                </w:p>
              </w:tc>
            </w:tr>
            <w:tr w14:paraId="08CBA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1101" w:type="dxa"/>
                  <w:vAlign w:val="center"/>
                </w:tcPr>
                <w:p w14:paraId="5193C3FB">
                  <w:pPr>
                    <w:snapToGrid w:val="0"/>
                    <w:jc w:val="center"/>
                    <w:rPr>
                      <w:color w:val="auto"/>
                      <w:szCs w:val="21"/>
                    </w:rPr>
                  </w:pPr>
                  <w:r>
                    <w:rPr>
                      <w:color w:val="auto"/>
                      <w:szCs w:val="21"/>
                    </w:rPr>
                    <w:t>除尘设备</w:t>
                  </w:r>
                </w:p>
              </w:tc>
              <w:tc>
                <w:tcPr>
                  <w:tcW w:w="1272" w:type="dxa"/>
                  <w:vAlign w:val="center"/>
                </w:tcPr>
                <w:p w14:paraId="6F9B4138">
                  <w:pPr>
                    <w:snapToGrid w:val="0"/>
                    <w:jc w:val="center"/>
                    <w:rPr>
                      <w:color w:val="auto"/>
                      <w:szCs w:val="21"/>
                    </w:rPr>
                  </w:pPr>
                  <w:r>
                    <w:rPr>
                      <w:color w:val="auto"/>
                      <w:szCs w:val="21"/>
                    </w:rPr>
                    <w:t>除尘器收尘</w:t>
                  </w:r>
                </w:p>
              </w:tc>
              <w:tc>
                <w:tcPr>
                  <w:tcW w:w="1110" w:type="dxa"/>
                  <w:vAlign w:val="center"/>
                </w:tcPr>
                <w:p w14:paraId="25835EBD">
                  <w:pPr>
                    <w:snapToGrid w:val="0"/>
                    <w:jc w:val="center"/>
                    <w:rPr>
                      <w:color w:val="auto"/>
                      <w:szCs w:val="21"/>
                    </w:rPr>
                  </w:pPr>
                  <w:r>
                    <w:rPr>
                      <w:color w:val="auto"/>
                      <w:szCs w:val="21"/>
                    </w:rPr>
                    <w:t>一般固废</w:t>
                  </w:r>
                </w:p>
              </w:tc>
              <w:tc>
                <w:tcPr>
                  <w:tcW w:w="1313" w:type="dxa"/>
                  <w:vAlign w:val="center"/>
                </w:tcPr>
                <w:p w14:paraId="2A097B6C">
                  <w:pPr>
                    <w:snapToGrid w:val="0"/>
                    <w:jc w:val="center"/>
                    <w:rPr>
                      <w:color w:val="auto"/>
                      <w:szCs w:val="21"/>
                    </w:rPr>
                  </w:pPr>
                  <w:r>
                    <w:rPr>
                      <w:rFonts w:hint="eastAsia"/>
                      <w:b/>
                      <w:bCs/>
                      <w:color w:val="auto"/>
                      <w:szCs w:val="21"/>
                      <w:u w:val="single"/>
                      <w:lang w:val="en-US" w:eastAsia="zh-CN"/>
                    </w:rPr>
                    <w:t>900-009-S17</w:t>
                  </w:r>
                </w:p>
              </w:tc>
              <w:tc>
                <w:tcPr>
                  <w:tcW w:w="1180" w:type="dxa"/>
                  <w:vAlign w:val="center"/>
                </w:tcPr>
                <w:p w14:paraId="6FFDE276">
                  <w:pPr>
                    <w:snapToGrid w:val="0"/>
                    <w:jc w:val="center"/>
                    <w:rPr>
                      <w:rFonts w:hint="default" w:eastAsia="宋体"/>
                      <w:color w:val="auto"/>
                      <w:szCs w:val="21"/>
                      <w:lang w:val="en-US" w:eastAsia="zh-CN" w:bidi="ar"/>
                    </w:rPr>
                  </w:pPr>
                  <w:r>
                    <w:rPr>
                      <w:rFonts w:hint="eastAsia"/>
                      <w:b/>
                      <w:bCs/>
                      <w:color w:val="auto"/>
                      <w:szCs w:val="21"/>
                      <w:u w:val="single"/>
                      <w:lang w:val="en-US" w:eastAsia="zh-CN" w:bidi="ar"/>
                    </w:rPr>
                    <w:t>2.6605</w:t>
                  </w:r>
                </w:p>
              </w:tc>
              <w:tc>
                <w:tcPr>
                  <w:tcW w:w="2655" w:type="dxa"/>
                  <w:vAlign w:val="center"/>
                </w:tcPr>
                <w:p w14:paraId="470D7F57">
                  <w:pPr>
                    <w:snapToGrid w:val="0"/>
                    <w:jc w:val="center"/>
                    <w:rPr>
                      <w:color w:val="auto"/>
                      <w:szCs w:val="21"/>
                    </w:rPr>
                  </w:pPr>
                  <w:r>
                    <w:rPr>
                      <w:color w:val="auto"/>
                      <w:szCs w:val="21"/>
                    </w:rPr>
                    <w:t>在一般固废间暂存，定期外售至废品收购站</w:t>
                  </w:r>
                </w:p>
              </w:tc>
            </w:tr>
            <w:tr w14:paraId="7D9DC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1101" w:type="dxa"/>
                  <w:vAlign w:val="center"/>
                </w:tcPr>
                <w:p w14:paraId="61F0E707">
                  <w:pPr>
                    <w:pStyle w:val="21"/>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打磨</w:t>
                  </w:r>
                </w:p>
              </w:tc>
              <w:tc>
                <w:tcPr>
                  <w:tcW w:w="1272" w:type="dxa"/>
                  <w:vAlign w:val="center"/>
                </w:tcPr>
                <w:p w14:paraId="5694D11C">
                  <w:pPr>
                    <w:pStyle w:val="21"/>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sz w:val="21"/>
                      <w:szCs w:val="21"/>
                    </w:rPr>
                    <w:t>废砂纸</w:t>
                  </w:r>
                </w:p>
              </w:tc>
              <w:tc>
                <w:tcPr>
                  <w:tcW w:w="1110" w:type="dxa"/>
                  <w:vAlign w:val="center"/>
                </w:tcPr>
                <w:p w14:paraId="472DD2AB">
                  <w:pPr>
                    <w:snapToGrid w:val="0"/>
                    <w:jc w:val="center"/>
                    <w:rPr>
                      <w:color w:val="auto"/>
                      <w:szCs w:val="21"/>
                    </w:rPr>
                  </w:pPr>
                  <w:r>
                    <w:rPr>
                      <w:color w:val="auto"/>
                      <w:szCs w:val="21"/>
                    </w:rPr>
                    <w:t>一般固废</w:t>
                  </w:r>
                </w:p>
              </w:tc>
              <w:tc>
                <w:tcPr>
                  <w:tcW w:w="1313" w:type="dxa"/>
                  <w:vAlign w:val="center"/>
                </w:tcPr>
                <w:p w14:paraId="44F0B44A">
                  <w:pPr>
                    <w:snapToGrid w:val="0"/>
                    <w:jc w:val="center"/>
                    <w:rPr>
                      <w:rFonts w:hint="default" w:eastAsia="宋体"/>
                      <w:color w:val="auto"/>
                      <w:szCs w:val="21"/>
                      <w:lang w:val="en-US" w:eastAsia="zh-CN"/>
                    </w:rPr>
                  </w:pPr>
                  <w:r>
                    <w:rPr>
                      <w:rFonts w:hint="eastAsia"/>
                      <w:b/>
                      <w:bCs/>
                      <w:color w:val="auto"/>
                      <w:szCs w:val="21"/>
                      <w:u w:val="single"/>
                      <w:lang w:val="en-US" w:eastAsia="zh-CN"/>
                    </w:rPr>
                    <w:t>900-099-S59</w:t>
                  </w:r>
                </w:p>
              </w:tc>
              <w:tc>
                <w:tcPr>
                  <w:tcW w:w="1180" w:type="dxa"/>
                  <w:vAlign w:val="center"/>
                </w:tcPr>
                <w:p w14:paraId="221AC088">
                  <w:pPr>
                    <w:snapToGrid w:val="0"/>
                    <w:jc w:val="center"/>
                    <w:rPr>
                      <w:color w:val="auto"/>
                      <w:szCs w:val="21"/>
                      <w:lang w:bidi="ar"/>
                    </w:rPr>
                  </w:pPr>
                  <w:r>
                    <w:rPr>
                      <w:color w:val="auto"/>
                      <w:szCs w:val="21"/>
                      <w:lang w:bidi="ar"/>
                    </w:rPr>
                    <w:t>0.04</w:t>
                  </w:r>
                </w:p>
              </w:tc>
              <w:tc>
                <w:tcPr>
                  <w:tcW w:w="2655" w:type="dxa"/>
                  <w:vAlign w:val="center"/>
                </w:tcPr>
                <w:p w14:paraId="620345F1">
                  <w:pPr>
                    <w:snapToGrid w:val="0"/>
                    <w:jc w:val="center"/>
                    <w:rPr>
                      <w:color w:val="auto"/>
                      <w:szCs w:val="21"/>
                    </w:rPr>
                  </w:pPr>
                  <w:r>
                    <w:rPr>
                      <w:color w:val="auto"/>
                      <w:szCs w:val="21"/>
                    </w:rPr>
                    <w:t>在一般固废间暂存，定期外售至废品收购站</w:t>
                  </w:r>
                </w:p>
              </w:tc>
            </w:tr>
            <w:tr w14:paraId="70AC8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1101" w:type="dxa"/>
                  <w:vAlign w:val="center"/>
                </w:tcPr>
                <w:p w14:paraId="7EF034DE">
                  <w:pPr>
                    <w:pStyle w:val="21"/>
                    <w:snapToGrid w:val="0"/>
                    <w:spacing w:before="0" w:beforeAutospacing="0" w:after="0" w:afterAutospacing="0"/>
                    <w:jc w:val="center"/>
                    <w:rPr>
                      <w:rFonts w:hint="eastAsia" w:ascii="Times New Roman" w:hAnsi="Times New Roman" w:eastAsia="宋体"/>
                      <w:b/>
                      <w:bCs/>
                      <w:color w:val="auto"/>
                      <w:kern w:val="2"/>
                      <w:sz w:val="21"/>
                      <w:szCs w:val="21"/>
                      <w:u w:val="single"/>
                      <w:lang w:val="en-US" w:eastAsia="zh-CN"/>
                    </w:rPr>
                  </w:pPr>
                  <w:r>
                    <w:rPr>
                      <w:rFonts w:hint="eastAsia" w:ascii="Times New Roman" w:hAnsi="Times New Roman"/>
                      <w:b/>
                      <w:bCs/>
                      <w:color w:val="auto"/>
                      <w:kern w:val="2"/>
                      <w:sz w:val="21"/>
                      <w:szCs w:val="21"/>
                      <w:u w:val="single"/>
                      <w:lang w:val="en-US" w:eastAsia="zh-CN"/>
                    </w:rPr>
                    <w:t>油磨</w:t>
                  </w:r>
                </w:p>
              </w:tc>
              <w:tc>
                <w:tcPr>
                  <w:tcW w:w="1272" w:type="dxa"/>
                  <w:vAlign w:val="center"/>
                </w:tcPr>
                <w:p w14:paraId="5FED2956">
                  <w:pPr>
                    <w:pStyle w:val="21"/>
                    <w:snapToGrid w:val="0"/>
                    <w:spacing w:before="0" w:beforeAutospacing="0" w:after="0" w:afterAutospacing="0"/>
                    <w:jc w:val="center"/>
                    <w:rPr>
                      <w:rFonts w:hint="default" w:ascii="Times New Roman" w:hAnsi="Times New Roman" w:eastAsia="宋体"/>
                      <w:b/>
                      <w:bCs/>
                      <w:color w:val="auto"/>
                      <w:sz w:val="21"/>
                      <w:szCs w:val="21"/>
                      <w:u w:val="single"/>
                      <w:lang w:val="en-US" w:eastAsia="zh-CN"/>
                    </w:rPr>
                  </w:pPr>
                  <w:r>
                    <w:rPr>
                      <w:rFonts w:hint="eastAsia" w:ascii="Times New Roman" w:hAnsi="Times New Roman"/>
                      <w:b/>
                      <w:bCs/>
                      <w:color w:val="auto"/>
                      <w:sz w:val="21"/>
                      <w:szCs w:val="21"/>
                      <w:u w:val="single"/>
                      <w:lang w:val="en-US" w:eastAsia="zh-CN"/>
                    </w:rPr>
                    <w:t>油磨粉尘</w:t>
                  </w:r>
                </w:p>
              </w:tc>
              <w:tc>
                <w:tcPr>
                  <w:tcW w:w="1110" w:type="dxa"/>
                  <w:vAlign w:val="center"/>
                </w:tcPr>
                <w:p w14:paraId="499E4A08">
                  <w:pPr>
                    <w:snapToGrid w:val="0"/>
                    <w:jc w:val="center"/>
                    <w:rPr>
                      <w:rFonts w:hint="eastAsia" w:eastAsia="宋体"/>
                      <w:b/>
                      <w:bCs/>
                      <w:color w:val="auto"/>
                      <w:szCs w:val="21"/>
                      <w:u w:val="single"/>
                      <w:lang w:val="en-US" w:eastAsia="zh-CN"/>
                    </w:rPr>
                  </w:pPr>
                  <w:r>
                    <w:rPr>
                      <w:rFonts w:hint="eastAsia"/>
                      <w:b/>
                      <w:bCs/>
                      <w:color w:val="auto"/>
                      <w:szCs w:val="21"/>
                      <w:u w:val="single"/>
                      <w:lang w:val="en-US" w:eastAsia="zh-CN"/>
                    </w:rPr>
                    <w:t>危险废物</w:t>
                  </w:r>
                </w:p>
              </w:tc>
              <w:tc>
                <w:tcPr>
                  <w:tcW w:w="1313" w:type="dxa"/>
                  <w:vAlign w:val="center"/>
                </w:tcPr>
                <w:p w14:paraId="0338872F">
                  <w:pPr>
                    <w:snapToGrid w:val="0"/>
                    <w:jc w:val="center"/>
                    <w:rPr>
                      <w:rFonts w:hint="default" w:eastAsia="宋体"/>
                      <w:b/>
                      <w:bCs/>
                      <w:color w:val="auto"/>
                      <w:szCs w:val="21"/>
                      <w:u w:val="single"/>
                      <w:lang w:val="en-US" w:eastAsia="zh-CN"/>
                    </w:rPr>
                  </w:pPr>
                  <w:r>
                    <w:rPr>
                      <w:rFonts w:hint="eastAsia"/>
                      <w:b/>
                      <w:bCs/>
                      <w:color w:val="auto"/>
                      <w:szCs w:val="21"/>
                      <w:u w:val="single"/>
                      <w:lang w:val="en-US" w:eastAsia="zh-CN"/>
                    </w:rPr>
                    <w:t>900-252-12</w:t>
                  </w:r>
                </w:p>
              </w:tc>
              <w:tc>
                <w:tcPr>
                  <w:tcW w:w="1180" w:type="dxa"/>
                  <w:vAlign w:val="center"/>
                </w:tcPr>
                <w:p w14:paraId="20FD9981">
                  <w:pPr>
                    <w:snapToGrid w:val="0"/>
                    <w:jc w:val="center"/>
                    <w:rPr>
                      <w:rFonts w:hint="default" w:eastAsia="宋体"/>
                      <w:b/>
                      <w:bCs/>
                      <w:color w:val="auto"/>
                      <w:szCs w:val="21"/>
                      <w:u w:val="single"/>
                      <w:lang w:val="en-US" w:eastAsia="zh-CN" w:bidi="ar"/>
                    </w:rPr>
                  </w:pPr>
                  <w:r>
                    <w:rPr>
                      <w:rFonts w:hint="eastAsia"/>
                      <w:b/>
                      <w:bCs/>
                      <w:color w:val="auto"/>
                      <w:szCs w:val="21"/>
                      <w:u w:val="single"/>
                      <w:lang w:val="en-US" w:eastAsia="zh-CN" w:bidi="ar"/>
                    </w:rPr>
                    <w:t>2.1810</w:t>
                  </w:r>
                </w:p>
              </w:tc>
              <w:tc>
                <w:tcPr>
                  <w:tcW w:w="2655" w:type="dxa"/>
                  <w:vAlign w:val="center"/>
                </w:tcPr>
                <w:p w14:paraId="2AE078DF">
                  <w:pPr>
                    <w:snapToGrid w:val="0"/>
                    <w:jc w:val="center"/>
                    <w:rPr>
                      <w:b/>
                      <w:bCs/>
                      <w:color w:val="auto"/>
                      <w:szCs w:val="21"/>
                      <w:u w:val="single"/>
                    </w:rPr>
                  </w:pPr>
                  <w:r>
                    <w:rPr>
                      <w:b/>
                      <w:bCs/>
                      <w:color w:val="auto"/>
                      <w:szCs w:val="21"/>
                      <w:u w:val="single"/>
                    </w:rPr>
                    <w:t>在危废暂存间暂存，定期交由有资质的单位处理</w:t>
                  </w:r>
                </w:p>
              </w:tc>
            </w:tr>
            <w:tr w14:paraId="46F02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1101" w:type="dxa"/>
                  <w:vMerge w:val="restart"/>
                  <w:vAlign w:val="center"/>
                </w:tcPr>
                <w:p w14:paraId="4C84EB0E">
                  <w:pPr>
                    <w:pStyle w:val="21"/>
                    <w:snapToGrid w:val="0"/>
                    <w:spacing w:before="0" w:beforeAutospacing="0" w:after="0" w:afterAutospacing="0"/>
                    <w:jc w:val="center"/>
                    <w:rPr>
                      <w:rFonts w:ascii="Times New Roman" w:hAnsi="Times New Roman"/>
                      <w:color w:val="auto"/>
                      <w:sz w:val="21"/>
                      <w:szCs w:val="21"/>
                    </w:rPr>
                  </w:pPr>
                  <w:r>
                    <w:rPr>
                      <w:rFonts w:hint="eastAsia" w:ascii="Times New Roman" w:hAnsi="Times New Roman"/>
                      <w:color w:val="auto"/>
                      <w:sz w:val="21"/>
                      <w:szCs w:val="21"/>
                    </w:rPr>
                    <w:t>设备维护</w:t>
                  </w:r>
                </w:p>
              </w:tc>
              <w:tc>
                <w:tcPr>
                  <w:tcW w:w="1272" w:type="dxa"/>
                  <w:vAlign w:val="center"/>
                </w:tcPr>
                <w:p w14:paraId="5A951741">
                  <w:pPr>
                    <w:pStyle w:val="21"/>
                    <w:snapToGrid w:val="0"/>
                    <w:spacing w:before="0" w:beforeAutospacing="0" w:after="0" w:afterAutospacing="0"/>
                    <w:jc w:val="center"/>
                    <w:rPr>
                      <w:rFonts w:ascii="Times New Roman" w:hAnsi="Times New Roman"/>
                      <w:color w:val="auto"/>
                      <w:sz w:val="21"/>
                      <w:szCs w:val="21"/>
                    </w:rPr>
                  </w:pPr>
                  <w:r>
                    <w:rPr>
                      <w:rFonts w:hint="eastAsia" w:ascii="Times New Roman" w:hAnsi="Times New Roman"/>
                      <w:color w:val="auto"/>
                      <w:sz w:val="21"/>
                      <w:szCs w:val="21"/>
                      <w:lang w:val="en-US" w:eastAsia="zh-CN"/>
                    </w:rPr>
                    <w:t>废机油</w:t>
                  </w:r>
                </w:p>
              </w:tc>
              <w:tc>
                <w:tcPr>
                  <w:tcW w:w="1110" w:type="dxa"/>
                  <w:vAlign w:val="center"/>
                </w:tcPr>
                <w:p w14:paraId="58FC0A0F">
                  <w:pPr>
                    <w:snapToGrid w:val="0"/>
                    <w:jc w:val="center"/>
                    <w:rPr>
                      <w:color w:val="auto"/>
                      <w:szCs w:val="21"/>
                    </w:rPr>
                  </w:pPr>
                  <w:r>
                    <w:rPr>
                      <w:color w:val="auto"/>
                      <w:szCs w:val="21"/>
                    </w:rPr>
                    <w:t>危险废物</w:t>
                  </w:r>
                </w:p>
              </w:tc>
              <w:tc>
                <w:tcPr>
                  <w:tcW w:w="1313" w:type="dxa"/>
                  <w:vAlign w:val="center"/>
                </w:tcPr>
                <w:p w14:paraId="0CA9314D">
                  <w:pPr>
                    <w:snapToGrid w:val="0"/>
                    <w:jc w:val="center"/>
                    <w:rPr>
                      <w:b/>
                      <w:bCs/>
                      <w:color w:val="auto"/>
                      <w:szCs w:val="21"/>
                      <w:u w:val="single"/>
                    </w:rPr>
                  </w:pPr>
                  <w:r>
                    <w:rPr>
                      <w:rFonts w:hint="eastAsia"/>
                      <w:b/>
                      <w:bCs/>
                      <w:color w:val="auto"/>
                      <w:kern w:val="0"/>
                      <w:szCs w:val="21"/>
                      <w:u w:val="single"/>
                    </w:rPr>
                    <w:t>900-214-08</w:t>
                  </w:r>
                </w:p>
              </w:tc>
              <w:tc>
                <w:tcPr>
                  <w:tcW w:w="1180" w:type="dxa"/>
                  <w:vAlign w:val="center"/>
                </w:tcPr>
                <w:p w14:paraId="1341AE22">
                  <w:pPr>
                    <w:snapToGrid w:val="0"/>
                    <w:jc w:val="center"/>
                    <w:rPr>
                      <w:rFonts w:hint="eastAsia" w:eastAsia="宋体"/>
                      <w:color w:val="auto"/>
                      <w:szCs w:val="21"/>
                      <w:lang w:val="en-US" w:eastAsia="zh-CN" w:bidi="ar"/>
                    </w:rPr>
                  </w:pPr>
                  <w:r>
                    <w:rPr>
                      <w:color w:val="auto"/>
                      <w:szCs w:val="21"/>
                      <w:lang w:bidi="ar"/>
                    </w:rPr>
                    <w:t>0.</w:t>
                  </w:r>
                  <w:r>
                    <w:rPr>
                      <w:rFonts w:hint="eastAsia"/>
                      <w:color w:val="auto"/>
                      <w:szCs w:val="21"/>
                      <w:lang w:val="en-US" w:eastAsia="zh-CN" w:bidi="ar"/>
                    </w:rPr>
                    <w:t>3</w:t>
                  </w:r>
                </w:p>
              </w:tc>
              <w:tc>
                <w:tcPr>
                  <w:tcW w:w="2655" w:type="dxa"/>
                  <w:vAlign w:val="center"/>
                </w:tcPr>
                <w:p w14:paraId="274B7749">
                  <w:pPr>
                    <w:snapToGrid w:val="0"/>
                    <w:jc w:val="center"/>
                    <w:rPr>
                      <w:color w:val="auto"/>
                      <w:szCs w:val="21"/>
                    </w:rPr>
                  </w:pPr>
                  <w:r>
                    <w:rPr>
                      <w:color w:val="auto"/>
                      <w:szCs w:val="21"/>
                    </w:rPr>
                    <w:t>在危废暂存间暂存，定期交由有资质的单位处理</w:t>
                  </w:r>
                </w:p>
              </w:tc>
            </w:tr>
            <w:tr w14:paraId="682B0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1101" w:type="dxa"/>
                  <w:vMerge w:val="continue"/>
                  <w:vAlign w:val="center"/>
                </w:tcPr>
                <w:p w14:paraId="345D117C">
                  <w:pPr>
                    <w:pStyle w:val="21"/>
                    <w:snapToGrid w:val="0"/>
                    <w:spacing w:before="0" w:beforeAutospacing="0" w:after="0" w:afterAutospacing="0"/>
                    <w:jc w:val="center"/>
                    <w:rPr>
                      <w:rFonts w:hint="eastAsia" w:ascii="Times New Roman" w:hAnsi="Times New Roman"/>
                      <w:color w:val="auto"/>
                      <w:sz w:val="21"/>
                      <w:szCs w:val="21"/>
                    </w:rPr>
                  </w:pPr>
                </w:p>
              </w:tc>
              <w:tc>
                <w:tcPr>
                  <w:tcW w:w="1272" w:type="dxa"/>
                  <w:vAlign w:val="center"/>
                </w:tcPr>
                <w:p w14:paraId="6809903B">
                  <w:pPr>
                    <w:pStyle w:val="21"/>
                    <w:snapToGrid w:val="0"/>
                    <w:spacing w:before="0" w:beforeAutospacing="0" w:after="0" w:afterAutospacing="0"/>
                    <w:jc w:val="center"/>
                    <w:rPr>
                      <w:rFonts w:hint="eastAsia" w:ascii="Times New Roman" w:hAnsi="Times New Roman"/>
                      <w:color w:val="auto"/>
                      <w:sz w:val="21"/>
                      <w:szCs w:val="21"/>
                      <w:lang w:val="en-US" w:eastAsia="zh-CN"/>
                    </w:rPr>
                  </w:pPr>
                  <w:r>
                    <w:rPr>
                      <w:rFonts w:ascii="Times New Roman" w:hAnsi="Times New Roman"/>
                      <w:color w:val="auto"/>
                      <w:sz w:val="21"/>
                      <w:szCs w:val="21"/>
                    </w:rPr>
                    <w:t>废液压油</w:t>
                  </w:r>
                </w:p>
              </w:tc>
              <w:tc>
                <w:tcPr>
                  <w:tcW w:w="1110" w:type="dxa"/>
                  <w:vAlign w:val="center"/>
                </w:tcPr>
                <w:p w14:paraId="3F006FD3">
                  <w:pPr>
                    <w:snapToGrid w:val="0"/>
                    <w:jc w:val="center"/>
                    <w:rPr>
                      <w:color w:val="auto"/>
                      <w:kern w:val="2"/>
                      <w:sz w:val="21"/>
                      <w:szCs w:val="21"/>
                      <w:lang w:val="en-US" w:eastAsia="zh-CN" w:bidi="ar-SA"/>
                    </w:rPr>
                  </w:pPr>
                  <w:r>
                    <w:rPr>
                      <w:color w:val="auto"/>
                      <w:szCs w:val="21"/>
                    </w:rPr>
                    <w:t>危险废物</w:t>
                  </w:r>
                </w:p>
              </w:tc>
              <w:tc>
                <w:tcPr>
                  <w:tcW w:w="1313" w:type="dxa"/>
                  <w:vAlign w:val="center"/>
                </w:tcPr>
                <w:p w14:paraId="290EA9AF">
                  <w:pPr>
                    <w:snapToGrid w:val="0"/>
                    <w:jc w:val="center"/>
                    <w:rPr>
                      <w:b/>
                      <w:bCs/>
                      <w:color w:val="auto"/>
                      <w:kern w:val="2"/>
                      <w:sz w:val="21"/>
                      <w:szCs w:val="21"/>
                      <w:u w:val="single"/>
                      <w:lang w:val="en-US" w:eastAsia="zh-CN" w:bidi="ar-SA"/>
                    </w:rPr>
                  </w:pPr>
                  <w:r>
                    <w:rPr>
                      <w:rFonts w:hint="eastAsia"/>
                      <w:b/>
                      <w:bCs/>
                      <w:color w:val="auto"/>
                      <w:kern w:val="0"/>
                      <w:szCs w:val="21"/>
                      <w:u w:val="single"/>
                    </w:rPr>
                    <w:t>900-218-08</w:t>
                  </w:r>
                </w:p>
              </w:tc>
              <w:tc>
                <w:tcPr>
                  <w:tcW w:w="1180" w:type="dxa"/>
                  <w:vAlign w:val="center"/>
                </w:tcPr>
                <w:p w14:paraId="014362D4">
                  <w:pPr>
                    <w:snapToGrid w:val="0"/>
                    <w:jc w:val="center"/>
                    <w:rPr>
                      <w:rFonts w:hint="default" w:eastAsia="宋体"/>
                      <w:color w:val="auto"/>
                      <w:szCs w:val="21"/>
                      <w:lang w:val="en-US" w:eastAsia="zh-CN" w:bidi="ar"/>
                    </w:rPr>
                  </w:pPr>
                  <w:r>
                    <w:rPr>
                      <w:rFonts w:hint="eastAsia"/>
                      <w:color w:val="auto"/>
                      <w:szCs w:val="21"/>
                      <w:lang w:val="en-US" w:eastAsia="zh-CN" w:bidi="ar"/>
                    </w:rPr>
                    <w:t>0.15</w:t>
                  </w:r>
                </w:p>
              </w:tc>
              <w:tc>
                <w:tcPr>
                  <w:tcW w:w="2655" w:type="dxa"/>
                  <w:vAlign w:val="center"/>
                </w:tcPr>
                <w:p w14:paraId="0F4EEF39">
                  <w:pPr>
                    <w:snapToGrid w:val="0"/>
                    <w:jc w:val="center"/>
                    <w:rPr>
                      <w:color w:val="auto"/>
                      <w:szCs w:val="21"/>
                    </w:rPr>
                  </w:pPr>
                  <w:r>
                    <w:rPr>
                      <w:color w:val="auto"/>
                      <w:szCs w:val="21"/>
                    </w:rPr>
                    <w:t>在危废暂存间暂存，定期交由有资质的单位处理</w:t>
                  </w:r>
                </w:p>
              </w:tc>
            </w:tr>
            <w:tr w14:paraId="48F5F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1101" w:type="dxa"/>
                  <w:vMerge w:val="continue"/>
                  <w:vAlign w:val="center"/>
                </w:tcPr>
                <w:p w14:paraId="4CFB62F2">
                  <w:pPr>
                    <w:pStyle w:val="21"/>
                    <w:snapToGrid w:val="0"/>
                    <w:spacing w:before="0" w:beforeAutospacing="0" w:after="0" w:afterAutospacing="0"/>
                    <w:jc w:val="center"/>
                    <w:rPr>
                      <w:rFonts w:hint="eastAsia" w:ascii="Times New Roman" w:hAnsi="Times New Roman"/>
                      <w:color w:val="auto"/>
                      <w:sz w:val="21"/>
                      <w:szCs w:val="21"/>
                    </w:rPr>
                  </w:pPr>
                </w:p>
              </w:tc>
              <w:tc>
                <w:tcPr>
                  <w:tcW w:w="1272" w:type="dxa"/>
                  <w:vAlign w:val="center"/>
                </w:tcPr>
                <w:p w14:paraId="1ECFDA3F">
                  <w:pPr>
                    <w:pStyle w:val="21"/>
                    <w:snapToGrid w:val="0"/>
                    <w:spacing w:before="0" w:beforeAutospacing="0" w:after="0" w:afterAutospacing="0"/>
                    <w:jc w:val="center"/>
                    <w:rPr>
                      <w:rFonts w:ascii="Times New Roman" w:hAnsi="Times New Roman"/>
                      <w:color w:val="auto"/>
                      <w:sz w:val="21"/>
                      <w:szCs w:val="21"/>
                    </w:rPr>
                  </w:pPr>
                  <w:r>
                    <w:rPr>
                      <w:rFonts w:hint="eastAsia" w:ascii="Times New Roman" w:hAnsi="Times New Roman"/>
                      <w:color w:val="auto"/>
                      <w:sz w:val="21"/>
                      <w:szCs w:val="21"/>
                    </w:rPr>
                    <w:t>废机油桶、废液压油桶</w:t>
                  </w:r>
                </w:p>
              </w:tc>
              <w:tc>
                <w:tcPr>
                  <w:tcW w:w="1110" w:type="dxa"/>
                  <w:vAlign w:val="center"/>
                </w:tcPr>
                <w:p w14:paraId="4065D36A">
                  <w:pPr>
                    <w:snapToGrid w:val="0"/>
                    <w:jc w:val="center"/>
                    <w:rPr>
                      <w:rFonts w:ascii="Times New Roman" w:hAnsi="Times New Roman" w:eastAsia="宋体" w:cs="Times New Roman"/>
                      <w:color w:val="auto"/>
                      <w:kern w:val="2"/>
                      <w:sz w:val="21"/>
                      <w:szCs w:val="21"/>
                      <w:lang w:val="en-US" w:eastAsia="zh-CN" w:bidi="ar-SA"/>
                    </w:rPr>
                  </w:pPr>
                  <w:r>
                    <w:rPr>
                      <w:color w:val="auto"/>
                      <w:szCs w:val="21"/>
                    </w:rPr>
                    <w:t>危险废物</w:t>
                  </w:r>
                </w:p>
              </w:tc>
              <w:tc>
                <w:tcPr>
                  <w:tcW w:w="1313" w:type="dxa"/>
                  <w:vAlign w:val="center"/>
                </w:tcPr>
                <w:p w14:paraId="0B378EC2">
                  <w:pPr>
                    <w:snapToGrid w:val="0"/>
                    <w:jc w:val="center"/>
                    <w:rPr>
                      <w:rFonts w:ascii="Times New Roman" w:hAnsi="Times New Roman" w:eastAsia="宋体" w:cs="Times New Roman"/>
                      <w:b/>
                      <w:bCs/>
                      <w:color w:val="auto"/>
                      <w:kern w:val="2"/>
                      <w:sz w:val="21"/>
                      <w:szCs w:val="21"/>
                      <w:u w:val="single"/>
                      <w:lang w:val="en-US" w:eastAsia="zh-CN" w:bidi="ar-SA"/>
                    </w:rPr>
                  </w:pPr>
                  <w:r>
                    <w:rPr>
                      <w:rFonts w:hint="eastAsia"/>
                      <w:b/>
                      <w:bCs/>
                      <w:color w:val="auto"/>
                      <w:kern w:val="0"/>
                      <w:szCs w:val="21"/>
                      <w:u w:val="single"/>
                    </w:rPr>
                    <w:t>900-249-08</w:t>
                  </w:r>
                </w:p>
              </w:tc>
              <w:tc>
                <w:tcPr>
                  <w:tcW w:w="1180" w:type="dxa"/>
                  <w:vAlign w:val="center"/>
                </w:tcPr>
                <w:p w14:paraId="12993031">
                  <w:pPr>
                    <w:snapToGrid w:val="0"/>
                    <w:jc w:val="center"/>
                    <w:rPr>
                      <w:rFonts w:hint="default"/>
                      <w:color w:val="auto"/>
                      <w:szCs w:val="21"/>
                      <w:lang w:val="en-US" w:eastAsia="zh-CN" w:bidi="ar"/>
                    </w:rPr>
                  </w:pPr>
                  <w:r>
                    <w:rPr>
                      <w:rFonts w:hint="eastAsia"/>
                      <w:color w:val="auto"/>
                      <w:szCs w:val="21"/>
                      <w:lang w:val="en-US" w:eastAsia="zh-CN" w:bidi="ar"/>
                    </w:rPr>
                    <w:t>0.01</w:t>
                  </w:r>
                </w:p>
              </w:tc>
              <w:tc>
                <w:tcPr>
                  <w:tcW w:w="2655" w:type="dxa"/>
                  <w:vAlign w:val="center"/>
                </w:tcPr>
                <w:p w14:paraId="36D9BF18">
                  <w:pPr>
                    <w:snapToGrid w:val="0"/>
                    <w:jc w:val="center"/>
                    <w:rPr>
                      <w:color w:val="auto"/>
                      <w:szCs w:val="21"/>
                    </w:rPr>
                  </w:pPr>
                  <w:r>
                    <w:rPr>
                      <w:color w:val="auto"/>
                      <w:szCs w:val="21"/>
                    </w:rPr>
                    <w:t>在危废暂存间暂存，定期交由有资质的单位处理</w:t>
                  </w:r>
                </w:p>
              </w:tc>
            </w:tr>
            <w:tr w14:paraId="0288B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1101" w:type="dxa"/>
                  <w:vMerge w:val="restart"/>
                  <w:vAlign w:val="center"/>
                </w:tcPr>
                <w:p w14:paraId="29CDB3CA">
                  <w:pPr>
                    <w:pStyle w:val="21"/>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废气处理</w:t>
                  </w:r>
                </w:p>
              </w:tc>
              <w:tc>
                <w:tcPr>
                  <w:tcW w:w="1272" w:type="dxa"/>
                  <w:vAlign w:val="center"/>
                </w:tcPr>
                <w:p w14:paraId="26DE3F40">
                  <w:pPr>
                    <w:pStyle w:val="21"/>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sz w:val="21"/>
                      <w:szCs w:val="21"/>
                    </w:rPr>
                    <w:t>废过滤棉</w:t>
                  </w:r>
                </w:p>
              </w:tc>
              <w:tc>
                <w:tcPr>
                  <w:tcW w:w="1110" w:type="dxa"/>
                  <w:vAlign w:val="center"/>
                </w:tcPr>
                <w:p w14:paraId="6EA7A9A2">
                  <w:pPr>
                    <w:snapToGrid w:val="0"/>
                    <w:jc w:val="center"/>
                    <w:rPr>
                      <w:color w:val="auto"/>
                      <w:szCs w:val="21"/>
                    </w:rPr>
                  </w:pPr>
                  <w:r>
                    <w:rPr>
                      <w:color w:val="auto"/>
                      <w:szCs w:val="21"/>
                    </w:rPr>
                    <w:t>危险废物</w:t>
                  </w:r>
                </w:p>
              </w:tc>
              <w:tc>
                <w:tcPr>
                  <w:tcW w:w="1313" w:type="dxa"/>
                  <w:vAlign w:val="center"/>
                </w:tcPr>
                <w:p w14:paraId="78C543B3">
                  <w:pPr>
                    <w:snapToGrid w:val="0"/>
                    <w:jc w:val="center"/>
                    <w:rPr>
                      <w:b/>
                      <w:bCs/>
                      <w:color w:val="auto"/>
                      <w:szCs w:val="21"/>
                      <w:u w:val="single"/>
                    </w:rPr>
                  </w:pPr>
                  <w:r>
                    <w:rPr>
                      <w:rFonts w:hint="eastAsia"/>
                      <w:b/>
                      <w:bCs/>
                      <w:color w:val="auto"/>
                      <w:kern w:val="0"/>
                      <w:szCs w:val="21"/>
                      <w:u w:val="single"/>
                    </w:rPr>
                    <w:t>900-041-49</w:t>
                  </w:r>
                </w:p>
              </w:tc>
              <w:tc>
                <w:tcPr>
                  <w:tcW w:w="1180" w:type="dxa"/>
                  <w:vAlign w:val="center"/>
                </w:tcPr>
                <w:p w14:paraId="546C0440">
                  <w:pPr>
                    <w:snapToGrid w:val="0"/>
                    <w:jc w:val="center"/>
                    <w:rPr>
                      <w:rFonts w:hint="default" w:eastAsia="宋体"/>
                      <w:color w:val="auto"/>
                      <w:szCs w:val="21"/>
                      <w:lang w:val="en-US" w:eastAsia="zh-CN" w:bidi="ar"/>
                    </w:rPr>
                  </w:pPr>
                  <w:r>
                    <w:rPr>
                      <w:rFonts w:hint="eastAsia"/>
                      <w:b/>
                      <w:bCs/>
                      <w:color w:val="auto"/>
                      <w:szCs w:val="21"/>
                      <w:u w:val="single"/>
                      <w:lang w:val="en-US" w:eastAsia="zh-CN" w:bidi="ar"/>
                    </w:rPr>
                    <w:t>3.0586</w:t>
                  </w:r>
                </w:p>
              </w:tc>
              <w:tc>
                <w:tcPr>
                  <w:tcW w:w="2655" w:type="dxa"/>
                  <w:vAlign w:val="center"/>
                </w:tcPr>
                <w:p w14:paraId="32F85549">
                  <w:pPr>
                    <w:snapToGrid w:val="0"/>
                    <w:jc w:val="center"/>
                    <w:rPr>
                      <w:color w:val="auto"/>
                      <w:szCs w:val="21"/>
                    </w:rPr>
                  </w:pPr>
                  <w:r>
                    <w:rPr>
                      <w:color w:val="auto"/>
                      <w:szCs w:val="21"/>
                    </w:rPr>
                    <w:t>在危废暂存间暂存，定期交由有资质的单位处理</w:t>
                  </w:r>
                </w:p>
              </w:tc>
            </w:tr>
            <w:tr w14:paraId="61F4D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1101" w:type="dxa"/>
                  <w:vMerge w:val="continue"/>
                  <w:vAlign w:val="center"/>
                </w:tcPr>
                <w:p w14:paraId="36914A3A">
                  <w:pPr>
                    <w:pStyle w:val="21"/>
                    <w:snapToGrid w:val="0"/>
                    <w:spacing w:before="0" w:beforeAutospacing="0" w:after="0" w:afterAutospacing="0"/>
                    <w:jc w:val="center"/>
                    <w:rPr>
                      <w:rFonts w:ascii="Times New Roman" w:hAnsi="Times New Roman"/>
                      <w:color w:val="auto"/>
                      <w:kern w:val="2"/>
                      <w:sz w:val="21"/>
                      <w:szCs w:val="21"/>
                    </w:rPr>
                  </w:pPr>
                </w:p>
              </w:tc>
              <w:tc>
                <w:tcPr>
                  <w:tcW w:w="1272" w:type="dxa"/>
                  <w:vAlign w:val="center"/>
                </w:tcPr>
                <w:p w14:paraId="0F42B4C6">
                  <w:pPr>
                    <w:snapToGrid w:val="0"/>
                    <w:jc w:val="center"/>
                    <w:rPr>
                      <w:color w:val="auto"/>
                      <w:szCs w:val="21"/>
                    </w:rPr>
                  </w:pPr>
                  <w:r>
                    <w:rPr>
                      <w:color w:val="auto"/>
                      <w:kern w:val="0"/>
                      <w:szCs w:val="21"/>
                    </w:rPr>
                    <w:t>废催化剂</w:t>
                  </w:r>
                </w:p>
              </w:tc>
              <w:tc>
                <w:tcPr>
                  <w:tcW w:w="1110" w:type="dxa"/>
                  <w:vAlign w:val="center"/>
                </w:tcPr>
                <w:p w14:paraId="138C5981">
                  <w:pPr>
                    <w:snapToGrid w:val="0"/>
                    <w:jc w:val="center"/>
                    <w:rPr>
                      <w:color w:val="auto"/>
                      <w:szCs w:val="21"/>
                    </w:rPr>
                  </w:pPr>
                  <w:r>
                    <w:rPr>
                      <w:color w:val="auto"/>
                      <w:szCs w:val="21"/>
                    </w:rPr>
                    <w:t>危险废物</w:t>
                  </w:r>
                </w:p>
              </w:tc>
              <w:tc>
                <w:tcPr>
                  <w:tcW w:w="1313" w:type="dxa"/>
                  <w:vAlign w:val="center"/>
                </w:tcPr>
                <w:p w14:paraId="28FAE36C">
                  <w:pPr>
                    <w:snapToGrid w:val="0"/>
                    <w:jc w:val="center"/>
                    <w:rPr>
                      <w:b/>
                      <w:bCs/>
                      <w:color w:val="auto"/>
                      <w:szCs w:val="21"/>
                      <w:u w:val="single"/>
                    </w:rPr>
                  </w:pPr>
                  <w:r>
                    <w:rPr>
                      <w:rFonts w:hint="eastAsia"/>
                      <w:b/>
                      <w:bCs/>
                      <w:color w:val="auto"/>
                      <w:kern w:val="0"/>
                      <w:szCs w:val="21"/>
                      <w:u w:val="single"/>
                    </w:rPr>
                    <w:t>772-007-50</w:t>
                  </w:r>
                </w:p>
              </w:tc>
              <w:tc>
                <w:tcPr>
                  <w:tcW w:w="1180" w:type="dxa"/>
                  <w:vAlign w:val="center"/>
                </w:tcPr>
                <w:p w14:paraId="5FE176D2">
                  <w:pPr>
                    <w:snapToGrid w:val="0"/>
                    <w:jc w:val="center"/>
                    <w:rPr>
                      <w:color w:val="auto"/>
                      <w:szCs w:val="21"/>
                      <w:lang w:bidi="ar"/>
                    </w:rPr>
                  </w:pPr>
                  <w:r>
                    <w:rPr>
                      <w:color w:val="auto"/>
                      <w:szCs w:val="21"/>
                      <w:lang w:bidi="ar"/>
                    </w:rPr>
                    <w:t>0.45</w:t>
                  </w:r>
                  <w:r>
                    <w:rPr>
                      <w:rFonts w:hint="eastAsia"/>
                      <w:color w:val="auto"/>
                      <w:szCs w:val="21"/>
                      <w:lang w:val="en-US" w:eastAsia="zh-CN" w:bidi="ar"/>
                    </w:rPr>
                    <w:t>t</w:t>
                  </w:r>
                  <w:r>
                    <w:rPr>
                      <w:color w:val="auto"/>
                      <w:szCs w:val="21"/>
                      <w:lang w:bidi="ar"/>
                    </w:rPr>
                    <w:t>/3a</w:t>
                  </w:r>
                </w:p>
              </w:tc>
              <w:tc>
                <w:tcPr>
                  <w:tcW w:w="2655" w:type="dxa"/>
                  <w:vAlign w:val="center"/>
                </w:tcPr>
                <w:p w14:paraId="67070CA3">
                  <w:pPr>
                    <w:snapToGrid w:val="0"/>
                    <w:jc w:val="center"/>
                    <w:rPr>
                      <w:color w:val="auto"/>
                      <w:szCs w:val="21"/>
                    </w:rPr>
                  </w:pPr>
                  <w:r>
                    <w:rPr>
                      <w:color w:val="auto"/>
                      <w:szCs w:val="21"/>
                    </w:rPr>
                    <w:t>在危废暂存间暂存，定期交由有资质的单位处理</w:t>
                  </w:r>
                </w:p>
              </w:tc>
            </w:tr>
            <w:tr w14:paraId="65920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1101" w:type="dxa"/>
                  <w:vMerge w:val="continue"/>
                  <w:vAlign w:val="center"/>
                </w:tcPr>
                <w:p w14:paraId="4D7CC984">
                  <w:pPr>
                    <w:pStyle w:val="21"/>
                    <w:snapToGrid w:val="0"/>
                    <w:spacing w:before="0" w:beforeAutospacing="0" w:after="0" w:afterAutospacing="0"/>
                    <w:jc w:val="center"/>
                    <w:rPr>
                      <w:rFonts w:ascii="Times New Roman" w:hAnsi="Times New Roman"/>
                      <w:color w:val="auto"/>
                      <w:kern w:val="2"/>
                      <w:sz w:val="21"/>
                      <w:szCs w:val="21"/>
                    </w:rPr>
                  </w:pPr>
                </w:p>
              </w:tc>
              <w:tc>
                <w:tcPr>
                  <w:tcW w:w="1272" w:type="dxa"/>
                  <w:vAlign w:val="center"/>
                </w:tcPr>
                <w:p w14:paraId="59DF4544">
                  <w:pPr>
                    <w:pStyle w:val="21"/>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sz w:val="21"/>
                      <w:szCs w:val="21"/>
                    </w:rPr>
                    <w:t>废活性炭</w:t>
                  </w:r>
                </w:p>
              </w:tc>
              <w:tc>
                <w:tcPr>
                  <w:tcW w:w="1110" w:type="dxa"/>
                  <w:vAlign w:val="center"/>
                </w:tcPr>
                <w:p w14:paraId="6E3CF644">
                  <w:pPr>
                    <w:snapToGrid w:val="0"/>
                    <w:jc w:val="center"/>
                    <w:rPr>
                      <w:color w:val="auto"/>
                      <w:szCs w:val="21"/>
                    </w:rPr>
                  </w:pPr>
                  <w:r>
                    <w:rPr>
                      <w:color w:val="auto"/>
                      <w:szCs w:val="21"/>
                    </w:rPr>
                    <w:t>危险废物</w:t>
                  </w:r>
                </w:p>
              </w:tc>
              <w:tc>
                <w:tcPr>
                  <w:tcW w:w="1313" w:type="dxa"/>
                  <w:vAlign w:val="center"/>
                </w:tcPr>
                <w:p w14:paraId="254969B8">
                  <w:pPr>
                    <w:snapToGrid w:val="0"/>
                    <w:jc w:val="center"/>
                    <w:rPr>
                      <w:b/>
                      <w:bCs/>
                      <w:color w:val="auto"/>
                      <w:szCs w:val="21"/>
                      <w:u w:val="single"/>
                    </w:rPr>
                  </w:pPr>
                  <w:r>
                    <w:rPr>
                      <w:rFonts w:hint="eastAsia"/>
                      <w:b/>
                      <w:bCs/>
                      <w:color w:val="auto"/>
                      <w:kern w:val="0"/>
                      <w:szCs w:val="21"/>
                      <w:u w:val="single"/>
                    </w:rPr>
                    <w:t>900-039-49</w:t>
                  </w:r>
                </w:p>
              </w:tc>
              <w:tc>
                <w:tcPr>
                  <w:tcW w:w="1180" w:type="dxa"/>
                  <w:vAlign w:val="center"/>
                </w:tcPr>
                <w:p w14:paraId="0AD7D6F7">
                  <w:pPr>
                    <w:snapToGrid w:val="0"/>
                    <w:jc w:val="center"/>
                    <w:rPr>
                      <w:color w:val="auto"/>
                      <w:szCs w:val="21"/>
                    </w:rPr>
                  </w:pPr>
                  <w:r>
                    <w:rPr>
                      <w:color w:val="auto"/>
                      <w:szCs w:val="21"/>
                      <w:lang w:bidi="ar"/>
                    </w:rPr>
                    <w:t>4.8t/3a</w:t>
                  </w:r>
                </w:p>
              </w:tc>
              <w:tc>
                <w:tcPr>
                  <w:tcW w:w="2655" w:type="dxa"/>
                  <w:vAlign w:val="center"/>
                </w:tcPr>
                <w:p w14:paraId="78EB3D5C">
                  <w:pPr>
                    <w:snapToGrid w:val="0"/>
                    <w:jc w:val="center"/>
                    <w:rPr>
                      <w:color w:val="auto"/>
                      <w:szCs w:val="21"/>
                    </w:rPr>
                  </w:pPr>
                  <w:r>
                    <w:rPr>
                      <w:color w:val="auto"/>
                      <w:szCs w:val="21"/>
                    </w:rPr>
                    <w:t>在危废暂存间暂存，定期交由有资质的单位处理</w:t>
                  </w:r>
                </w:p>
              </w:tc>
            </w:tr>
            <w:tr w14:paraId="54FFF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1101" w:type="dxa"/>
                  <w:vMerge w:val="continue"/>
                  <w:vAlign w:val="center"/>
                </w:tcPr>
                <w:p w14:paraId="496B515C">
                  <w:pPr>
                    <w:pStyle w:val="21"/>
                    <w:snapToGrid w:val="0"/>
                    <w:spacing w:before="0" w:beforeAutospacing="0" w:after="0" w:afterAutospacing="0"/>
                    <w:jc w:val="center"/>
                    <w:rPr>
                      <w:rFonts w:ascii="Times New Roman" w:hAnsi="Times New Roman"/>
                      <w:color w:val="auto"/>
                      <w:kern w:val="2"/>
                      <w:sz w:val="21"/>
                      <w:szCs w:val="21"/>
                    </w:rPr>
                  </w:pPr>
                </w:p>
              </w:tc>
              <w:tc>
                <w:tcPr>
                  <w:tcW w:w="1272" w:type="dxa"/>
                  <w:vAlign w:val="center"/>
                </w:tcPr>
                <w:p w14:paraId="7A0ACB36">
                  <w:pPr>
                    <w:pStyle w:val="21"/>
                    <w:snapToGrid w:val="0"/>
                    <w:spacing w:before="0" w:beforeAutospacing="0" w:after="0" w:afterAutospacing="0"/>
                    <w:jc w:val="center"/>
                    <w:rPr>
                      <w:rFonts w:hint="default" w:ascii="Times New Roman" w:hAnsi="Times New Roman" w:eastAsia="宋体"/>
                      <w:color w:val="auto"/>
                      <w:sz w:val="21"/>
                      <w:szCs w:val="21"/>
                      <w:lang w:val="en-US" w:eastAsia="zh-CN"/>
                    </w:rPr>
                  </w:pPr>
                  <w:r>
                    <w:rPr>
                      <w:rFonts w:hint="eastAsia" w:ascii="Times New Roman" w:hAnsi="Times New Roman" w:eastAsia="宋体" w:cs="Times New Roman"/>
                      <w:color w:val="auto"/>
                      <w:sz w:val="21"/>
                      <w:szCs w:val="21"/>
                      <w:lang w:val="en-US" w:eastAsia="zh-CN"/>
                    </w:rPr>
                    <w:t>废UV灯管</w:t>
                  </w:r>
                </w:p>
              </w:tc>
              <w:tc>
                <w:tcPr>
                  <w:tcW w:w="1110" w:type="dxa"/>
                  <w:vAlign w:val="center"/>
                </w:tcPr>
                <w:p w14:paraId="4A41421D">
                  <w:pPr>
                    <w:snapToGrid w:val="0"/>
                    <w:jc w:val="center"/>
                    <w:rPr>
                      <w:color w:val="auto"/>
                      <w:szCs w:val="21"/>
                    </w:rPr>
                  </w:pPr>
                  <w:r>
                    <w:rPr>
                      <w:rFonts w:hint="eastAsia"/>
                      <w:color w:val="auto"/>
                      <w:szCs w:val="21"/>
                    </w:rPr>
                    <w:t>危险废物</w:t>
                  </w:r>
                </w:p>
              </w:tc>
              <w:tc>
                <w:tcPr>
                  <w:tcW w:w="1313" w:type="dxa"/>
                  <w:vAlign w:val="center"/>
                </w:tcPr>
                <w:p w14:paraId="29C0E309">
                  <w:pPr>
                    <w:snapToGrid w:val="0"/>
                    <w:jc w:val="center"/>
                    <w:rPr>
                      <w:rFonts w:hint="default" w:eastAsia="宋体"/>
                      <w:b/>
                      <w:bCs/>
                      <w:color w:val="auto"/>
                      <w:kern w:val="0"/>
                      <w:szCs w:val="21"/>
                      <w:u w:val="single"/>
                      <w:lang w:val="en-US" w:eastAsia="zh-CN"/>
                    </w:rPr>
                  </w:pPr>
                  <w:r>
                    <w:rPr>
                      <w:rFonts w:hint="eastAsia"/>
                      <w:b/>
                      <w:bCs/>
                      <w:color w:val="auto"/>
                      <w:u w:val="single"/>
                    </w:rPr>
                    <w:t>900-023-29</w:t>
                  </w:r>
                </w:p>
              </w:tc>
              <w:tc>
                <w:tcPr>
                  <w:tcW w:w="1180" w:type="dxa"/>
                  <w:vAlign w:val="center"/>
                </w:tcPr>
                <w:p w14:paraId="340CB209">
                  <w:pPr>
                    <w:snapToGrid w:val="0"/>
                    <w:jc w:val="center"/>
                    <w:rPr>
                      <w:rFonts w:hint="default" w:eastAsia="宋体"/>
                      <w:color w:val="auto"/>
                      <w:szCs w:val="21"/>
                      <w:lang w:val="en-US" w:eastAsia="zh-CN" w:bidi="ar"/>
                    </w:rPr>
                  </w:pPr>
                  <w:r>
                    <w:rPr>
                      <w:rFonts w:hint="eastAsia"/>
                      <w:b/>
                      <w:bCs/>
                      <w:color w:val="auto"/>
                      <w:szCs w:val="21"/>
                      <w:u w:val="single"/>
                      <w:lang w:val="en-US" w:eastAsia="zh-CN" w:bidi="ar"/>
                    </w:rPr>
                    <w:t>0.5</w:t>
                  </w:r>
                </w:p>
              </w:tc>
              <w:tc>
                <w:tcPr>
                  <w:tcW w:w="2655" w:type="dxa"/>
                  <w:vAlign w:val="center"/>
                </w:tcPr>
                <w:p w14:paraId="2D05B05B">
                  <w:pPr>
                    <w:snapToGrid w:val="0"/>
                    <w:jc w:val="center"/>
                    <w:rPr>
                      <w:color w:val="auto"/>
                      <w:szCs w:val="21"/>
                    </w:rPr>
                  </w:pPr>
                  <w:r>
                    <w:rPr>
                      <w:rFonts w:hint="eastAsia"/>
                      <w:color w:val="auto"/>
                      <w:szCs w:val="21"/>
                    </w:rPr>
                    <w:t>在危废暂存间暂存，定期交由有资质的单位处理</w:t>
                  </w:r>
                </w:p>
              </w:tc>
            </w:tr>
            <w:tr w14:paraId="03FBC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1101" w:type="dxa"/>
                  <w:vAlign w:val="center"/>
                </w:tcPr>
                <w:p w14:paraId="7EC86C07">
                  <w:pPr>
                    <w:pStyle w:val="21"/>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漆料包装</w:t>
                  </w:r>
                </w:p>
              </w:tc>
              <w:tc>
                <w:tcPr>
                  <w:tcW w:w="1272" w:type="dxa"/>
                  <w:vAlign w:val="center"/>
                </w:tcPr>
                <w:p w14:paraId="2FD81EB8">
                  <w:pPr>
                    <w:pStyle w:val="21"/>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sz w:val="21"/>
                      <w:szCs w:val="21"/>
                    </w:rPr>
                    <w:t>废包装桶</w:t>
                  </w:r>
                </w:p>
              </w:tc>
              <w:tc>
                <w:tcPr>
                  <w:tcW w:w="1110" w:type="dxa"/>
                  <w:vAlign w:val="center"/>
                </w:tcPr>
                <w:p w14:paraId="156C08BA">
                  <w:pPr>
                    <w:snapToGrid w:val="0"/>
                    <w:jc w:val="center"/>
                    <w:rPr>
                      <w:color w:val="auto"/>
                      <w:szCs w:val="21"/>
                    </w:rPr>
                  </w:pPr>
                  <w:r>
                    <w:rPr>
                      <w:color w:val="auto"/>
                      <w:szCs w:val="21"/>
                    </w:rPr>
                    <w:t>危险废物</w:t>
                  </w:r>
                </w:p>
              </w:tc>
              <w:tc>
                <w:tcPr>
                  <w:tcW w:w="1313" w:type="dxa"/>
                  <w:vAlign w:val="center"/>
                </w:tcPr>
                <w:p w14:paraId="1446B46E">
                  <w:pPr>
                    <w:snapToGrid w:val="0"/>
                    <w:jc w:val="center"/>
                    <w:rPr>
                      <w:b/>
                      <w:bCs/>
                      <w:color w:val="auto"/>
                      <w:szCs w:val="21"/>
                      <w:u w:val="single"/>
                    </w:rPr>
                  </w:pPr>
                  <w:r>
                    <w:rPr>
                      <w:rFonts w:hint="eastAsia"/>
                      <w:b/>
                      <w:bCs/>
                      <w:color w:val="auto"/>
                      <w:kern w:val="0"/>
                      <w:szCs w:val="21"/>
                      <w:u w:val="single"/>
                    </w:rPr>
                    <w:t>900-041-49</w:t>
                  </w:r>
                </w:p>
              </w:tc>
              <w:tc>
                <w:tcPr>
                  <w:tcW w:w="1180" w:type="dxa"/>
                  <w:vAlign w:val="center"/>
                </w:tcPr>
                <w:p w14:paraId="355BCBEC">
                  <w:pPr>
                    <w:snapToGrid w:val="0"/>
                    <w:jc w:val="center"/>
                    <w:rPr>
                      <w:color w:val="auto"/>
                      <w:szCs w:val="21"/>
                      <w:lang w:bidi="ar"/>
                    </w:rPr>
                  </w:pPr>
                  <w:r>
                    <w:rPr>
                      <w:rFonts w:hint="eastAsia"/>
                      <w:color w:val="auto"/>
                      <w:szCs w:val="21"/>
                      <w:lang w:val="en-US" w:eastAsia="zh-CN" w:bidi="ar"/>
                    </w:rPr>
                    <w:t>0.5</w:t>
                  </w:r>
                </w:p>
              </w:tc>
              <w:tc>
                <w:tcPr>
                  <w:tcW w:w="2655" w:type="dxa"/>
                  <w:vAlign w:val="center"/>
                </w:tcPr>
                <w:p w14:paraId="60952BCC">
                  <w:pPr>
                    <w:snapToGrid w:val="0"/>
                    <w:jc w:val="center"/>
                    <w:rPr>
                      <w:color w:val="auto"/>
                      <w:szCs w:val="21"/>
                    </w:rPr>
                  </w:pPr>
                  <w:r>
                    <w:rPr>
                      <w:color w:val="auto"/>
                      <w:szCs w:val="21"/>
                    </w:rPr>
                    <w:t>由厂家回收用于油漆或胶的盛装，少量破碎的暂存在危废暂存间，定期交由有资质的单位处理</w:t>
                  </w:r>
                </w:p>
              </w:tc>
            </w:tr>
          </w:tbl>
          <w:p w14:paraId="76758B6F">
            <w:pPr>
              <w:pStyle w:val="46"/>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eastAsia" w:ascii="Times New Roman" w:hAnsi="Arial Unicode MS" w:eastAsia="宋体" w:cs="Times New Roman"/>
                <w:b/>
                <w:color w:val="auto"/>
                <w:kern w:val="2"/>
                <w:sz w:val="24"/>
                <w:szCs w:val="24"/>
                <w:lang w:val="en-US" w:eastAsia="zh-CN" w:bidi="ar-SA"/>
              </w:rPr>
            </w:pPr>
            <w:r>
              <w:rPr>
                <w:rFonts w:hint="eastAsia" w:ascii="Times New Roman" w:hAnsi="Arial Unicode MS" w:eastAsia="宋体" w:cs="Times New Roman"/>
                <w:b/>
                <w:color w:val="auto"/>
                <w:kern w:val="2"/>
                <w:sz w:val="24"/>
                <w:szCs w:val="24"/>
                <w:lang w:val="en-US" w:eastAsia="zh-CN" w:bidi="ar-SA"/>
              </w:rPr>
              <w:t>本项目危险废物汇总表</w:t>
            </w:r>
          </w:p>
          <w:tbl>
            <w:tblPr>
              <w:tblStyle w:val="25"/>
              <w:tblW w:w="86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1"/>
              <w:gridCol w:w="629"/>
              <w:gridCol w:w="614"/>
              <w:gridCol w:w="1251"/>
              <w:gridCol w:w="839"/>
              <w:gridCol w:w="681"/>
              <w:gridCol w:w="459"/>
              <w:gridCol w:w="776"/>
              <w:gridCol w:w="594"/>
              <w:gridCol w:w="632"/>
              <w:gridCol w:w="845"/>
              <w:gridCol w:w="860"/>
            </w:tblGrid>
            <w:tr w14:paraId="33099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dxa"/>
                  <w:tcMar>
                    <w:top w:w="15" w:type="dxa"/>
                    <w:left w:w="15" w:type="dxa"/>
                    <w:bottom w:w="15" w:type="dxa"/>
                    <w:right w:w="15" w:type="dxa"/>
                  </w:tcMar>
                  <w:vAlign w:val="center"/>
                </w:tcPr>
                <w:p w14:paraId="5F1698C4">
                  <w:pPr>
                    <w:adjustRightInd w:val="0"/>
                    <w:snapToGrid w:val="0"/>
                    <w:jc w:val="center"/>
                    <w:rPr>
                      <w:b/>
                      <w:bCs w:val="0"/>
                      <w:color w:val="auto"/>
                      <w:szCs w:val="21"/>
                    </w:rPr>
                  </w:pPr>
                  <w:r>
                    <w:rPr>
                      <w:b/>
                      <w:bCs w:val="0"/>
                      <w:color w:val="auto"/>
                      <w:szCs w:val="21"/>
                    </w:rPr>
                    <w:t>序号</w:t>
                  </w:r>
                </w:p>
              </w:tc>
              <w:tc>
                <w:tcPr>
                  <w:tcW w:w="629" w:type="dxa"/>
                  <w:tcMar>
                    <w:top w:w="15" w:type="dxa"/>
                    <w:left w:w="15" w:type="dxa"/>
                    <w:bottom w:w="15" w:type="dxa"/>
                    <w:right w:w="15" w:type="dxa"/>
                  </w:tcMar>
                  <w:vAlign w:val="center"/>
                </w:tcPr>
                <w:p w14:paraId="4D8450E3">
                  <w:pPr>
                    <w:adjustRightInd w:val="0"/>
                    <w:snapToGrid w:val="0"/>
                    <w:jc w:val="center"/>
                    <w:rPr>
                      <w:b/>
                      <w:bCs w:val="0"/>
                      <w:color w:val="auto"/>
                      <w:szCs w:val="21"/>
                    </w:rPr>
                  </w:pPr>
                  <w:r>
                    <w:rPr>
                      <w:b/>
                      <w:bCs w:val="0"/>
                      <w:color w:val="auto"/>
                      <w:szCs w:val="21"/>
                    </w:rPr>
                    <w:t>危险废物名称</w:t>
                  </w:r>
                </w:p>
              </w:tc>
              <w:tc>
                <w:tcPr>
                  <w:tcW w:w="607" w:type="dxa"/>
                  <w:tcMar>
                    <w:top w:w="15" w:type="dxa"/>
                    <w:left w:w="15" w:type="dxa"/>
                    <w:bottom w:w="15" w:type="dxa"/>
                    <w:right w:w="15" w:type="dxa"/>
                  </w:tcMar>
                  <w:vAlign w:val="center"/>
                </w:tcPr>
                <w:p w14:paraId="3B4FD3DA">
                  <w:pPr>
                    <w:adjustRightInd w:val="0"/>
                    <w:snapToGrid w:val="0"/>
                    <w:jc w:val="center"/>
                    <w:rPr>
                      <w:b/>
                      <w:bCs w:val="0"/>
                      <w:color w:val="auto"/>
                      <w:szCs w:val="21"/>
                    </w:rPr>
                  </w:pPr>
                  <w:r>
                    <w:rPr>
                      <w:b/>
                      <w:bCs w:val="0"/>
                      <w:color w:val="auto"/>
                      <w:szCs w:val="21"/>
                    </w:rPr>
                    <w:t>危险废物类别</w:t>
                  </w:r>
                </w:p>
              </w:tc>
              <w:tc>
                <w:tcPr>
                  <w:tcW w:w="1252" w:type="dxa"/>
                  <w:tcMar>
                    <w:top w:w="15" w:type="dxa"/>
                    <w:left w:w="15" w:type="dxa"/>
                    <w:bottom w:w="15" w:type="dxa"/>
                    <w:right w:w="15" w:type="dxa"/>
                  </w:tcMar>
                  <w:vAlign w:val="center"/>
                </w:tcPr>
                <w:p w14:paraId="11325137">
                  <w:pPr>
                    <w:adjustRightInd w:val="0"/>
                    <w:snapToGrid w:val="0"/>
                    <w:jc w:val="center"/>
                    <w:rPr>
                      <w:b/>
                      <w:bCs w:val="0"/>
                      <w:color w:val="auto"/>
                      <w:szCs w:val="21"/>
                    </w:rPr>
                  </w:pPr>
                  <w:r>
                    <w:rPr>
                      <w:b/>
                      <w:bCs w:val="0"/>
                      <w:color w:val="auto"/>
                      <w:szCs w:val="21"/>
                    </w:rPr>
                    <w:t>危险废物代码</w:t>
                  </w:r>
                </w:p>
              </w:tc>
              <w:tc>
                <w:tcPr>
                  <w:tcW w:w="839" w:type="dxa"/>
                  <w:tcMar>
                    <w:top w:w="15" w:type="dxa"/>
                    <w:left w:w="15" w:type="dxa"/>
                    <w:bottom w:w="15" w:type="dxa"/>
                    <w:right w:w="15" w:type="dxa"/>
                  </w:tcMar>
                  <w:vAlign w:val="center"/>
                </w:tcPr>
                <w:p w14:paraId="457936B8">
                  <w:pPr>
                    <w:adjustRightInd w:val="0"/>
                    <w:snapToGrid w:val="0"/>
                    <w:jc w:val="center"/>
                    <w:rPr>
                      <w:b/>
                      <w:bCs w:val="0"/>
                      <w:color w:val="auto"/>
                      <w:szCs w:val="21"/>
                    </w:rPr>
                  </w:pPr>
                  <w:r>
                    <w:rPr>
                      <w:b/>
                      <w:bCs w:val="0"/>
                      <w:color w:val="auto"/>
                      <w:szCs w:val="21"/>
                    </w:rPr>
                    <w:t>产生量（t/a）</w:t>
                  </w:r>
                </w:p>
              </w:tc>
              <w:tc>
                <w:tcPr>
                  <w:tcW w:w="682" w:type="dxa"/>
                  <w:tcMar>
                    <w:top w:w="15" w:type="dxa"/>
                    <w:left w:w="15" w:type="dxa"/>
                    <w:bottom w:w="15" w:type="dxa"/>
                    <w:right w:w="15" w:type="dxa"/>
                  </w:tcMar>
                  <w:vAlign w:val="center"/>
                </w:tcPr>
                <w:p w14:paraId="0598BCAC">
                  <w:pPr>
                    <w:adjustRightInd w:val="0"/>
                    <w:snapToGrid w:val="0"/>
                    <w:jc w:val="center"/>
                    <w:rPr>
                      <w:b/>
                      <w:bCs w:val="0"/>
                      <w:color w:val="auto"/>
                      <w:szCs w:val="21"/>
                    </w:rPr>
                  </w:pPr>
                  <w:r>
                    <w:rPr>
                      <w:b/>
                      <w:bCs w:val="0"/>
                      <w:color w:val="auto"/>
                      <w:szCs w:val="21"/>
                    </w:rPr>
                    <w:t>产生工序及装置</w:t>
                  </w:r>
                </w:p>
              </w:tc>
              <w:tc>
                <w:tcPr>
                  <w:tcW w:w="459" w:type="dxa"/>
                  <w:tcMar>
                    <w:top w:w="15" w:type="dxa"/>
                    <w:left w:w="15" w:type="dxa"/>
                    <w:bottom w:w="15" w:type="dxa"/>
                    <w:right w:w="15" w:type="dxa"/>
                  </w:tcMar>
                  <w:vAlign w:val="center"/>
                </w:tcPr>
                <w:p w14:paraId="682F253C">
                  <w:pPr>
                    <w:adjustRightInd w:val="0"/>
                    <w:snapToGrid w:val="0"/>
                    <w:jc w:val="center"/>
                    <w:rPr>
                      <w:b/>
                      <w:bCs w:val="0"/>
                      <w:color w:val="auto"/>
                      <w:szCs w:val="21"/>
                    </w:rPr>
                  </w:pPr>
                  <w:r>
                    <w:rPr>
                      <w:b/>
                      <w:bCs w:val="0"/>
                      <w:color w:val="auto"/>
                      <w:szCs w:val="21"/>
                    </w:rPr>
                    <w:t>形态</w:t>
                  </w:r>
                </w:p>
              </w:tc>
              <w:tc>
                <w:tcPr>
                  <w:tcW w:w="777" w:type="dxa"/>
                  <w:tcMar>
                    <w:top w:w="15" w:type="dxa"/>
                    <w:left w:w="15" w:type="dxa"/>
                    <w:bottom w:w="15" w:type="dxa"/>
                    <w:right w:w="15" w:type="dxa"/>
                  </w:tcMar>
                  <w:vAlign w:val="center"/>
                </w:tcPr>
                <w:p w14:paraId="1B00FB56">
                  <w:pPr>
                    <w:adjustRightInd w:val="0"/>
                    <w:snapToGrid w:val="0"/>
                    <w:jc w:val="center"/>
                    <w:rPr>
                      <w:b/>
                      <w:bCs w:val="0"/>
                      <w:color w:val="auto"/>
                      <w:szCs w:val="21"/>
                    </w:rPr>
                  </w:pPr>
                  <w:r>
                    <w:rPr>
                      <w:b/>
                      <w:bCs w:val="0"/>
                      <w:color w:val="auto"/>
                      <w:szCs w:val="21"/>
                    </w:rPr>
                    <w:t>主要</w:t>
                  </w:r>
                </w:p>
                <w:p w14:paraId="4C62D9B0">
                  <w:pPr>
                    <w:adjustRightInd w:val="0"/>
                    <w:snapToGrid w:val="0"/>
                    <w:jc w:val="center"/>
                    <w:rPr>
                      <w:b/>
                      <w:bCs w:val="0"/>
                      <w:color w:val="auto"/>
                      <w:szCs w:val="21"/>
                    </w:rPr>
                  </w:pPr>
                  <w:r>
                    <w:rPr>
                      <w:b/>
                      <w:bCs w:val="0"/>
                      <w:color w:val="auto"/>
                      <w:szCs w:val="21"/>
                    </w:rPr>
                    <w:t>成分</w:t>
                  </w:r>
                </w:p>
              </w:tc>
              <w:tc>
                <w:tcPr>
                  <w:tcW w:w="594" w:type="dxa"/>
                  <w:tcMar>
                    <w:top w:w="15" w:type="dxa"/>
                    <w:left w:w="15" w:type="dxa"/>
                    <w:bottom w:w="15" w:type="dxa"/>
                    <w:right w:w="15" w:type="dxa"/>
                  </w:tcMar>
                  <w:vAlign w:val="center"/>
                </w:tcPr>
                <w:p w14:paraId="420FD3ED">
                  <w:pPr>
                    <w:adjustRightInd w:val="0"/>
                    <w:snapToGrid w:val="0"/>
                    <w:jc w:val="center"/>
                    <w:rPr>
                      <w:b/>
                      <w:bCs w:val="0"/>
                      <w:color w:val="auto"/>
                      <w:szCs w:val="21"/>
                    </w:rPr>
                  </w:pPr>
                  <w:r>
                    <w:rPr>
                      <w:b/>
                      <w:bCs w:val="0"/>
                      <w:color w:val="auto"/>
                      <w:szCs w:val="21"/>
                    </w:rPr>
                    <w:t>有害成分</w:t>
                  </w:r>
                </w:p>
              </w:tc>
              <w:tc>
                <w:tcPr>
                  <w:tcW w:w="633" w:type="dxa"/>
                  <w:tcMar>
                    <w:top w:w="15" w:type="dxa"/>
                    <w:left w:w="15" w:type="dxa"/>
                    <w:bottom w:w="15" w:type="dxa"/>
                    <w:right w:w="15" w:type="dxa"/>
                  </w:tcMar>
                  <w:vAlign w:val="center"/>
                </w:tcPr>
                <w:p w14:paraId="3E4E0B25">
                  <w:pPr>
                    <w:adjustRightInd w:val="0"/>
                    <w:snapToGrid w:val="0"/>
                    <w:jc w:val="center"/>
                    <w:rPr>
                      <w:b/>
                      <w:bCs w:val="0"/>
                      <w:color w:val="auto"/>
                      <w:szCs w:val="21"/>
                    </w:rPr>
                  </w:pPr>
                  <w:r>
                    <w:rPr>
                      <w:b/>
                      <w:bCs w:val="0"/>
                      <w:color w:val="auto"/>
                      <w:szCs w:val="21"/>
                    </w:rPr>
                    <w:t>产废周期</w:t>
                  </w:r>
                </w:p>
              </w:tc>
              <w:tc>
                <w:tcPr>
                  <w:tcW w:w="846" w:type="dxa"/>
                  <w:tcMar>
                    <w:top w:w="15" w:type="dxa"/>
                    <w:left w:w="15" w:type="dxa"/>
                    <w:bottom w:w="15" w:type="dxa"/>
                    <w:right w:w="15" w:type="dxa"/>
                  </w:tcMar>
                  <w:vAlign w:val="center"/>
                </w:tcPr>
                <w:p w14:paraId="62B37D2F">
                  <w:pPr>
                    <w:adjustRightInd w:val="0"/>
                    <w:snapToGrid w:val="0"/>
                    <w:jc w:val="center"/>
                    <w:rPr>
                      <w:b/>
                      <w:bCs w:val="0"/>
                      <w:color w:val="auto"/>
                      <w:szCs w:val="21"/>
                    </w:rPr>
                  </w:pPr>
                  <w:r>
                    <w:rPr>
                      <w:b/>
                      <w:bCs w:val="0"/>
                      <w:color w:val="auto"/>
                      <w:szCs w:val="21"/>
                    </w:rPr>
                    <w:t>危险特性</w:t>
                  </w:r>
                </w:p>
              </w:tc>
              <w:tc>
                <w:tcPr>
                  <w:tcW w:w="861" w:type="dxa"/>
                  <w:tcMar>
                    <w:top w:w="15" w:type="dxa"/>
                    <w:left w:w="15" w:type="dxa"/>
                    <w:bottom w:w="15" w:type="dxa"/>
                    <w:right w:w="15" w:type="dxa"/>
                  </w:tcMar>
                  <w:vAlign w:val="center"/>
                </w:tcPr>
                <w:p w14:paraId="3688A7D1">
                  <w:pPr>
                    <w:adjustRightInd w:val="0"/>
                    <w:snapToGrid w:val="0"/>
                    <w:jc w:val="center"/>
                    <w:rPr>
                      <w:b/>
                      <w:bCs w:val="0"/>
                      <w:color w:val="auto"/>
                      <w:szCs w:val="21"/>
                    </w:rPr>
                  </w:pPr>
                  <w:r>
                    <w:rPr>
                      <w:b/>
                      <w:bCs w:val="0"/>
                      <w:color w:val="auto"/>
                      <w:szCs w:val="21"/>
                    </w:rPr>
                    <w:t>污染防治措施</w:t>
                  </w:r>
                </w:p>
              </w:tc>
            </w:tr>
            <w:tr w14:paraId="4014B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dxa"/>
                  <w:tcMar>
                    <w:top w:w="15" w:type="dxa"/>
                    <w:left w:w="15" w:type="dxa"/>
                    <w:bottom w:w="15" w:type="dxa"/>
                    <w:right w:w="15" w:type="dxa"/>
                  </w:tcMar>
                  <w:vAlign w:val="center"/>
                </w:tcPr>
                <w:p w14:paraId="008E3FA5">
                  <w:pPr>
                    <w:adjustRightInd w:val="0"/>
                    <w:snapToGrid w:val="0"/>
                    <w:jc w:val="center"/>
                    <w:rPr>
                      <w:rFonts w:hint="default"/>
                      <w:b/>
                      <w:bCs w:val="0"/>
                      <w:color w:val="auto"/>
                      <w:szCs w:val="21"/>
                      <w:u w:val="single"/>
                      <w:lang w:val="en-US" w:eastAsia="zh-CN"/>
                    </w:rPr>
                  </w:pPr>
                  <w:r>
                    <w:rPr>
                      <w:rFonts w:hint="eastAsia"/>
                      <w:b/>
                      <w:bCs w:val="0"/>
                      <w:color w:val="auto"/>
                      <w:szCs w:val="21"/>
                      <w:u w:val="single"/>
                      <w:lang w:val="en-US" w:eastAsia="zh-CN"/>
                    </w:rPr>
                    <w:t>1</w:t>
                  </w:r>
                </w:p>
              </w:tc>
              <w:tc>
                <w:tcPr>
                  <w:tcW w:w="629" w:type="dxa"/>
                  <w:tcMar>
                    <w:top w:w="15" w:type="dxa"/>
                    <w:left w:w="15" w:type="dxa"/>
                    <w:bottom w:w="15" w:type="dxa"/>
                    <w:right w:w="15" w:type="dxa"/>
                  </w:tcMar>
                  <w:vAlign w:val="center"/>
                </w:tcPr>
                <w:p w14:paraId="71AC6E18">
                  <w:pPr>
                    <w:pStyle w:val="21"/>
                    <w:snapToGrid w:val="0"/>
                    <w:spacing w:before="0" w:beforeAutospacing="0" w:after="0" w:afterAutospacing="0"/>
                    <w:jc w:val="center"/>
                    <w:rPr>
                      <w:rFonts w:hint="default" w:ascii="Times New Roman" w:hAnsi="Times New Roman"/>
                      <w:b/>
                      <w:bCs w:val="0"/>
                      <w:color w:val="auto"/>
                      <w:sz w:val="21"/>
                      <w:szCs w:val="21"/>
                      <w:u w:val="single"/>
                      <w:lang w:val="en-US" w:eastAsia="zh-CN"/>
                    </w:rPr>
                  </w:pPr>
                  <w:r>
                    <w:rPr>
                      <w:rFonts w:hint="eastAsia" w:ascii="Times New Roman" w:hAnsi="Times New Roman"/>
                      <w:b/>
                      <w:bCs w:val="0"/>
                      <w:color w:val="auto"/>
                      <w:sz w:val="21"/>
                      <w:szCs w:val="21"/>
                      <w:u w:val="single"/>
                      <w:lang w:val="en-US" w:eastAsia="zh-CN"/>
                    </w:rPr>
                    <w:t>油磨粉尘</w:t>
                  </w:r>
                </w:p>
              </w:tc>
              <w:tc>
                <w:tcPr>
                  <w:tcW w:w="607" w:type="dxa"/>
                  <w:tcMar>
                    <w:top w:w="15" w:type="dxa"/>
                    <w:left w:w="15" w:type="dxa"/>
                    <w:bottom w:w="15" w:type="dxa"/>
                    <w:right w:w="15" w:type="dxa"/>
                  </w:tcMar>
                  <w:vAlign w:val="center"/>
                </w:tcPr>
                <w:p w14:paraId="22BCD69D">
                  <w:pPr>
                    <w:pStyle w:val="21"/>
                    <w:adjustRightInd w:val="0"/>
                    <w:snapToGrid w:val="0"/>
                    <w:spacing w:before="0" w:beforeAutospacing="0" w:after="0" w:afterAutospacing="0"/>
                    <w:jc w:val="center"/>
                    <w:rPr>
                      <w:rFonts w:hint="default" w:ascii="Times New Roman" w:hAnsi="Times New Roman" w:eastAsia="宋体"/>
                      <w:b/>
                      <w:bCs w:val="0"/>
                      <w:color w:val="auto"/>
                      <w:sz w:val="21"/>
                      <w:szCs w:val="21"/>
                      <w:u w:val="single"/>
                      <w:lang w:val="en-US" w:eastAsia="zh-CN"/>
                    </w:rPr>
                  </w:pPr>
                  <w:r>
                    <w:rPr>
                      <w:rFonts w:hint="eastAsia" w:ascii="Times New Roman" w:hAnsi="Times New Roman"/>
                      <w:b/>
                      <w:bCs w:val="0"/>
                      <w:color w:val="auto"/>
                      <w:sz w:val="21"/>
                      <w:szCs w:val="21"/>
                      <w:u w:val="single"/>
                      <w:lang w:val="en-US" w:eastAsia="zh-CN"/>
                    </w:rPr>
                    <w:t>HW12</w:t>
                  </w:r>
                </w:p>
              </w:tc>
              <w:tc>
                <w:tcPr>
                  <w:tcW w:w="1252" w:type="dxa"/>
                  <w:tcMar>
                    <w:top w:w="15" w:type="dxa"/>
                    <w:left w:w="15" w:type="dxa"/>
                    <w:bottom w:w="15" w:type="dxa"/>
                    <w:right w:w="15" w:type="dxa"/>
                  </w:tcMar>
                  <w:vAlign w:val="center"/>
                </w:tcPr>
                <w:p w14:paraId="0845BCFE">
                  <w:pPr>
                    <w:snapToGrid w:val="0"/>
                    <w:jc w:val="center"/>
                    <w:rPr>
                      <w:rFonts w:hint="default" w:eastAsia="宋体"/>
                      <w:b/>
                      <w:bCs w:val="0"/>
                      <w:color w:val="auto"/>
                      <w:kern w:val="0"/>
                      <w:szCs w:val="21"/>
                      <w:u w:val="single"/>
                      <w:lang w:val="en-US" w:eastAsia="zh-CN"/>
                    </w:rPr>
                  </w:pPr>
                  <w:r>
                    <w:rPr>
                      <w:rFonts w:hint="eastAsia"/>
                      <w:b/>
                      <w:bCs/>
                      <w:color w:val="auto"/>
                      <w:szCs w:val="21"/>
                      <w:u w:val="single"/>
                      <w:lang w:val="en-US" w:eastAsia="zh-CN"/>
                    </w:rPr>
                    <w:t>900-252-12</w:t>
                  </w:r>
                </w:p>
              </w:tc>
              <w:tc>
                <w:tcPr>
                  <w:tcW w:w="839" w:type="dxa"/>
                  <w:tcMar>
                    <w:top w:w="15" w:type="dxa"/>
                    <w:left w:w="15" w:type="dxa"/>
                    <w:bottom w:w="15" w:type="dxa"/>
                    <w:right w:w="15" w:type="dxa"/>
                  </w:tcMar>
                  <w:vAlign w:val="center"/>
                </w:tcPr>
                <w:p w14:paraId="6B9F00EC">
                  <w:pPr>
                    <w:snapToGrid w:val="0"/>
                    <w:jc w:val="center"/>
                    <w:rPr>
                      <w:rFonts w:hint="default" w:eastAsia="宋体"/>
                      <w:b/>
                      <w:bCs w:val="0"/>
                      <w:color w:val="auto"/>
                      <w:szCs w:val="21"/>
                      <w:u w:val="single"/>
                      <w:lang w:val="en-US" w:eastAsia="zh-CN" w:bidi="ar"/>
                    </w:rPr>
                  </w:pPr>
                  <w:r>
                    <w:rPr>
                      <w:rFonts w:hint="eastAsia"/>
                      <w:b/>
                      <w:bCs w:val="0"/>
                      <w:color w:val="auto"/>
                      <w:szCs w:val="21"/>
                      <w:u w:val="single"/>
                      <w:lang w:val="en-US" w:eastAsia="zh-CN" w:bidi="ar"/>
                    </w:rPr>
                    <w:t>2.1810</w:t>
                  </w:r>
                </w:p>
              </w:tc>
              <w:tc>
                <w:tcPr>
                  <w:tcW w:w="682" w:type="dxa"/>
                  <w:tcMar>
                    <w:top w:w="15" w:type="dxa"/>
                    <w:left w:w="15" w:type="dxa"/>
                    <w:bottom w:w="15" w:type="dxa"/>
                    <w:right w:w="15" w:type="dxa"/>
                  </w:tcMar>
                  <w:vAlign w:val="center"/>
                </w:tcPr>
                <w:p w14:paraId="6E297F51">
                  <w:pPr>
                    <w:pStyle w:val="21"/>
                    <w:snapToGrid w:val="0"/>
                    <w:spacing w:before="0" w:beforeAutospacing="0" w:after="0" w:afterAutospacing="0"/>
                    <w:jc w:val="center"/>
                    <w:rPr>
                      <w:rFonts w:hint="eastAsia" w:ascii="Times New Roman" w:hAnsi="Times New Roman" w:eastAsia="宋体"/>
                      <w:b/>
                      <w:bCs w:val="0"/>
                      <w:color w:val="auto"/>
                      <w:sz w:val="21"/>
                      <w:szCs w:val="21"/>
                      <w:u w:val="single"/>
                      <w:lang w:val="en-US" w:eastAsia="zh-CN"/>
                    </w:rPr>
                  </w:pPr>
                  <w:r>
                    <w:rPr>
                      <w:rFonts w:hint="eastAsia" w:ascii="Times New Roman" w:hAnsi="Times New Roman"/>
                      <w:b/>
                      <w:bCs w:val="0"/>
                      <w:color w:val="auto"/>
                      <w:sz w:val="21"/>
                      <w:szCs w:val="21"/>
                      <w:u w:val="single"/>
                      <w:lang w:val="en-US" w:eastAsia="zh-CN"/>
                    </w:rPr>
                    <w:t>废气处理</w:t>
                  </w:r>
                </w:p>
              </w:tc>
              <w:tc>
                <w:tcPr>
                  <w:tcW w:w="459" w:type="dxa"/>
                  <w:tcMar>
                    <w:top w:w="15" w:type="dxa"/>
                    <w:left w:w="15" w:type="dxa"/>
                    <w:bottom w:w="15" w:type="dxa"/>
                    <w:right w:w="15" w:type="dxa"/>
                  </w:tcMar>
                  <w:vAlign w:val="center"/>
                </w:tcPr>
                <w:p w14:paraId="2EFF5E86">
                  <w:pPr>
                    <w:adjustRightInd w:val="0"/>
                    <w:snapToGrid w:val="0"/>
                    <w:jc w:val="center"/>
                    <w:rPr>
                      <w:rFonts w:hint="eastAsia" w:eastAsia="宋体"/>
                      <w:b/>
                      <w:bCs w:val="0"/>
                      <w:color w:val="auto"/>
                      <w:szCs w:val="21"/>
                      <w:u w:val="single"/>
                      <w:lang w:val="en-US" w:eastAsia="zh-CN"/>
                    </w:rPr>
                  </w:pPr>
                  <w:r>
                    <w:rPr>
                      <w:rFonts w:hint="eastAsia"/>
                      <w:b/>
                      <w:bCs w:val="0"/>
                      <w:color w:val="auto"/>
                      <w:szCs w:val="21"/>
                      <w:u w:val="single"/>
                      <w:lang w:val="en-US" w:eastAsia="zh-CN"/>
                    </w:rPr>
                    <w:t>固态</w:t>
                  </w:r>
                </w:p>
              </w:tc>
              <w:tc>
                <w:tcPr>
                  <w:tcW w:w="777" w:type="dxa"/>
                  <w:tcMar>
                    <w:top w:w="15" w:type="dxa"/>
                    <w:left w:w="15" w:type="dxa"/>
                    <w:bottom w:w="15" w:type="dxa"/>
                    <w:right w:w="15" w:type="dxa"/>
                  </w:tcMar>
                  <w:vAlign w:val="center"/>
                </w:tcPr>
                <w:p w14:paraId="48DB4F0C">
                  <w:pPr>
                    <w:adjustRightInd w:val="0"/>
                    <w:snapToGrid w:val="0"/>
                    <w:jc w:val="center"/>
                    <w:rPr>
                      <w:rFonts w:hint="default" w:ascii="Times New Roman" w:hAnsi="Times New Roman"/>
                      <w:b/>
                      <w:bCs w:val="0"/>
                      <w:color w:val="auto"/>
                      <w:sz w:val="21"/>
                      <w:szCs w:val="21"/>
                      <w:u w:val="single"/>
                      <w:lang w:val="en-US" w:eastAsia="zh-CN"/>
                    </w:rPr>
                  </w:pPr>
                  <w:r>
                    <w:rPr>
                      <w:rFonts w:hint="eastAsia"/>
                      <w:b/>
                      <w:bCs w:val="0"/>
                      <w:color w:val="auto"/>
                      <w:sz w:val="21"/>
                      <w:szCs w:val="21"/>
                      <w:u w:val="single"/>
                      <w:lang w:val="en-US" w:eastAsia="zh-CN"/>
                    </w:rPr>
                    <w:t>含漆粉尘</w:t>
                  </w:r>
                </w:p>
              </w:tc>
              <w:tc>
                <w:tcPr>
                  <w:tcW w:w="594" w:type="dxa"/>
                  <w:tcMar>
                    <w:top w:w="15" w:type="dxa"/>
                    <w:left w:w="15" w:type="dxa"/>
                    <w:bottom w:w="15" w:type="dxa"/>
                    <w:right w:w="15" w:type="dxa"/>
                  </w:tcMar>
                  <w:vAlign w:val="center"/>
                </w:tcPr>
                <w:p w14:paraId="211572F2">
                  <w:pPr>
                    <w:adjustRightInd w:val="0"/>
                    <w:snapToGrid w:val="0"/>
                    <w:jc w:val="center"/>
                    <w:rPr>
                      <w:rFonts w:hint="default" w:eastAsia="宋体"/>
                      <w:b/>
                      <w:bCs w:val="0"/>
                      <w:color w:val="auto"/>
                      <w:szCs w:val="21"/>
                      <w:u w:val="single"/>
                      <w:lang w:val="en-US" w:eastAsia="zh-CN"/>
                    </w:rPr>
                  </w:pPr>
                  <w:r>
                    <w:rPr>
                      <w:rFonts w:hint="eastAsia"/>
                      <w:b/>
                      <w:bCs w:val="0"/>
                      <w:color w:val="auto"/>
                      <w:szCs w:val="21"/>
                      <w:u w:val="single"/>
                      <w:lang w:val="en-US" w:eastAsia="zh-CN"/>
                    </w:rPr>
                    <w:t>甲苯、二甲苯</w:t>
                  </w:r>
                </w:p>
              </w:tc>
              <w:tc>
                <w:tcPr>
                  <w:tcW w:w="633" w:type="dxa"/>
                  <w:tcMar>
                    <w:top w:w="15" w:type="dxa"/>
                    <w:left w:w="15" w:type="dxa"/>
                    <w:bottom w:w="15" w:type="dxa"/>
                    <w:right w:w="15" w:type="dxa"/>
                  </w:tcMar>
                  <w:vAlign w:val="center"/>
                </w:tcPr>
                <w:p w14:paraId="618AC24F">
                  <w:pPr>
                    <w:adjustRightInd w:val="0"/>
                    <w:snapToGrid w:val="0"/>
                    <w:jc w:val="center"/>
                    <w:rPr>
                      <w:rFonts w:hint="default" w:eastAsia="宋体"/>
                      <w:b/>
                      <w:bCs w:val="0"/>
                      <w:color w:val="auto"/>
                      <w:szCs w:val="21"/>
                      <w:u w:val="single"/>
                      <w:lang w:val="en-US" w:eastAsia="zh-CN"/>
                    </w:rPr>
                  </w:pPr>
                  <w:r>
                    <w:rPr>
                      <w:rFonts w:hint="eastAsia"/>
                      <w:b/>
                      <w:bCs w:val="0"/>
                      <w:color w:val="auto"/>
                      <w:szCs w:val="21"/>
                      <w:u w:val="single"/>
                      <w:lang w:val="en-US" w:eastAsia="zh-CN"/>
                    </w:rPr>
                    <w:t>1a</w:t>
                  </w:r>
                </w:p>
              </w:tc>
              <w:tc>
                <w:tcPr>
                  <w:tcW w:w="846" w:type="dxa"/>
                  <w:tcMar>
                    <w:top w:w="15" w:type="dxa"/>
                    <w:left w:w="15" w:type="dxa"/>
                    <w:bottom w:w="15" w:type="dxa"/>
                    <w:right w:w="15" w:type="dxa"/>
                  </w:tcMar>
                  <w:vAlign w:val="center"/>
                </w:tcPr>
                <w:p w14:paraId="6A90DA2A">
                  <w:pPr>
                    <w:adjustRightInd w:val="0"/>
                    <w:snapToGrid w:val="0"/>
                    <w:jc w:val="center"/>
                    <w:rPr>
                      <w:b/>
                      <w:bCs w:val="0"/>
                      <w:color w:val="auto"/>
                      <w:szCs w:val="21"/>
                      <w:u w:val="single"/>
                    </w:rPr>
                  </w:pPr>
                  <w:r>
                    <w:rPr>
                      <w:b/>
                      <w:bCs w:val="0"/>
                      <w:color w:val="auto"/>
                      <w:szCs w:val="21"/>
                      <w:u w:val="single"/>
                    </w:rPr>
                    <w:t>T</w:t>
                  </w:r>
                  <w:r>
                    <w:rPr>
                      <w:rFonts w:hint="eastAsia"/>
                      <w:b/>
                      <w:bCs w:val="0"/>
                      <w:color w:val="auto"/>
                      <w:szCs w:val="21"/>
                      <w:u w:val="single"/>
                    </w:rPr>
                    <w:t>、I</w:t>
                  </w:r>
                </w:p>
              </w:tc>
              <w:tc>
                <w:tcPr>
                  <w:tcW w:w="861" w:type="dxa"/>
                  <w:vMerge w:val="restart"/>
                  <w:tcMar>
                    <w:top w:w="15" w:type="dxa"/>
                    <w:left w:w="15" w:type="dxa"/>
                    <w:bottom w:w="15" w:type="dxa"/>
                    <w:right w:w="15" w:type="dxa"/>
                  </w:tcMar>
                  <w:vAlign w:val="center"/>
                </w:tcPr>
                <w:p w14:paraId="1EBC6E86">
                  <w:pPr>
                    <w:adjustRightInd w:val="0"/>
                    <w:snapToGrid w:val="0"/>
                    <w:jc w:val="center"/>
                    <w:rPr>
                      <w:bCs/>
                      <w:color w:val="auto"/>
                      <w:szCs w:val="21"/>
                    </w:rPr>
                  </w:pPr>
                  <w:r>
                    <w:rPr>
                      <w:bCs/>
                      <w:color w:val="auto"/>
                      <w:szCs w:val="21"/>
                    </w:rPr>
                    <w:t>拟设危废暂存间1座，收集后定期交有资质的单位收集处理</w:t>
                  </w:r>
                </w:p>
              </w:tc>
            </w:tr>
            <w:tr w14:paraId="5035C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dxa"/>
                  <w:tcMar>
                    <w:top w:w="15" w:type="dxa"/>
                    <w:left w:w="15" w:type="dxa"/>
                    <w:bottom w:w="15" w:type="dxa"/>
                    <w:right w:w="15" w:type="dxa"/>
                  </w:tcMar>
                  <w:vAlign w:val="center"/>
                </w:tcPr>
                <w:p w14:paraId="669A9762">
                  <w:pPr>
                    <w:adjustRightInd w:val="0"/>
                    <w:snapToGrid w:val="0"/>
                    <w:jc w:val="center"/>
                    <w:rPr>
                      <w:rFonts w:hint="eastAsia" w:eastAsia="宋体"/>
                      <w:bCs/>
                      <w:color w:val="auto"/>
                      <w:szCs w:val="21"/>
                      <w:lang w:val="en-US" w:eastAsia="zh-CN"/>
                    </w:rPr>
                  </w:pPr>
                  <w:r>
                    <w:rPr>
                      <w:rFonts w:hint="eastAsia"/>
                      <w:bCs/>
                      <w:color w:val="auto"/>
                      <w:szCs w:val="21"/>
                      <w:lang w:val="en-US" w:eastAsia="zh-CN"/>
                    </w:rPr>
                    <w:t>2</w:t>
                  </w:r>
                </w:p>
              </w:tc>
              <w:tc>
                <w:tcPr>
                  <w:tcW w:w="629" w:type="dxa"/>
                  <w:tcMar>
                    <w:top w:w="15" w:type="dxa"/>
                    <w:left w:w="15" w:type="dxa"/>
                    <w:bottom w:w="15" w:type="dxa"/>
                    <w:right w:w="15" w:type="dxa"/>
                  </w:tcMar>
                  <w:vAlign w:val="center"/>
                </w:tcPr>
                <w:p w14:paraId="1C71AB5E">
                  <w:pPr>
                    <w:pStyle w:val="21"/>
                    <w:snapToGrid w:val="0"/>
                    <w:spacing w:before="0" w:beforeAutospacing="0" w:after="0" w:afterAutospacing="0"/>
                    <w:jc w:val="center"/>
                    <w:rPr>
                      <w:rFonts w:ascii="Times New Roman" w:hAnsi="Times New Roman"/>
                      <w:color w:val="auto"/>
                      <w:sz w:val="21"/>
                      <w:szCs w:val="21"/>
                    </w:rPr>
                  </w:pPr>
                  <w:r>
                    <w:rPr>
                      <w:rFonts w:hint="eastAsia" w:ascii="Times New Roman" w:hAnsi="Times New Roman"/>
                      <w:color w:val="auto"/>
                      <w:sz w:val="21"/>
                      <w:szCs w:val="21"/>
                      <w:lang w:val="en-US" w:eastAsia="zh-CN"/>
                    </w:rPr>
                    <w:t>废机油</w:t>
                  </w:r>
                </w:p>
              </w:tc>
              <w:tc>
                <w:tcPr>
                  <w:tcW w:w="607" w:type="dxa"/>
                  <w:tcMar>
                    <w:top w:w="15" w:type="dxa"/>
                    <w:left w:w="15" w:type="dxa"/>
                    <w:bottom w:w="15" w:type="dxa"/>
                    <w:right w:w="15" w:type="dxa"/>
                  </w:tcMar>
                  <w:vAlign w:val="center"/>
                </w:tcPr>
                <w:p w14:paraId="670B66F9">
                  <w:pPr>
                    <w:pStyle w:val="21"/>
                    <w:adjustRightInd w:val="0"/>
                    <w:snapToGrid w:val="0"/>
                    <w:spacing w:before="0" w:beforeAutospacing="0" w:after="0" w:afterAutospacing="0"/>
                    <w:jc w:val="center"/>
                    <w:rPr>
                      <w:rFonts w:hint="eastAsia" w:ascii="宋体" w:hAnsi="宋体"/>
                      <w:bCs/>
                      <w:color w:val="auto"/>
                      <w:kern w:val="0"/>
                      <w:sz w:val="21"/>
                      <w:szCs w:val="21"/>
                      <w:lang w:val="en-US" w:eastAsia="zh-CN" w:bidi="ar-SA"/>
                    </w:rPr>
                  </w:pPr>
                  <w:r>
                    <w:rPr>
                      <w:rFonts w:hint="eastAsia" w:ascii="Times New Roman" w:hAnsi="Times New Roman"/>
                      <w:color w:val="auto"/>
                      <w:sz w:val="21"/>
                      <w:szCs w:val="21"/>
                    </w:rPr>
                    <w:t>HW08</w:t>
                  </w:r>
                </w:p>
              </w:tc>
              <w:tc>
                <w:tcPr>
                  <w:tcW w:w="1252" w:type="dxa"/>
                  <w:tcMar>
                    <w:top w:w="15" w:type="dxa"/>
                    <w:left w:w="15" w:type="dxa"/>
                    <w:bottom w:w="15" w:type="dxa"/>
                    <w:right w:w="15" w:type="dxa"/>
                  </w:tcMar>
                  <w:vAlign w:val="center"/>
                </w:tcPr>
                <w:p w14:paraId="72818D3A">
                  <w:pPr>
                    <w:snapToGrid w:val="0"/>
                    <w:jc w:val="center"/>
                    <w:rPr>
                      <w:rFonts w:hint="eastAsia"/>
                      <w:bCs/>
                      <w:color w:val="auto"/>
                      <w:kern w:val="2"/>
                      <w:sz w:val="21"/>
                      <w:szCs w:val="21"/>
                      <w:lang w:val="en-US" w:eastAsia="zh-CN" w:bidi="ar-SA"/>
                    </w:rPr>
                  </w:pPr>
                  <w:r>
                    <w:rPr>
                      <w:rFonts w:hint="eastAsia"/>
                      <w:b/>
                      <w:bCs/>
                      <w:color w:val="auto"/>
                      <w:kern w:val="0"/>
                      <w:szCs w:val="21"/>
                      <w:u w:val="single"/>
                    </w:rPr>
                    <w:t>900-214-08</w:t>
                  </w:r>
                </w:p>
              </w:tc>
              <w:tc>
                <w:tcPr>
                  <w:tcW w:w="839" w:type="dxa"/>
                  <w:tcMar>
                    <w:top w:w="15" w:type="dxa"/>
                    <w:left w:w="15" w:type="dxa"/>
                    <w:bottom w:w="15" w:type="dxa"/>
                    <w:right w:w="15" w:type="dxa"/>
                  </w:tcMar>
                  <w:vAlign w:val="center"/>
                </w:tcPr>
                <w:p w14:paraId="37DEF1A2">
                  <w:pPr>
                    <w:snapToGrid w:val="0"/>
                    <w:jc w:val="center"/>
                    <w:rPr>
                      <w:rFonts w:hint="eastAsia" w:eastAsia="宋体"/>
                      <w:bCs/>
                      <w:color w:val="auto"/>
                      <w:kern w:val="2"/>
                      <w:sz w:val="21"/>
                      <w:szCs w:val="21"/>
                      <w:lang w:val="en-US" w:eastAsia="zh-CN" w:bidi="ar-SA"/>
                    </w:rPr>
                  </w:pPr>
                  <w:r>
                    <w:rPr>
                      <w:color w:val="auto"/>
                      <w:szCs w:val="21"/>
                      <w:lang w:bidi="ar"/>
                    </w:rPr>
                    <w:t>0.</w:t>
                  </w:r>
                  <w:r>
                    <w:rPr>
                      <w:rFonts w:hint="eastAsia"/>
                      <w:color w:val="auto"/>
                      <w:szCs w:val="21"/>
                      <w:lang w:val="en-US" w:eastAsia="zh-CN" w:bidi="ar"/>
                    </w:rPr>
                    <w:t>3</w:t>
                  </w:r>
                </w:p>
              </w:tc>
              <w:tc>
                <w:tcPr>
                  <w:tcW w:w="682" w:type="dxa"/>
                  <w:tcMar>
                    <w:top w:w="15" w:type="dxa"/>
                    <w:left w:w="15" w:type="dxa"/>
                    <w:bottom w:w="15" w:type="dxa"/>
                    <w:right w:w="15" w:type="dxa"/>
                  </w:tcMar>
                  <w:vAlign w:val="center"/>
                </w:tcPr>
                <w:p w14:paraId="4DD58F1D">
                  <w:pPr>
                    <w:pStyle w:val="21"/>
                    <w:snapToGrid w:val="0"/>
                    <w:spacing w:before="0" w:beforeAutospacing="0" w:after="0" w:afterAutospacing="0"/>
                    <w:jc w:val="center"/>
                    <w:rPr>
                      <w:rFonts w:hint="eastAsia" w:ascii="Times New Roman" w:hAnsi="Times New Roman"/>
                      <w:color w:val="auto"/>
                      <w:sz w:val="21"/>
                      <w:szCs w:val="21"/>
                    </w:rPr>
                  </w:pPr>
                  <w:r>
                    <w:rPr>
                      <w:rFonts w:hint="eastAsia" w:ascii="Times New Roman" w:hAnsi="Times New Roman"/>
                      <w:color w:val="auto"/>
                      <w:sz w:val="21"/>
                      <w:szCs w:val="21"/>
                    </w:rPr>
                    <w:t>设备</w:t>
                  </w:r>
                </w:p>
                <w:p w14:paraId="7B646E53">
                  <w:pPr>
                    <w:pStyle w:val="21"/>
                    <w:snapToGrid w:val="0"/>
                    <w:spacing w:before="0" w:beforeAutospacing="0" w:after="0" w:afterAutospacing="0"/>
                    <w:jc w:val="center"/>
                    <w:rPr>
                      <w:rFonts w:hint="eastAsia" w:ascii="Times New Roman" w:hAnsi="Times New Roman"/>
                      <w:bCs/>
                      <w:color w:val="auto"/>
                      <w:kern w:val="0"/>
                      <w:sz w:val="24"/>
                      <w:szCs w:val="21"/>
                      <w:lang w:val="en-US" w:eastAsia="zh-CN" w:bidi="ar-SA"/>
                    </w:rPr>
                  </w:pPr>
                  <w:r>
                    <w:rPr>
                      <w:rFonts w:hint="eastAsia" w:ascii="Times New Roman" w:hAnsi="Times New Roman"/>
                      <w:color w:val="auto"/>
                      <w:sz w:val="21"/>
                      <w:szCs w:val="21"/>
                    </w:rPr>
                    <w:t>维护</w:t>
                  </w:r>
                </w:p>
              </w:tc>
              <w:tc>
                <w:tcPr>
                  <w:tcW w:w="459" w:type="dxa"/>
                  <w:tcMar>
                    <w:top w:w="15" w:type="dxa"/>
                    <w:left w:w="15" w:type="dxa"/>
                    <w:bottom w:w="15" w:type="dxa"/>
                    <w:right w:w="15" w:type="dxa"/>
                  </w:tcMar>
                  <w:vAlign w:val="center"/>
                </w:tcPr>
                <w:p w14:paraId="4D9AC836">
                  <w:pPr>
                    <w:adjustRightInd w:val="0"/>
                    <w:snapToGrid w:val="0"/>
                    <w:jc w:val="center"/>
                    <w:rPr>
                      <w:rFonts w:hint="eastAsia"/>
                      <w:bCs/>
                      <w:color w:val="auto"/>
                      <w:kern w:val="2"/>
                      <w:sz w:val="21"/>
                      <w:szCs w:val="21"/>
                      <w:lang w:val="en-US" w:eastAsia="zh-CN" w:bidi="ar-SA"/>
                    </w:rPr>
                  </w:pPr>
                  <w:r>
                    <w:rPr>
                      <w:rFonts w:hint="eastAsia"/>
                      <w:bCs/>
                      <w:color w:val="auto"/>
                      <w:szCs w:val="21"/>
                    </w:rPr>
                    <w:t>液态</w:t>
                  </w:r>
                </w:p>
              </w:tc>
              <w:tc>
                <w:tcPr>
                  <w:tcW w:w="777" w:type="dxa"/>
                  <w:tcMar>
                    <w:top w:w="15" w:type="dxa"/>
                    <w:left w:w="15" w:type="dxa"/>
                    <w:bottom w:w="15" w:type="dxa"/>
                    <w:right w:w="15" w:type="dxa"/>
                  </w:tcMar>
                  <w:vAlign w:val="center"/>
                </w:tcPr>
                <w:p w14:paraId="0BDF2CB3">
                  <w:pPr>
                    <w:adjustRightInd w:val="0"/>
                    <w:snapToGrid w:val="0"/>
                    <w:jc w:val="center"/>
                    <w:rPr>
                      <w:rFonts w:hint="eastAsia"/>
                      <w:bCs/>
                      <w:color w:val="auto"/>
                      <w:kern w:val="2"/>
                      <w:sz w:val="21"/>
                      <w:szCs w:val="21"/>
                      <w:lang w:val="en-US" w:eastAsia="zh-CN" w:bidi="ar-SA"/>
                    </w:rPr>
                  </w:pPr>
                  <w:r>
                    <w:rPr>
                      <w:rFonts w:hint="eastAsia" w:ascii="Times New Roman" w:hAnsi="Times New Roman"/>
                      <w:color w:val="auto"/>
                      <w:sz w:val="21"/>
                      <w:szCs w:val="21"/>
                      <w:lang w:val="en-US" w:eastAsia="zh-CN"/>
                    </w:rPr>
                    <w:t>废机油</w:t>
                  </w:r>
                </w:p>
              </w:tc>
              <w:tc>
                <w:tcPr>
                  <w:tcW w:w="594" w:type="dxa"/>
                  <w:tcMar>
                    <w:top w:w="15" w:type="dxa"/>
                    <w:left w:w="15" w:type="dxa"/>
                    <w:bottom w:w="15" w:type="dxa"/>
                    <w:right w:w="15" w:type="dxa"/>
                  </w:tcMar>
                  <w:vAlign w:val="center"/>
                </w:tcPr>
                <w:p w14:paraId="0C871A36">
                  <w:pPr>
                    <w:adjustRightInd w:val="0"/>
                    <w:snapToGrid w:val="0"/>
                    <w:jc w:val="center"/>
                    <w:rPr>
                      <w:rFonts w:hint="eastAsia"/>
                      <w:bCs/>
                      <w:color w:val="auto"/>
                      <w:kern w:val="2"/>
                      <w:sz w:val="21"/>
                      <w:szCs w:val="21"/>
                      <w:lang w:val="en-US" w:eastAsia="zh-CN" w:bidi="ar-SA"/>
                    </w:rPr>
                  </w:pPr>
                  <w:r>
                    <w:rPr>
                      <w:rFonts w:hint="eastAsia"/>
                      <w:bCs/>
                      <w:color w:val="auto"/>
                      <w:szCs w:val="21"/>
                    </w:rPr>
                    <w:t>废矿物油</w:t>
                  </w:r>
                </w:p>
              </w:tc>
              <w:tc>
                <w:tcPr>
                  <w:tcW w:w="633" w:type="dxa"/>
                  <w:tcMar>
                    <w:top w:w="15" w:type="dxa"/>
                    <w:left w:w="15" w:type="dxa"/>
                    <w:bottom w:w="15" w:type="dxa"/>
                    <w:right w:w="15" w:type="dxa"/>
                  </w:tcMar>
                  <w:vAlign w:val="center"/>
                </w:tcPr>
                <w:p w14:paraId="611C5926">
                  <w:pPr>
                    <w:adjustRightInd w:val="0"/>
                    <w:snapToGrid w:val="0"/>
                    <w:jc w:val="center"/>
                    <w:rPr>
                      <w:rFonts w:hint="eastAsia"/>
                      <w:bCs/>
                      <w:color w:val="auto"/>
                      <w:kern w:val="2"/>
                      <w:sz w:val="21"/>
                      <w:szCs w:val="21"/>
                      <w:lang w:val="en-US" w:eastAsia="zh-CN" w:bidi="ar-SA"/>
                    </w:rPr>
                  </w:pPr>
                  <w:r>
                    <w:rPr>
                      <w:rFonts w:hint="eastAsia"/>
                      <w:bCs/>
                      <w:color w:val="auto"/>
                      <w:szCs w:val="21"/>
                    </w:rPr>
                    <w:t>1a</w:t>
                  </w:r>
                </w:p>
              </w:tc>
              <w:tc>
                <w:tcPr>
                  <w:tcW w:w="846" w:type="dxa"/>
                  <w:tcMar>
                    <w:top w:w="15" w:type="dxa"/>
                    <w:left w:w="15" w:type="dxa"/>
                    <w:bottom w:w="15" w:type="dxa"/>
                    <w:right w:w="15" w:type="dxa"/>
                  </w:tcMar>
                  <w:vAlign w:val="center"/>
                </w:tcPr>
                <w:p w14:paraId="66BAD3E8">
                  <w:pPr>
                    <w:adjustRightInd w:val="0"/>
                    <w:snapToGrid w:val="0"/>
                    <w:jc w:val="center"/>
                    <w:rPr>
                      <w:bCs/>
                      <w:color w:val="auto"/>
                      <w:kern w:val="2"/>
                      <w:sz w:val="21"/>
                      <w:szCs w:val="21"/>
                      <w:lang w:val="en-US" w:eastAsia="zh-CN" w:bidi="ar-SA"/>
                    </w:rPr>
                  </w:pPr>
                  <w:r>
                    <w:rPr>
                      <w:bCs/>
                      <w:color w:val="auto"/>
                      <w:szCs w:val="21"/>
                    </w:rPr>
                    <w:t>T</w:t>
                  </w:r>
                  <w:r>
                    <w:rPr>
                      <w:rFonts w:hint="eastAsia"/>
                      <w:bCs/>
                      <w:color w:val="auto"/>
                      <w:szCs w:val="21"/>
                    </w:rPr>
                    <w:t>、I</w:t>
                  </w:r>
                </w:p>
              </w:tc>
              <w:tc>
                <w:tcPr>
                  <w:tcW w:w="861" w:type="dxa"/>
                  <w:vMerge w:val="continue"/>
                  <w:tcMar>
                    <w:top w:w="15" w:type="dxa"/>
                    <w:left w:w="15" w:type="dxa"/>
                    <w:bottom w:w="15" w:type="dxa"/>
                    <w:right w:w="15" w:type="dxa"/>
                  </w:tcMar>
                  <w:vAlign w:val="center"/>
                </w:tcPr>
                <w:p w14:paraId="49516C4F">
                  <w:pPr>
                    <w:adjustRightInd w:val="0"/>
                    <w:snapToGrid w:val="0"/>
                    <w:jc w:val="center"/>
                    <w:rPr>
                      <w:bCs/>
                      <w:color w:val="auto"/>
                      <w:szCs w:val="21"/>
                    </w:rPr>
                  </w:pPr>
                </w:p>
              </w:tc>
            </w:tr>
            <w:tr w14:paraId="46E97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dxa"/>
                  <w:tcMar>
                    <w:top w:w="15" w:type="dxa"/>
                    <w:left w:w="15" w:type="dxa"/>
                    <w:bottom w:w="15" w:type="dxa"/>
                    <w:right w:w="15" w:type="dxa"/>
                  </w:tcMar>
                  <w:vAlign w:val="center"/>
                </w:tcPr>
                <w:p w14:paraId="15F52DC9">
                  <w:pPr>
                    <w:adjustRightInd w:val="0"/>
                    <w:snapToGrid w:val="0"/>
                    <w:jc w:val="center"/>
                    <w:rPr>
                      <w:rFonts w:hint="eastAsia" w:eastAsia="宋体"/>
                      <w:bCs/>
                      <w:color w:val="auto"/>
                      <w:szCs w:val="21"/>
                      <w:lang w:eastAsia="zh-CN"/>
                    </w:rPr>
                  </w:pPr>
                  <w:r>
                    <w:rPr>
                      <w:rFonts w:hint="eastAsia"/>
                      <w:bCs/>
                      <w:color w:val="auto"/>
                      <w:szCs w:val="21"/>
                      <w:lang w:val="en-US" w:eastAsia="zh-CN"/>
                    </w:rPr>
                    <w:t>3</w:t>
                  </w:r>
                </w:p>
              </w:tc>
              <w:tc>
                <w:tcPr>
                  <w:tcW w:w="629" w:type="dxa"/>
                  <w:tcMar>
                    <w:top w:w="15" w:type="dxa"/>
                    <w:left w:w="15" w:type="dxa"/>
                    <w:bottom w:w="15" w:type="dxa"/>
                    <w:right w:w="15" w:type="dxa"/>
                  </w:tcMar>
                  <w:vAlign w:val="center"/>
                </w:tcPr>
                <w:p w14:paraId="5262EFB8">
                  <w:pPr>
                    <w:pStyle w:val="21"/>
                    <w:snapToGrid w:val="0"/>
                    <w:spacing w:before="0" w:beforeAutospacing="0" w:after="0" w:afterAutospacing="0"/>
                    <w:jc w:val="center"/>
                    <w:rPr>
                      <w:rFonts w:hint="eastAsia" w:ascii="Times New Roman" w:hAnsi="Times New Roman"/>
                      <w:bCs/>
                      <w:color w:val="auto"/>
                      <w:szCs w:val="21"/>
                    </w:rPr>
                  </w:pPr>
                  <w:r>
                    <w:rPr>
                      <w:rFonts w:ascii="Times New Roman" w:hAnsi="Times New Roman"/>
                      <w:color w:val="auto"/>
                      <w:sz w:val="21"/>
                      <w:szCs w:val="21"/>
                    </w:rPr>
                    <w:t>废液压油</w:t>
                  </w:r>
                </w:p>
              </w:tc>
              <w:tc>
                <w:tcPr>
                  <w:tcW w:w="607" w:type="dxa"/>
                  <w:tcMar>
                    <w:top w:w="15" w:type="dxa"/>
                    <w:left w:w="15" w:type="dxa"/>
                    <w:bottom w:w="15" w:type="dxa"/>
                    <w:right w:w="15" w:type="dxa"/>
                  </w:tcMar>
                  <w:vAlign w:val="center"/>
                </w:tcPr>
                <w:p w14:paraId="53217E95">
                  <w:pPr>
                    <w:pStyle w:val="21"/>
                    <w:adjustRightInd w:val="0"/>
                    <w:snapToGrid w:val="0"/>
                    <w:spacing w:before="0" w:beforeAutospacing="0" w:after="0" w:afterAutospacing="0"/>
                    <w:jc w:val="center"/>
                    <w:rPr>
                      <w:bCs/>
                      <w:color w:val="auto"/>
                      <w:sz w:val="21"/>
                      <w:szCs w:val="21"/>
                    </w:rPr>
                  </w:pPr>
                  <w:r>
                    <w:rPr>
                      <w:rFonts w:hint="eastAsia" w:ascii="Times New Roman" w:hAnsi="Times New Roman"/>
                      <w:color w:val="auto"/>
                      <w:sz w:val="21"/>
                      <w:szCs w:val="21"/>
                    </w:rPr>
                    <w:t>HW08</w:t>
                  </w:r>
                </w:p>
              </w:tc>
              <w:tc>
                <w:tcPr>
                  <w:tcW w:w="1252" w:type="dxa"/>
                  <w:tcMar>
                    <w:top w:w="15" w:type="dxa"/>
                    <w:left w:w="15" w:type="dxa"/>
                    <w:bottom w:w="15" w:type="dxa"/>
                    <w:right w:w="15" w:type="dxa"/>
                  </w:tcMar>
                  <w:vAlign w:val="center"/>
                </w:tcPr>
                <w:p w14:paraId="14F853C1">
                  <w:pPr>
                    <w:snapToGrid w:val="0"/>
                    <w:jc w:val="center"/>
                    <w:rPr>
                      <w:rFonts w:hint="eastAsia"/>
                      <w:bCs/>
                      <w:color w:val="auto"/>
                      <w:szCs w:val="21"/>
                    </w:rPr>
                  </w:pPr>
                  <w:r>
                    <w:rPr>
                      <w:rFonts w:hint="eastAsia"/>
                      <w:b/>
                      <w:bCs/>
                      <w:color w:val="auto"/>
                      <w:kern w:val="0"/>
                      <w:szCs w:val="21"/>
                      <w:u w:val="single"/>
                    </w:rPr>
                    <w:t>900-218-08</w:t>
                  </w:r>
                </w:p>
              </w:tc>
              <w:tc>
                <w:tcPr>
                  <w:tcW w:w="839" w:type="dxa"/>
                  <w:tcMar>
                    <w:top w:w="15" w:type="dxa"/>
                    <w:left w:w="15" w:type="dxa"/>
                    <w:bottom w:w="15" w:type="dxa"/>
                    <w:right w:w="15" w:type="dxa"/>
                  </w:tcMar>
                  <w:vAlign w:val="center"/>
                </w:tcPr>
                <w:p w14:paraId="5AB67747">
                  <w:pPr>
                    <w:snapToGrid w:val="0"/>
                    <w:jc w:val="center"/>
                    <w:rPr>
                      <w:rFonts w:hint="eastAsia"/>
                      <w:bCs/>
                      <w:color w:val="auto"/>
                      <w:szCs w:val="21"/>
                    </w:rPr>
                  </w:pPr>
                  <w:r>
                    <w:rPr>
                      <w:color w:val="auto"/>
                      <w:szCs w:val="21"/>
                      <w:lang w:bidi="ar"/>
                    </w:rPr>
                    <w:t>0.15</w:t>
                  </w:r>
                </w:p>
              </w:tc>
              <w:tc>
                <w:tcPr>
                  <w:tcW w:w="682" w:type="dxa"/>
                  <w:tcMar>
                    <w:top w:w="15" w:type="dxa"/>
                    <w:left w:w="15" w:type="dxa"/>
                    <w:bottom w:w="15" w:type="dxa"/>
                    <w:right w:w="15" w:type="dxa"/>
                  </w:tcMar>
                  <w:vAlign w:val="center"/>
                </w:tcPr>
                <w:p w14:paraId="0BBACBFC">
                  <w:pPr>
                    <w:pStyle w:val="21"/>
                    <w:snapToGrid w:val="0"/>
                    <w:spacing w:before="0" w:beforeAutospacing="0" w:after="0" w:afterAutospacing="0"/>
                    <w:jc w:val="center"/>
                    <w:rPr>
                      <w:rFonts w:hint="eastAsia" w:ascii="Times New Roman" w:hAnsi="Times New Roman"/>
                      <w:color w:val="auto"/>
                      <w:sz w:val="21"/>
                      <w:szCs w:val="21"/>
                    </w:rPr>
                  </w:pPr>
                  <w:r>
                    <w:rPr>
                      <w:rFonts w:hint="eastAsia" w:ascii="Times New Roman" w:hAnsi="Times New Roman"/>
                      <w:color w:val="auto"/>
                      <w:sz w:val="21"/>
                      <w:szCs w:val="21"/>
                    </w:rPr>
                    <w:t>设备</w:t>
                  </w:r>
                </w:p>
                <w:p w14:paraId="183CBB42">
                  <w:pPr>
                    <w:pStyle w:val="21"/>
                    <w:snapToGrid w:val="0"/>
                    <w:spacing w:before="0" w:beforeAutospacing="0" w:after="0" w:afterAutospacing="0"/>
                    <w:jc w:val="center"/>
                    <w:rPr>
                      <w:rFonts w:ascii="Times New Roman" w:hAnsi="Times New Roman"/>
                      <w:bCs/>
                      <w:color w:val="auto"/>
                      <w:szCs w:val="21"/>
                    </w:rPr>
                  </w:pPr>
                  <w:r>
                    <w:rPr>
                      <w:rFonts w:hint="eastAsia" w:ascii="Times New Roman" w:hAnsi="Times New Roman"/>
                      <w:color w:val="auto"/>
                      <w:sz w:val="21"/>
                      <w:szCs w:val="21"/>
                    </w:rPr>
                    <w:t>维护</w:t>
                  </w:r>
                </w:p>
              </w:tc>
              <w:tc>
                <w:tcPr>
                  <w:tcW w:w="459" w:type="dxa"/>
                  <w:tcMar>
                    <w:top w:w="15" w:type="dxa"/>
                    <w:left w:w="15" w:type="dxa"/>
                    <w:bottom w:w="15" w:type="dxa"/>
                    <w:right w:w="15" w:type="dxa"/>
                  </w:tcMar>
                  <w:vAlign w:val="center"/>
                </w:tcPr>
                <w:p w14:paraId="71C1C592">
                  <w:pPr>
                    <w:adjustRightInd w:val="0"/>
                    <w:snapToGrid w:val="0"/>
                    <w:jc w:val="center"/>
                    <w:rPr>
                      <w:rFonts w:hint="eastAsia"/>
                      <w:bCs/>
                      <w:color w:val="auto"/>
                      <w:szCs w:val="21"/>
                    </w:rPr>
                  </w:pPr>
                  <w:r>
                    <w:rPr>
                      <w:rFonts w:hint="eastAsia"/>
                      <w:bCs/>
                      <w:color w:val="auto"/>
                      <w:szCs w:val="21"/>
                    </w:rPr>
                    <w:t>液态</w:t>
                  </w:r>
                </w:p>
              </w:tc>
              <w:tc>
                <w:tcPr>
                  <w:tcW w:w="777" w:type="dxa"/>
                  <w:tcMar>
                    <w:top w:w="15" w:type="dxa"/>
                    <w:left w:w="15" w:type="dxa"/>
                    <w:bottom w:w="15" w:type="dxa"/>
                    <w:right w:w="15" w:type="dxa"/>
                  </w:tcMar>
                  <w:vAlign w:val="center"/>
                </w:tcPr>
                <w:p w14:paraId="0BD64D33">
                  <w:pPr>
                    <w:adjustRightInd w:val="0"/>
                    <w:snapToGrid w:val="0"/>
                    <w:jc w:val="center"/>
                    <w:rPr>
                      <w:rFonts w:hint="eastAsia"/>
                      <w:bCs/>
                      <w:color w:val="auto"/>
                      <w:szCs w:val="21"/>
                    </w:rPr>
                  </w:pPr>
                  <w:r>
                    <w:rPr>
                      <w:color w:val="auto"/>
                      <w:kern w:val="0"/>
                      <w:szCs w:val="21"/>
                    </w:rPr>
                    <w:t>废液压油</w:t>
                  </w:r>
                </w:p>
              </w:tc>
              <w:tc>
                <w:tcPr>
                  <w:tcW w:w="594" w:type="dxa"/>
                  <w:tcMar>
                    <w:top w:w="15" w:type="dxa"/>
                    <w:left w:w="15" w:type="dxa"/>
                    <w:bottom w:w="15" w:type="dxa"/>
                    <w:right w:w="15" w:type="dxa"/>
                  </w:tcMar>
                  <w:vAlign w:val="center"/>
                </w:tcPr>
                <w:p w14:paraId="7C5565F1">
                  <w:pPr>
                    <w:adjustRightInd w:val="0"/>
                    <w:snapToGrid w:val="0"/>
                    <w:jc w:val="center"/>
                    <w:rPr>
                      <w:bCs/>
                      <w:color w:val="auto"/>
                      <w:szCs w:val="21"/>
                    </w:rPr>
                  </w:pPr>
                  <w:r>
                    <w:rPr>
                      <w:rFonts w:hint="eastAsia"/>
                      <w:bCs/>
                      <w:color w:val="auto"/>
                      <w:szCs w:val="21"/>
                    </w:rPr>
                    <w:t>废矿物油</w:t>
                  </w:r>
                </w:p>
              </w:tc>
              <w:tc>
                <w:tcPr>
                  <w:tcW w:w="633" w:type="dxa"/>
                  <w:tcMar>
                    <w:top w:w="15" w:type="dxa"/>
                    <w:left w:w="15" w:type="dxa"/>
                    <w:bottom w:w="15" w:type="dxa"/>
                    <w:right w:w="15" w:type="dxa"/>
                  </w:tcMar>
                  <w:vAlign w:val="center"/>
                </w:tcPr>
                <w:p w14:paraId="4AD07678">
                  <w:pPr>
                    <w:adjustRightInd w:val="0"/>
                    <w:snapToGrid w:val="0"/>
                    <w:jc w:val="center"/>
                    <w:rPr>
                      <w:bCs/>
                      <w:color w:val="auto"/>
                      <w:szCs w:val="21"/>
                    </w:rPr>
                  </w:pPr>
                  <w:r>
                    <w:rPr>
                      <w:rFonts w:hint="eastAsia"/>
                      <w:bCs/>
                      <w:color w:val="auto"/>
                      <w:szCs w:val="21"/>
                    </w:rPr>
                    <w:t>1a</w:t>
                  </w:r>
                </w:p>
              </w:tc>
              <w:tc>
                <w:tcPr>
                  <w:tcW w:w="846" w:type="dxa"/>
                  <w:tcMar>
                    <w:top w:w="15" w:type="dxa"/>
                    <w:left w:w="15" w:type="dxa"/>
                    <w:bottom w:w="15" w:type="dxa"/>
                    <w:right w:w="15" w:type="dxa"/>
                  </w:tcMar>
                  <w:vAlign w:val="center"/>
                </w:tcPr>
                <w:p w14:paraId="45EA351B">
                  <w:pPr>
                    <w:adjustRightInd w:val="0"/>
                    <w:snapToGrid w:val="0"/>
                    <w:jc w:val="center"/>
                    <w:rPr>
                      <w:bCs/>
                      <w:color w:val="auto"/>
                      <w:szCs w:val="21"/>
                    </w:rPr>
                  </w:pPr>
                  <w:r>
                    <w:rPr>
                      <w:bCs/>
                      <w:color w:val="auto"/>
                      <w:szCs w:val="21"/>
                    </w:rPr>
                    <w:t>T</w:t>
                  </w:r>
                  <w:r>
                    <w:rPr>
                      <w:rFonts w:hint="eastAsia"/>
                      <w:bCs/>
                      <w:color w:val="auto"/>
                      <w:szCs w:val="21"/>
                    </w:rPr>
                    <w:t>、I</w:t>
                  </w:r>
                </w:p>
              </w:tc>
              <w:tc>
                <w:tcPr>
                  <w:tcW w:w="861" w:type="dxa"/>
                  <w:vMerge w:val="continue"/>
                  <w:tcMar>
                    <w:top w:w="15" w:type="dxa"/>
                    <w:left w:w="15" w:type="dxa"/>
                    <w:bottom w:w="15" w:type="dxa"/>
                    <w:right w:w="15" w:type="dxa"/>
                  </w:tcMar>
                  <w:vAlign w:val="center"/>
                </w:tcPr>
                <w:p w14:paraId="6D9703C1">
                  <w:pPr>
                    <w:adjustRightInd w:val="0"/>
                    <w:snapToGrid w:val="0"/>
                    <w:jc w:val="center"/>
                    <w:rPr>
                      <w:bCs/>
                      <w:color w:val="auto"/>
                      <w:szCs w:val="21"/>
                    </w:rPr>
                  </w:pPr>
                </w:p>
              </w:tc>
            </w:tr>
            <w:tr w14:paraId="78AE1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dxa"/>
                  <w:tcMar>
                    <w:top w:w="15" w:type="dxa"/>
                    <w:left w:w="15" w:type="dxa"/>
                    <w:bottom w:w="15" w:type="dxa"/>
                    <w:right w:w="15" w:type="dxa"/>
                  </w:tcMar>
                  <w:vAlign w:val="center"/>
                </w:tcPr>
                <w:p w14:paraId="46CAB757">
                  <w:pPr>
                    <w:adjustRightInd w:val="0"/>
                    <w:snapToGrid w:val="0"/>
                    <w:jc w:val="center"/>
                    <w:rPr>
                      <w:rFonts w:hint="default"/>
                      <w:bCs/>
                      <w:color w:val="auto"/>
                      <w:szCs w:val="21"/>
                      <w:lang w:val="en-US" w:eastAsia="zh-CN"/>
                    </w:rPr>
                  </w:pPr>
                  <w:r>
                    <w:rPr>
                      <w:rFonts w:hint="eastAsia"/>
                      <w:bCs/>
                      <w:color w:val="auto"/>
                      <w:szCs w:val="21"/>
                      <w:lang w:val="en-US" w:eastAsia="zh-CN"/>
                    </w:rPr>
                    <w:t>4</w:t>
                  </w:r>
                </w:p>
              </w:tc>
              <w:tc>
                <w:tcPr>
                  <w:tcW w:w="629" w:type="dxa"/>
                  <w:tcMar>
                    <w:top w:w="15" w:type="dxa"/>
                    <w:left w:w="15" w:type="dxa"/>
                    <w:bottom w:w="15" w:type="dxa"/>
                    <w:right w:w="15" w:type="dxa"/>
                  </w:tcMar>
                  <w:vAlign w:val="center"/>
                </w:tcPr>
                <w:p w14:paraId="23EC4EC6">
                  <w:pPr>
                    <w:pStyle w:val="21"/>
                    <w:snapToGrid w:val="0"/>
                    <w:spacing w:before="0" w:beforeAutospacing="0" w:after="0" w:afterAutospacing="0"/>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废机油桶、废液压油桶</w:t>
                  </w:r>
                </w:p>
              </w:tc>
              <w:tc>
                <w:tcPr>
                  <w:tcW w:w="607" w:type="dxa"/>
                  <w:tcMar>
                    <w:top w:w="15" w:type="dxa"/>
                    <w:left w:w="15" w:type="dxa"/>
                    <w:bottom w:w="15" w:type="dxa"/>
                    <w:right w:w="15" w:type="dxa"/>
                  </w:tcMar>
                  <w:vAlign w:val="center"/>
                </w:tcPr>
                <w:p w14:paraId="2691EEA0">
                  <w:pPr>
                    <w:pStyle w:val="21"/>
                    <w:adjustRightInd w:val="0"/>
                    <w:snapToGrid w:val="0"/>
                    <w:spacing w:before="0" w:beforeAutospacing="0" w:after="0" w:afterAutospacing="0"/>
                    <w:jc w:val="center"/>
                    <w:rPr>
                      <w:rFonts w:hint="eastAsia" w:ascii="宋体" w:hAnsi="宋体" w:eastAsia="宋体" w:cs="Times New Roman"/>
                      <w:bCs/>
                      <w:color w:val="auto"/>
                      <w:kern w:val="0"/>
                      <w:sz w:val="21"/>
                      <w:szCs w:val="21"/>
                      <w:lang w:val="en-US" w:eastAsia="zh-CN" w:bidi="ar-SA"/>
                    </w:rPr>
                  </w:pPr>
                  <w:r>
                    <w:rPr>
                      <w:rFonts w:hint="eastAsia" w:ascii="Times New Roman" w:hAnsi="Times New Roman"/>
                      <w:color w:val="auto"/>
                      <w:sz w:val="21"/>
                      <w:szCs w:val="21"/>
                    </w:rPr>
                    <w:t>HW08</w:t>
                  </w:r>
                </w:p>
              </w:tc>
              <w:tc>
                <w:tcPr>
                  <w:tcW w:w="1252" w:type="dxa"/>
                  <w:tcMar>
                    <w:top w:w="15" w:type="dxa"/>
                    <w:left w:w="15" w:type="dxa"/>
                    <w:bottom w:w="15" w:type="dxa"/>
                    <w:right w:w="15" w:type="dxa"/>
                  </w:tcMar>
                  <w:vAlign w:val="center"/>
                </w:tcPr>
                <w:p w14:paraId="2D1C3315">
                  <w:pPr>
                    <w:snapToGrid w:val="0"/>
                    <w:jc w:val="center"/>
                    <w:rPr>
                      <w:rFonts w:hint="eastAsia" w:ascii="Times New Roman" w:hAnsi="Times New Roman" w:eastAsia="宋体" w:cs="Times New Roman"/>
                      <w:bCs/>
                      <w:color w:val="auto"/>
                      <w:kern w:val="2"/>
                      <w:sz w:val="21"/>
                      <w:szCs w:val="21"/>
                      <w:lang w:val="en-US" w:eastAsia="zh-CN" w:bidi="ar-SA"/>
                    </w:rPr>
                  </w:pPr>
                  <w:r>
                    <w:rPr>
                      <w:rFonts w:hint="eastAsia"/>
                      <w:b/>
                      <w:bCs/>
                      <w:color w:val="auto"/>
                      <w:kern w:val="0"/>
                      <w:szCs w:val="21"/>
                      <w:u w:val="single"/>
                    </w:rPr>
                    <w:t>900-249-08</w:t>
                  </w:r>
                </w:p>
              </w:tc>
              <w:tc>
                <w:tcPr>
                  <w:tcW w:w="839" w:type="dxa"/>
                  <w:tcMar>
                    <w:top w:w="15" w:type="dxa"/>
                    <w:left w:w="15" w:type="dxa"/>
                    <w:bottom w:w="15" w:type="dxa"/>
                    <w:right w:w="15" w:type="dxa"/>
                  </w:tcMar>
                  <w:vAlign w:val="center"/>
                </w:tcPr>
                <w:p w14:paraId="69992002">
                  <w:pPr>
                    <w:snapToGrid w:val="0"/>
                    <w:jc w:val="center"/>
                    <w:rPr>
                      <w:rFonts w:hint="default" w:ascii="Times New Roman" w:hAnsi="Times New Roman" w:eastAsia="宋体" w:cs="Times New Roman"/>
                      <w:bCs/>
                      <w:color w:val="auto"/>
                      <w:kern w:val="2"/>
                      <w:sz w:val="21"/>
                      <w:szCs w:val="21"/>
                      <w:lang w:val="en-US" w:eastAsia="zh-CN" w:bidi="ar-SA"/>
                    </w:rPr>
                  </w:pPr>
                  <w:r>
                    <w:rPr>
                      <w:color w:val="auto"/>
                      <w:szCs w:val="21"/>
                      <w:lang w:bidi="ar"/>
                    </w:rPr>
                    <w:t>0.</w:t>
                  </w:r>
                  <w:r>
                    <w:rPr>
                      <w:rFonts w:hint="eastAsia"/>
                      <w:color w:val="auto"/>
                      <w:szCs w:val="21"/>
                      <w:lang w:val="en-US" w:eastAsia="zh-CN" w:bidi="ar"/>
                    </w:rPr>
                    <w:t>01</w:t>
                  </w:r>
                </w:p>
              </w:tc>
              <w:tc>
                <w:tcPr>
                  <w:tcW w:w="682" w:type="dxa"/>
                  <w:tcMar>
                    <w:top w:w="15" w:type="dxa"/>
                    <w:left w:w="15" w:type="dxa"/>
                    <w:bottom w:w="15" w:type="dxa"/>
                    <w:right w:w="15" w:type="dxa"/>
                  </w:tcMar>
                  <w:vAlign w:val="center"/>
                </w:tcPr>
                <w:p w14:paraId="0209E50E">
                  <w:pPr>
                    <w:pStyle w:val="21"/>
                    <w:snapToGrid w:val="0"/>
                    <w:spacing w:before="0" w:beforeAutospacing="0" w:after="0" w:afterAutospacing="0"/>
                    <w:jc w:val="center"/>
                    <w:rPr>
                      <w:rFonts w:hint="eastAsia" w:ascii="Times New Roman" w:hAnsi="Times New Roman"/>
                      <w:color w:val="auto"/>
                      <w:sz w:val="21"/>
                      <w:szCs w:val="21"/>
                    </w:rPr>
                  </w:pPr>
                  <w:r>
                    <w:rPr>
                      <w:rFonts w:hint="eastAsia" w:ascii="Times New Roman" w:hAnsi="Times New Roman"/>
                      <w:color w:val="auto"/>
                      <w:sz w:val="21"/>
                      <w:szCs w:val="21"/>
                    </w:rPr>
                    <w:t>设备</w:t>
                  </w:r>
                </w:p>
                <w:p w14:paraId="68398974">
                  <w:pPr>
                    <w:pStyle w:val="21"/>
                    <w:snapToGrid w:val="0"/>
                    <w:spacing w:before="0" w:beforeAutospacing="0" w:after="0" w:afterAutospacing="0"/>
                    <w:jc w:val="center"/>
                    <w:rPr>
                      <w:rFonts w:hint="eastAsia" w:ascii="Times New Roman" w:hAnsi="Times New Roman" w:eastAsia="宋体" w:cs="Times New Roman"/>
                      <w:bCs/>
                      <w:color w:val="auto"/>
                      <w:kern w:val="0"/>
                      <w:sz w:val="24"/>
                      <w:szCs w:val="21"/>
                      <w:lang w:val="en-US" w:eastAsia="zh-CN" w:bidi="ar-SA"/>
                    </w:rPr>
                  </w:pPr>
                  <w:r>
                    <w:rPr>
                      <w:rFonts w:hint="eastAsia" w:ascii="Times New Roman" w:hAnsi="Times New Roman"/>
                      <w:color w:val="auto"/>
                      <w:sz w:val="21"/>
                      <w:szCs w:val="21"/>
                    </w:rPr>
                    <w:t>维护</w:t>
                  </w:r>
                </w:p>
              </w:tc>
              <w:tc>
                <w:tcPr>
                  <w:tcW w:w="459" w:type="dxa"/>
                  <w:tcMar>
                    <w:top w:w="15" w:type="dxa"/>
                    <w:left w:w="15" w:type="dxa"/>
                    <w:bottom w:w="15" w:type="dxa"/>
                    <w:right w:w="15" w:type="dxa"/>
                  </w:tcMar>
                  <w:vAlign w:val="center"/>
                </w:tcPr>
                <w:p w14:paraId="02A09CAC">
                  <w:pPr>
                    <w:adjustRightInd w:val="0"/>
                    <w:snapToGrid w:val="0"/>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Cs w:val="21"/>
                      <w:lang w:val="en-US" w:eastAsia="zh-CN"/>
                    </w:rPr>
                    <w:t>固态</w:t>
                  </w:r>
                </w:p>
              </w:tc>
              <w:tc>
                <w:tcPr>
                  <w:tcW w:w="777" w:type="dxa"/>
                  <w:tcMar>
                    <w:top w:w="15" w:type="dxa"/>
                    <w:left w:w="15" w:type="dxa"/>
                    <w:bottom w:w="15" w:type="dxa"/>
                    <w:right w:w="15" w:type="dxa"/>
                  </w:tcMar>
                  <w:vAlign w:val="center"/>
                </w:tcPr>
                <w:p w14:paraId="141BFF60">
                  <w:pPr>
                    <w:adjustRightInd w:val="0"/>
                    <w:snapToGrid w:val="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color w:val="auto"/>
                      <w:sz w:val="21"/>
                      <w:szCs w:val="21"/>
                      <w:lang w:val="en-US" w:eastAsia="zh-CN"/>
                    </w:rPr>
                    <w:t>废机油、</w:t>
                  </w:r>
                  <w:r>
                    <w:rPr>
                      <w:color w:val="auto"/>
                      <w:kern w:val="0"/>
                      <w:szCs w:val="21"/>
                    </w:rPr>
                    <w:t>废液压油</w:t>
                  </w:r>
                </w:p>
              </w:tc>
              <w:tc>
                <w:tcPr>
                  <w:tcW w:w="594" w:type="dxa"/>
                  <w:tcMar>
                    <w:top w:w="15" w:type="dxa"/>
                    <w:left w:w="15" w:type="dxa"/>
                    <w:bottom w:w="15" w:type="dxa"/>
                    <w:right w:w="15" w:type="dxa"/>
                  </w:tcMar>
                  <w:vAlign w:val="center"/>
                </w:tcPr>
                <w:p w14:paraId="2E4BF6D8">
                  <w:pPr>
                    <w:adjustRightInd w:val="0"/>
                    <w:snapToGrid w:val="0"/>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Cs w:val="21"/>
                    </w:rPr>
                    <w:t>废矿物油</w:t>
                  </w:r>
                </w:p>
              </w:tc>
              <w:tc>
                <w:tcPr>
                  <w:tcW w:w="633" w:type="dxa"/>
                  <w:tcMar>
                    <w:top w:w="15" w:type="dxa"/>
                    <w:left w:w="15" w:type="dxa"/>
                    <w:bottom w:w="15" w:type="dxa"/>
                    <w:right w:w="15" w:type="dxa"/>
                  </w:tcMar>
                  <w:vAlign w:val="center"/>
                </w:tcPr>
                <w:p w14:paraId="26BEC9A4">
                  <w:pPr>
                    <w:adjustRightInd w:val="0"/>
                    <w:snapToGrid w:val="0"/>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Cs w:val="21"/>
                    </w:rPr>
                    <w:t>1a</w:t>
                  </w:r>
                </w:p>
              </w:tc>
              <w:tc>
                <w:tcPr>
                  <w:tcW w:w="846" w:type="dxa"/>
                  <w:tcMar>
                    <w:top w:w="15" w:type="dxa"/>
                    <w:left w:w="15" w:type="dxa"/>
                    <w:bottom w:w="15" w:type="dxa"/>
                    <w:right w:w="15" w:type="dxa"/>
                  </w:tcMar>
                  <w:vAlign w:val="center"/>
                </w:tcPr>
                <w:p w14:paraId="4D3BAC67">
                  <w:pPr>
                    <w:adjustRightInd w:val="0"/>
                    <w:snapToGrid w:val="0"/>
                    <w:jc w:val="center"/>
                    <w:rPr>
                      <w:rFonts w:ascii="Times New Roman" w:hAnsi="Times New Roman" w:eastAsia="宋体" w:cs="Times New Roman"/>
                      <w:bCs/>
                      <w:color w:val="auto"/>
                      <w:kern w:val="2"/>
                      <w:sz w:val="21"/>
                      <w:szCs w:val="21"/>
                      <w:lang w:val="en-US" w:eastAsia="zh-CN" w:bidi="ar-SA"/>
                    </w:rPr>
                  </w:pPr>
                  <w:r>
                    <w:rPr>
                      <w:bCs/>
                      <w:color w:val="auto"/>
                      <w:szCs w:val="21"/>
                    </w:rPr>
                    <w:t>T</w:t>
                  </w:r>
                  <w:r>
                    <w:rPr>
                      <w:rFonts w:hint="eastAsia"/>
                      <w:bCs/>
                      <w:color w:val="auto"/>
                      <w:szCs w:val="21"/>
                    </w:rPr>
                    <w:t>、I</w:t>
                  </w:r>
                </w:p>
              </w:tc>
              <w:tc>
                <w:tcPr>
                  <w:tcW w:w="861" w:type="dxa"/>
                  <w:vMerge w:val="continue"/>
                  <w:tcMar>
                    <w:top w:w="15" w:type="dxa"/>
                    <w:left w:w="15" w:type="dxa"/>
                    <w:bottom w:w="15" w:type="dxa"/>
                    <w:right w:w="15" w:type="dxa"/>
                  </w:tcMar>
                  <w:vAlign w:val="center"/>
                </w:tcPr>
                <w:p w14:paraId="46233322">
                  <w:pPr>
                    <w:adjustRightInd w:val="0"/>
                    <w:snapToGrid w:val="0"/>
                    <w:jc w:val="center"/>
                    <w:rPr>
                      <w:bCs/>
                      <w:color w:val="auto"/>
                      <w:szCs w:val="21"/>
                    </w:rPr>
                  </w:pPr>
                </w:p>
              </w:tc>
            </w:tr>
            <w:tr w14:paraId="6527A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dxa"/>
                  <w:tcMar>
                    <w:top w:w="15" w:type="dxa"/>
                    <w:left w:w="15" w:type="dxa"/>
                    <w:bottom w:w="15" w:type="dxa"/>
                    <w:right w:w="15" w:type="dxa"/>
                  </w:tcMar>
                  <w:vAlign w:val="center"/>
                </w:tcPr>
                <w:p w14:paraId="4069583A">
                  <w:pPr>
                    <w:adjustRightInd w:val="0"/>
                    <w:snapToGrid w:val="0"/>
                    <w:jc w:val="center"/>
                    <w:rPr>
                      <w:rFonts w:hint="eastAsia" w:eastAsia="宋体"/>
                      <w:bCs/>
                      <w:color w:val="auto"/>
                      <w:szCs w:val="21"/>
                      <w:lang w:eastAsia="zh-CN"/>
                    </w:rPr>
                  </w:pPr>
                  <w:r>
                    <w:rPr>
                      <w:rFonts w:hint="eastAsia"/>
                      <w:bCs/>
                      <w:color w:val="auto"/>
                      <w:szCs w:val="21"/>
                      <w:lang w:val="en-US" w:eastAsia="zh-CN"/>
                    </w:rPr>
                    <w:t>5</w:t>
                  </w:r>
                </w:p>
              </w:tc>
              <w:tc>
                <w:tcPr>
                  <w:tcW w:w="629" w:type="dxa"/>
                  <w:tcMar>
                    <w:top w:w="15" w:type="dxa"/>
                    <w:left w:w="15" w:type="dxa"/>
                    <w:bottom w:w="15" w:type="dxa"/>
                    <w:right w:w="15" w:type="dxa"/>
                  </w:tcMar>
                  <w:vAlign w:val="center"/>
                </w:tcPr>
                <w:p w14:paraId="57280966">
                  <w:pPr>
                    <w:pStyle w:val="21"/>
                    <w:snapToGrid w:val="0"/>
                    <w:spacing w:before="0" w:beforeAutospacing="0" w:after="0" w:afterAutospacing="0"/>
                    <w:jc w:val="center"/>
                    <w:rPr>
                      <w:rFonts w:hint="eastAsia" w:ascii="Times New Roman" w:hAnsi="Times New Roman"/>
                      <w:color w:val="auto"/>
                      <w:sz w:val="21"/>
                      <w:szCs w:val="21"/>
                    </w:rPr>
                  </w:pPr>
                  <w:r>
                    <w:rPr>
                      <w:rFonts w:ascii="Times New Roman" w:hAnsi="Times New Roman"/>
                      <w:color w:val="auto"/>
                      <w:sz w:val="21"/>
                      <w:szCs w:val="21"/>
                    </w:rPr>
                    <w:t>废过滤棉</w:t>
                  </w:r>
                </w:p>
              </w:tc>
              <w:tc>
                <w:tcPr>
                  <w:tcW w:w="607" w:type="dxa"/>
                  <w:tcMar>
                    <w:top w:w="15" w:type="dxa"/>
                    <w:left w:w="15" w:type="dxa"/>
                    <w:bottom w:w="15" w:type="dxa"/>
                    <w:right w:w="15" w:type="dxa"/>
                  </w:tcMar>
                  <w:vAlign w:val="center"/>
                </w:tcPr>
                <w:p w14:paraId="71065CA6">
                  <w:pPr>
                    <w:pStyle w:val="21"/>
                    <w:adjustRightInd w:val="0"/>
                    <w:snapToGrid w:val="0"/>
                    <w:spacing w:before="0" w:beforeAutospacing="0" w:after="0" w:afterAutospacing="0"/>
                    <w:jc w:val="center"/>
                    <w:rPr>
                      <w:bCs/>
                      <w:iCs/>
                      <w:color w:val="auto"/>
                      <w:sz w:val="21"/>
                      <w:szCs w:val="21"/>
                    </w:rPr>
                  </w:pPr>
                  <w:r>
                    <w:rPr>
                      <w:rFonts w:hint="eastAsia" w:ascii="Times New Roman" w:hAnsi="Times New Roman"/>
                      <w:color w:val="auto"/>
                      <w:sz w:val="21"/>
                      <w:szCs w:val="21"/>
                    </w:rPr>
                    <w:t xml:space="preserve">HW49 </w:t>
                  </w:r>
                </w:p>
              </w:tc>
              <w:tc>
                <w:tcPr>
                  <w:tcW w:w="1252" w:type="dxa"/>
                  <w:tcMar>
                    <w:top w:w="15" w:type="dxa"/>
                    <w:left w:w="15" w:type="dxa"/>
                    <w:bottom w:w="15" w:type="dxa"/>
                    <w:right w:w="15" w:type="dxa"/>
                  </w:tcMar>
                  <w:vAlign w:val="center"/>
                </w:tcPr>
                <w:p w14:paraId="26CA4116">
                  <w:pPr>
                    <w:snapToGrid w:val="0"/>
                    <w:jc w:val="center"/>
                    <w:rPr>
                      <w:rFonts w:hint="eastAsia"/>
                      <w:bCs/>
                      <w:iCs/>
                      <w:color w:val="auto"/>
                      <w:szCs w:val="21"/>
                    </w:rPr>
                  </w:pPr>
                  <w:r>
                    <w:rPr>
                      <w:rFonts w:hint="eastAsia"/>
                      <w:b/>
                      <w:bCs/>
                      <w:color w:val="auto"/>
                      <w:kern w:val="0"/>
                      <w:szCs w:val="21"/>
                      <w:u w:val="single"/>
                    </w:rPr>
                    <w:t>900-041-49</w:t>
                  </w:r>
                </w:p>
              </w:tc>
              <w:tc>
                <w:tcPr>
                  <w:tcW w:w="839" w:type="dxa"/>
                  <w:tcMar>
                    <w:top w:w="15" w:type="dxa"/>
                    <w:left w:w="15" w:type="dxa"/>
                    <w:bottom w:w="15" w:type="dxa"/>
                    <w:right w:w="15" w:type="dxa"/>
                  </w:tcMar>
                  <w:vAlign w:val="center"/>
                </w:tcPr>
                <w:p w14:paraId="7A7B93B8">
                  <w:pPr>
                    <w:snapToGrid w:val="0"/>
                    <w:jc w:val="center"/>
                    <w:rPr>
                      <w:rFonts w:hint="default" w:eastAsia="宋体"/>
                      <w:bCs/>
                      <w:iCs/>
                      <w:color w:val="auto"/>
                      <w:szCs w:val="21"/>
                      <w:lang w:val="en-US" w:eastAsia="zh-CN"/>
                    </w:rPr>
                  </w:pPr>
                  <w:r>
                    <w:rPr>
                      <w:rFonts w:hint="eastAsia"/>
                      <w:b/>
                      <w:bCs/>
                      <w:color w:val="auto"/>
                      <w:szCs w:val="21"/>
                      <w:u w:val="single"/>
                      <w:lang w:val="en-US" w:eastAsia="zh-CN" w:bidi="ar"/>
                    </w:rPr>
                    <w:t>3.0586</w:t>
                  </w:r>
                </w:p>
              </w:tc>
              <w:tc>
                <w:tcPr>
                  <w:tcW w:w="682" w:type="dxa"/>
                  <w:tcMar>
                    <w:top w:w="15" w:type="dxa"/>
                    <w:left w:w="15" w:type="dxa"/>
                    <w:bottom w:w="15" w:type="dxa"/>
                    <w:right w:w="15" w:type="dxa"/>
                  </w:tcMar>
                  <w:vAlign w:val="center"/>
                </w:tcPr>
                <w:p w14:paraId="13FFBACF">
                  <w:pPr>
                    <w:pStyle w:val="21"/>
                    <w:snapToGrid w:val="0"/>
                    <w:spacing w:before="0" w:beforeAutospacing="0" w:after="0" w:afterAutospacing="0"/>
                    <w:jc w:val="center"/>
                    <w:rPr>
                      <w:rFonts w:hint="eastAsia" w:ascii="Times New Roman" w:hAnsi="Times New Roman"/>
                      <w:color w:val="auto"/>
                      <w:sz w:val="21"/>
                      <w:szCs w:val="21"/>
                    </w:rPr>
                  </w:pPr>
                  <w:r>
                    <w:rPr>
                      <w:rFonts w:hint="eastAsia" w:ascii="Times New Roman" w:hAnsi="Times New Roman"/>
                      <w:color w:val="auto"/>
                      <w:sz w:val="21"/>
                      <w:szCs w:val="21"/>
                    </w:rPr>
                    <w:t>废气</w:t>
                  </w:r>
                </w:p>
                <w:p w14:paraId="05DEB3FC">
                  <w:pPr>
                    <w:pStyle w:val="21"/>
                    <w:snapToGrid w:val="0"/>
                    <w:spacing w:before="0" w:beforeAutospacing="0" w:after="0" w:afterAutospacing="0"/>
                    <w:jc w:val="center"/>
                    <w:rPr>
                      <w:color w:val="auto"/>
                    </w:rPr>
                  </w:pPr>
                  <w:r>
                    <w:rPr>
                      <w:rFonts w:hint="eastAsia" w:ascii="Times New Roman" w:hAnsi="Times New Roman"/>
                      <w:color w:val="auto"/>
                      <w:sz w:val="21"/>
                      <w:szCs w:val="21"/>
                    </w:rPr>
                    <w:t>处理</w:t>
                  </w:r>
                </w:p>
              </w:tc>
              <w:tc>
                <w:tcPr>
                  <w:tcW w:w="459" w:type="dxa"/>
                  <w:tcMar>
                    <w:top w:w="15" w:type="dxa"/>
                    <w:left w:w="15" w:type="dxa"/>
                    <w:bottom w:w="15" w:type="dxa"/>
                    <w:right w:w="15" w:type="dxa"/>
                  </w:tcMar>
                  <w:vAlign w:val="center"/>
                </w:tcPr>
                <w:p w14:paraId="66DCE274">
                  <w:pPr>
                    <w:adjustRightInd w:val="0"/>
                    <w:snapToGrid w:val="0"/>
                    <w:jc w:val="center"/>
                    <w:rPr>
                      <w:rFonts w:hint="eastAsia"/>
                      <w:bCs/>
                      <w:color w:val="auto"/>
                      <w:szCs w:val="21"/>
                    </w:rPr>
                  </w:pPr>
                  <w:r>
                    <w:rPr>
                      <w:rFonts w:hint="eastAsia"/>
                      <w:bCs/>
                      <w:color w:val="auto"/>
                      <w:szCs w:val="21"/>
                    </w:rPr>
                    <w:t>固态</w:t>
                  </w:r>
                </w:p>
              </w:tc>
              <w:tc>
                <w:tcPr>
                  <w:tcW w:w="777" w:type="dxa"/>
                  <w:tcMar>
                    <w:top w:w="15" w:type="dxa"/>
                    <w:left w:w="15" w:type="dxa"/>
                    <w:bottom w:w="15" w:type="dxa"/>
                    <w:right w:w="15" w:type="dxa"/>
                  </w:tcMar>
                  <w:vAlign w:val="center"/>
                </w:tcPr>
                <w:p w14:paraId="108E13A8">
                  <w:pPr>
                    <w:adjustRightInd w:val="0"/>
                    <w:snapToGrid w:val="0"/>
                    <w:jc w:val="center"/>
                    <w:rPr>
                      <w:rFonts w:hint="eastAsia"/>
                      <w:bCs/>
                      <w:color w:val="auto"/>
                      <w:szCs w:val="21"/>
                    </w:rPr>
                  </w:pPr>
                  <w:r>
                    <w:rPr>
                      <w:rFonts w:hint="eastAsia"/>
                      <w:bCs/>
                      <w:color w:val="auto"/>
                      <w:szCs w:val="21"/>
                    </w:rPr>
                    <w:t>漆渣</w:t>
                  </w:r>
                </w:p>
              </w:tc>
              <w:tc>
                <w:tcPr>
                  <w:tcW w:w="594" w:type="dxa"/>
                  <w:tcMar>
                    <w:top w:w="15" w:type="dxa"/>
                    <w:left w:w="15" w:type="dxa"/>
                    <w:bottom w:w="15" w:type="dxa"/>
                    <w:right w:w="15" w:type="dxa"/>
                  </w:tcMar>
                  <w:vAlign w:val="center"/>
                </w:tcPr>
                <w:p w14:paraId="1F52C9F8">
                  <w:pPr>
                    <w:adjustRightInd w:val="0"/>
                    <w:snapToGrid w:val="0"/>
                    <w:jc w:val="center"/>
                    <w:rPr>
                      <w:bCs/>
                      <w:color w:val="auto"/>
                      <w:szCs w:val="21"/>
                    </w:rPr>
                  </w:pPr>
                  <w:r>
                    <w:rPr>
                      <w:rFonts w:hint="eastAsia"/>
                      <w:bCs/>
                      <w:color w:val="auto"/>
                      <w:szCs w:val="21"/>
                    </w:rPr>
                    <w:t>甲苯、二甲苯</w:t>
                  </w:r>
                </w:p>
              </w:tc>
              <w:tc>
                <w:tcPr>
                  <w:tcW w:w="633" w:type="dxa"/>
                  <w:tcMar>
                    <w:top w:w="15" w:type="dxa"/>
                    <w:left w:w="15" w:type="dxa"/>
                    <w:bottom w:w="15" w:type="dxa"/>
                    <w:right w:w="15" w:type="dxa"/>
                  </w:tcMar>
                  <w:vAlign w:val="center"/>
                </w:tcPr>
                <w:p w14:paraId="201042CE">
                  <w:pPr>
                    <w:adjustRightInd w:val="0"/>
                    <w:snapToGrid w:val="0"/>
                    <w:jc w:val="center"/>
                    <w:rPr>
                      <w:rFonts w:hint="eastAsia"/>
                      <w:bCs/>
                      <w:color w:val="auto"/>
                      <w:szCs w:val="21"/>
                    </w:rPr>
                  </w:pPr>
                  <w:r>
                    <w:rPr>
                      <w:rFonts w:hint="eastAsia"/>
                      <w:bCs/>
                      <w:color w:val="auto"/>
                      <w:szCs w:val="21"/>
                    </w:rPr>
                    <w:t>1a</w:t>
                  </w:r>
                </w:p>
              </w:tc>
              <w:tc>
                <w:tcPr>
                  <w:tcW w:w="846" w:type="dxa"/>
                  <w:tcMar>
                    <w:top w:w="15" w:type="dxa"/>
                    <w:left w:w="15" w:type="dxa"/>
                    <w:bottom w:w="15" w:type="dxa"/>
                    <w:right w:w="15" w:type="dxa"/>
                  </w:tcMar>
                  <w:vAlign w:val="center"/>
                </w:tcPr>
                <w:p w14:paraId="4DD704FA">
                  <w:pPr>
                    <w:adjustRightInd w:val="0"/>
                    <w:snapToGrid w:val="0"/>
                    <w:jc w:val="center"/>
                    <w:rPr>
                      <w:rFonts w:hint="eastAsia" w:eastAsia="宋体"/>
                      <w:bCs/>
                      <w:color w:val="auto"/>
                      <w:szCs w:val="21"/>
                      <w:lang w:val="en-US" w:eastAsia="zh-CN"/>
                    </w:rPr>
                  </w:pPr>
                  <w:r>
                    <w:rPr>
                      <w:bCs/>
                      <w:color w:val="auto"/>
                      <w:szCs w:val="21"/>
                    </w:rPr>
                    <w:t>T</w:t>
                  </w:r>
                  <w:r>
                    <w:rPr>
                      <w:rFonts w:hint="eastAsia"/>
                      <w:bCs/>
                      <w:color w:val="auto"/>
                      <w:szCs w:val="21"/>
                      <w:lang w:val="en-US" w:eastAsia="zh-CN"/>
                    </w:rPr>
                    <w:t>/</w:t>
                  </w:r>
                  <w:r>
                    <w:rPr>
                      <w:rFonts w:hint="eastAsia"/>
                      <w:bCs/>
                      <w:color w:val="auto"/>
                      <w:szCs w:val="21"/>
                    </w:rPr>
                    <w:t>I</w:t>
                  </w:r>
                  <w:r>
                    <w:rPr>
                      <w:rFonts w:hint="eastAsia"/>
                      <w:bCs/>
                      <w:color w:val="auto"/>
                      <w:szCs w:val="21"/>
                      <w:lang w:val="en-US" w:eastAsia="zh-CN"/>
                    </w:rPr>
                    <w:t>n</w:t>
                  </w:r>
                </w:p>
              </w:tc>
              <w:tc>
                <w:tcPr>
                  <w:tcW w:w="861" w:type="dxa"/>
                  <w:vMerge w:val="continue"/>
                  <w:tcMar>
                    <w:top w:w="15" w:type="dxa"/>
                    <w:left w:w="15" w:type="dxa"/>
                    <w:bottom w:w="15" w:type="dxa"/>
                    <w:right w:w="15" w:type="dxa"/>
                  </w:tcMar>
                  <w:vAlign w:val="center"/>
                </w:tcPr>
                <w:p w14:paraId="7A555157">
                  <w:pPr>
                    <w:adjustRightInd w:val="0"/>
                    <w:snapToGrid w:val="0"/>
                    <w:jc w:val="center"/>
                    <w:rPr>
                      <w:bCs/>
                      <w:color w:val="auto"/>
                      <w:szCs w:val="21"/>
                    </w:rPr>
                  </w:pPr>
                </w:p>
              </w:tc>
            </w:tr>
            <w:tr w14:paraId="4A016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dxa"/>
                  <w:tcMar>
                    <w:top w:w="15" w:type="dxa"/>
                    <w:left w:w="15" w:type="dxa"/>
                    <w:bottom w:w="15" w:type="dxa"/>
                    <w:right w:w="15" w:type="dxa"/>
                  </w:tcMar>
                  <w:vAlign w:val="center"/>
                </w:tcPr>
                <w:p w14:paraId="02D2113B">
                  <w:pPr>
                    <w:adjustRightInd w:val="0"/>
                    <w:snapToGrid w:val="0"/>
                    <w:jc w:val="center"/>
                    <w:rPr>
                      <w:rFonts w:hint="eastAsia" w:eastAsia="宋体"/>
                      <w:bCs/>
                      <w:color w:val="auto"/>
                      <w:szCs w:val="21"/>
                      <w:lang w:val="en-US" w:eastAsia="zh-CN"/>
                    </w:rPr>
                  </w:pPr>
                  <w:r>
                    <w:rPr>
                      <w:rFonts w:hint="eastAsia"/>
                      <w:bCs/>
                      <w:color w:val="auto"/>
                      <w:szCs w:val="21"/>
                      <w:lang w:val="en-US" w:eastAsia="zh-CN"/>
                    </w:rPr>
                    <w:t>6</w:t>
                  </w:r>
                </w:p>
              </w:tc>
              <w:tc>
                <w:tcPr>
                  <w:tcW w:w="629" w:type="dxa"/>
                  <w:tcMar>
                    <w:top w:w="15" w:type="dxa"/>
                    <w:left w:w="15" w:type="dxa"/>
                    <w:bottom w:w="15" w:type="dxa"/>
                    <w:right w:w="15" w:type="dxa"/>
                  </w:tcMar>
                  <w:vAlign w:val="center"/>
                </w:tcPr>
                <w:p w14:paraId="498AB9CC">
                  <w:pPr>
                    <w:snapToGrid w:val="0"/>
                    <w:jc w:val="center"/>
                    <w:rPr>
                      <w:rFonts w:hint="eastAsia"/>
                      <w:color w:val="auto"/>
                      <w:szCs w:val="21"/>
                    </w:rPr>
                  </w:pPr>
                  <w:r>
                    <w:rPr>
                      <w:color w:val="auto"/>
                      <w:kern w:val="0"/>
                      <w:szCs w:val="21"/>
                    </w:rPr>
                    <w:t>废催化剂</w:t>
                  </w:r>
                </w:p>
              </w:tc>
              <w:tc>
                <w:tcPr>
                  <w:tcW w:w="607" w:type="dxa"/>
                  <w:tcMar>
                    <w:top w:w="15" w:type="dxa"/>
                    <w:left w:w="15" w:type="dxa"/>
                    <w:bottom w:w="15" w:type="dxa"/>
                    <w:right w:w="15" w:type="dxa"/>
                  </w:tcMar>
                  <w:vAlign w:val="center"/>
                </w:tcPr>
                <w:p w14:paraId="24690363">
                  <w:pPr>
                    <w:pStyle w:val="21"/>
                    <w:adjustRightInd w:val="0"/>
                    <w:snapToGrid w:val="0"/>
                    <w:spacing w:before="0" w:beforeAutospacing="0" w:after="0" w:afterAutospacing="0"/>
                    <w:jc w:val="center"/>
                    <w:rPr>
                      <w:bCs/>
                      <w:iCs/>
                      <w:color w:val="auto"/>
                      <w:sz w:val="21"/>
                      <w:szCs w:val="21"/>
                    </w:rPr>
                  </w:pPr>
                  <w:r>
                    <w:rPr>
                      <w:rFonts w:ascii="Times New Roman" w:hAnsi="Times New Roman"/>
                      <w:color w:val="auto"/>
                      <w:sz w:val="21"/>
                      <w:szCs w:val="21"/>
                    </w:rPr>
                    <w:t>HW</w:t>
                  </w:r>
                  <w:r>
                    <w:rPr>
                      <w:rFonts w:hint="eastAsia" w:ascii="Times New Roman" w:hAnsi="Times New Roman"/>
                      <w:color w:val="auto"/>
                      <w:sz w:val="21"/>
                      <w:szCs w:val="21"/>
                    </w:rPr>
                    <w:t>50</w:t>
                  </w:r>
                </w:p>
              </w:tc>
              <w:tc>
                <w:tcPr>
                  <w:tcW w:w="1252" w:type="dxa"/>
                  <w:tcMar>
                    <w:top w:w="15" w:type="dxa"/>
                    <w:left w:w="15" w:type="dxa"/>
                    <w:bottom w:w="15" w:type="dxa"/>
                    <w:right w:w="15" w:type="dxa"/>
                  </w:tcMar>
                  <w:vAlign w:val="center"/>
                </w:tcPr>
                <w:p w14:paraId="5FEE1906">
                  <w:pPr>
                    <w:snapToGrid w:val="0"/>
                    <w:jc w:val="center"/>
                    <w:rPr>
                      <w:rFonts w:hint="eastAsia"/>
                      <w:bCs/>
                      <w:iCs/>
                      <w:color w:val="auto"/>
                      <w:szCs w:val="21"/>
                    </w:rPr>
                  </w:pPr>
                  <w:r>
                    <w:rPr>
                      <w:rFonts w:hint="eastAsia"/>
                      <w:b/>
                      <w:bCs/>
                      <w:color w:val="auto"/>
                      <w:kern w:val="0"/>
                      <w:szCs w:val="21"/>
                      <w:u w:val="single"/>
                    </w:rPr>
                    <w:t>772-007-50</w:t>
                  </w:r>
                </w:p>
              </w:tc>
              <w:tc>
                <w:tcPr>
                  <w:tcW w:w="839" w:type="dxa"/>
                  <w:tcMar>
                    <w:top w:w="15" w:type="dxa"/>
                    <w:left w:w="15" w:type="dxa"/>
                    <w:bottom w:w="15" w:type="dxa"/>
                    <w:right w:w="15" w:type="dxa"/>
                  </w:tcMar>
                  <w:vAlign w:val="center"/>
                </w:tcPr>
                <w:p w14:paraId="7D3DE592">
                  <w:pPr>
                    <w:snapToGrid w:val="0"/>
                    <w:jc w:val="center"/>
                    <w:rPr>
                      <w:bCs/>
                      <w:iCs/>
                      <w:color w:val="auto"/>
                      <w:szCs w:val="21"/>
                    </w:rPr>
                  </w:pPr>
                  <w:r>
                    <w:rPr>
                      <w:color w:val="auto"/>
                      <w:szCs w:val="21"/>
                      <w:lang w:bidi="ar"/>
                    </w:rPr>
                    <w:t>0.45</w:t>
                  </w:r>
                  <w:r>
                    <w:rPr>
                      <w:rFonts w:hint="eastAsia"/>
                      <w:color w:val="auto"/>
                      <w:szCs w:val="21"/>
                      <w:lang w:val="en-US" w:eastAsia="zh-CN" w:bidi="ar"/>
                    </w:rPr>
                    <w:t>t</w:t>
                  </w:r>
                  <w:r>
                    <w:rPr>
                      <w:color w:val="auto"/>
                      <w:szCs w:val="21"/>
                      <w:lang w:bidi="ar"/>
                    </w:rPr>
                    <w:t>/3a</w:t>
                  </w:r>
                </w:p>
              </w:tc>
              <w:tc>
                <w:tcPr>
                  <w:tcW w:w="682" w:type="dxa"/>
                  <w:tcMar>
                    <w:top w:w="15" w:type="dxa"/>
                    <w:left w:w="15" w:type="dxa"/>
                    <w:bottom w:w="15" w:type="dxa"/>
                    <w:right w:w="15" w:type="dxa"/>
                  </w:tcMar>
                  <w:vAlign w:val="center"/>
                </w:tcPr>
                <w:p w14:paraId="5A4B38A9">
                  <w:pPr>
                    <w:snapToGrid w:val="0"/>
                    <w:jc w:val="center"/>
                    <w:rPr>
                      <w:rFonts w:hint="eastAsia"/>
                      <w:color w:val="auto"/>
                      <w:szCs w:val="21"/>
                    </w:rPr>
                  </w:pPr>
                  <w:r>
                    <w:rPr>
                      <w:rFonts w:hint="eastAsia"/>
                      <w:color w:val="auto"/>
                      <w:szCs w:val="21"/>
                    </w:rPr>
                    <w:t>废气</w:t>
                  </w:r>
                </w:p>
                <w:p w14:paraId="208B6A8A">
                  <w:pPr>
                    <w:snapToGrid w:val="0"/>
                    <w:jc w:val="center"/>
                    <w:rPr>
                      <w:rFonts w:hint="eastAsia"/>
                      <w:color w:val="auto"/>
                      <w:szCs w:val="21"/>
                    </w:rPr>
                  </w:pPr>
                  <w:r>
                    <w:rPr>
                      <w:rFonts w:hint="eastAsia"/>
                      <w:color w:val="auto"/>
                      <w:szCs w:val="21"/>
                    </w:rPr>
                    <w:t>处理</w:t>
                  </w:r>
                </w:p>
              </w:tc>
              <w:tc>
                <w:tcPr>
                  <w:tcW w:w="459" w:type="dxa"/>
                  <w:tcMar>
                    <w:top w:w="15" w:type="dxa"/>
                    <w:left w:w="15" w:type="dxa"/>
                    <w:bottom w:w="15" w:type="dxa"/>
                    <w:right w:w="15" w:type="dxa"/>
                  </w:tcMar>
                  <w:vAlign w:val="center"/>
                </w:tcPr>
                <w:p w14:paraId="546B7403">
                  <w:pPr>
                    <w:adjustRightInd w:val="0"/>
                    <w:snapToGrid w:val="0"/>
                    <w:jc w:val="center"/>
                    <w:rPr>
                      <w:rFonts w:hint="eastAsia"/>
                      <w:bCs/>
                      <w:color w:val="auto"/>
                      <w:szCs w:val="21"/>
                    </w:rPr>
                  </w:pPr>
                  <w:r>
                    <w:rPr>
                      <w:rFonts w:hint="eastAsia"/>
                      <w:bCs/>
                      <w:color w:val="auto"/>
                      <w:szCs w:val="21"/>
                    </w:rPr>
                    <w:t>固态</w:t>
                  </w:r>
                </w:p>
              </w:tc>
              <w:tc>
                <w:tcPr>
                  <w:tcW w:w="777" w:type="dxa"/>
                  <w:tcMar>
                    <w:top w:w="15" w:type="dxa"/>
                    <w:left w:w="15" w:type="dxa"/>
                    <w:bottom w:w="15" w:type="dxa"/>
                    <w:right w:w="15" w:type="dxa"/>
                  </w:tcMar>
                  <w:vAlign w:val="center"/>
                </w:tcPr>
                <w:p w14:paraId="6D93F671">
                  <w:pPr>
                    <w:snapToGrid w:val="0"/>
                    <w:jc w:val="center"/>
                    <w:rPr>
                      <w:color w:val="auto"/>
                      <w:kern w:val="0"/>
                      <w:szCs w:val="21"/>
                    </w:rPr>
                  </w:pPr>
                  <w:r>
                    <w:rPr>
                      <w:color w:val="auto"/>
                      <w:kern w:val="0"/>
                      <w:szCs w:val="21"/>
                    </w:rPr>
                    <w:t>废催</w:t>
                  </w:r>
                </w:p>
                <w:p w14:paraId="36B7116B">
                  <w:pPr>
                    <w:snapToGrid w:val="0"/>
                    <w:jc w:val="center"/>
                    <w:rPr>
                      <w:rFonts w:hint="eastAsia"/>
                      <w:color w:val="auto"/>
                      <w:szCs w:val="21"/>
                    </w:rPr>
                  </w:pPr>
                  <w:r>
                    <w:rPr>
                      <w:color w:val="auto"/>
                      <w:kern w:val="0"/>
                      <w:szCs w:val="21"/>
                    </w:rPr>
                    <w:t>化剂</w:t>
                  </w:r>
                </w:p>
              </w:tc>
              <w:tc>
                <w:tcPr>
                  <w:tcW w:w="594" w:type="dxa"/>
                  <w:tcMar>
                    <w:top w:w="15" w:type="dxa"/>
                    <w:left w:w="15" w:type="dxa"/>
                    <w:bottom w:w="15" w:type="dxa"/>
                    <w:right w:w="15" w:type="dxa"/>
                  </w:tcMar>
                  <w:vAlign w:val="center"/>
                </w:tcPr>
                <w:p w14:paraId="4DE44668">
                  <w:pPr>
                    <w:adjustRightInd w:val="0"/>
                    <w:snapToGrid w:val="0"/>
                    <w:jc w:val="center"/>
                    <w:rPr>
                      <w:rFonts w:hint="eastAsia"/>
                      <w:bCs/>
                      <w:color w:val="auto"/>
                      <w:szCs w:val="21"/>
                    </w:rPr>
                  </w:pPr>
                  <w:r>
                    <w:rPr>
                      <w:rFonts w:hint="eastAsia"/>
                      <w:bCs/>
                      <w:color w:val="auto"/>
                      <w:szCs w:val="21"/>
                    </w:rPr>
                    <w:t>重金属</w:t>
                  </w:r>
                </w:p>
              </w:tc>
              <w:tc>
                <w:tcPr>
                  <w:tcW w:w="633" w:type="dxa"/>
                  <w:tcMar>
                    <w:top w:w="15" w:type="dxa"/>
                    <w:left w:w="15" w:type="dxa"/>
                    <w:bottom w:w="15" w:type="dxa"/>
                    <w:right w:w="15" w:type="dxa"/>
                  </w:tcMar>
                  <w:vAlign w:val="center"/>
                </w:tcPr>
                <w:p w14:paraId="7CAF6009">
                  <w:pPr>
                    <w:adjustRightInd w:val="0"/>
                    <w:snapToGrid w:val="0"/>
                    <w:jc w:val="center"/>
                    <w:rPr>
                      <w:bCs/>
                      <w:color w:val="auto"/>
                      <w:szCs w:val="21"/>
                    </w:rPr>
                  </w:pPr>
                  <w:r>
                    <w:rPr>
                      <w:rFonts w:hint="eastAsia"/>
                      <w:bCs/>
                      <w:color w:val="auto"/>
                      <w:szCs w:val="21"/>
                    </w:rPr>
                    <w:t>3a</w:t>
                  </w:r>
                </w:p>
              </w:tc>
              <w:tc>
                <w:tcPr>
                  <w:tcW w:w="846" w:type="dxa"/>
                  <w:tcMar>
                    <w:top w:w="15" w:type="dxa"/>
                    <w:left w:w="15" w:type="dxa"/>
                    <w:bottom w:w="15" w:type="dxa"/>
                    <w:right w:w="15" w:type="dxa"/>
                  </w:tcMar>
                  <w:vAlign w:val="center"/>
                </w:tcPr>
                <w:p w14:paraId="12AF1871">
                  <w:pPr>
                    <w:adjustRightInd w:val="0"/>
                    <w:snapToGrid w:val="0"/>
                    <w:jc w:val="center"/>
                    <w:rPr>
                      <w:bCs/>
                      <w:color w:val="auto"/>
                      <w:szCs w:val="21"/>
                    </w:rPr>
                  </w:pPr>
                  <w:r>
                    <w:rPr>
                      <w:bCs/>
                      <w:color w:val="auto"/>
                      <w:szCs w:val="21"/>
                    </w:rPr>
                    <w:t>T</w:t>
                  </w:r>
                </w:p>
              </w:tc>
              <w:tc>
                <w:tcPr>
                  <w:tcW w:w="861" w:type="dxa"/>
                  <w:vMerge w:val="continue"/>
                  <w:tcMar>
                    <w:top w:w="15" w:type="dxa"/>
                    <w:left w:w="15" w:type="dxa"/>
                    <w:bottom w:w="15" w:type="dxa"/>
                    <w:right w:w="15" w:type="dxa"/>
                  </w:tcMar>
                  <w:vAlign w:val="center"/>
                </w:tcPr>
                <w:p w14:paraId="0766AA05">
                  <w:pPr>
                    <w:adjustRightInd w:val="0"/>
                    <w:snapToGrid w:val="0"/>
                    <w:jc w:val="center"/>
                    <w:rPr>
                      <w:bCs/>
                      <w:color w:val="auto"/>
                      <w:szCs w:val="21"/>
                    </w:rPr>
                  </w:pPr>
                </w:p>
              </w:tc>
            </w:tr>
            <w:tr w14:paraId="1B127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dxa"/>
                  <w:tcMar>
                    <w:top w:w="15" w:type="dxa"/>
                    <w:left w:w="15" w:type="dxa"/>
                    <w:bottom w:w="15" w:type="dxa"/>
                    <w:right w:w="15" w:type="dxa"/>
                  </w:tcMar>
                  <w:vAlign w:val="center"/>
                </w:tcPr>
                <w:p w14:paraId="7B83328D">
                  <w:pPr>
                    <w:adjustRightInd w:val="0"/>
                    <w:snapToGrid w:val="0"/>
                    <w:jc w:val="center"/>
                    <w:rPr>
                      <w:rFonts w:hint="eastAsia" w:eastAsia="宋体"/>
                      <w:bCs/>
                      <w:color w:val="auto"/>
                      <w:szCs w:val="21"/>
                      <w:lang w:eastAsia="zh-CN"/>
                    </w:rPr>
                  </w:pPr>
                  <w:r>
                    <w:rPr>
                      <w:rFonts w:hint="eastAsia"/>
                      <w:bCs/>
                      <w:color w:val="auto"/>
                      <w:szCs w:val="21"/>
                      <w:lang w:val="en-US" w:eastAsia="zh-CN"/>
                    </w:rPr>
                    <w:t>7</w:t>
                  </w:r>
                </w:p>
              </w:tc>
              <w:tc>
                <w:tcPr>
                  <w:tcW w:w="629" w:type="dxa"/>
                  <w:tcMar>
                    <w:top w:w="15" w:type="dxa"/>
                    <w:left w:w="15" w:type="dxa"/>
                    <w:bottom w:w="15" w:type="dxa"/>
                    <w:right w:w="15" w:type="dxa"/>
                  </w:tcMar>
                  <w:vAlign w:val="center"/>
                </w:tcPr>
                <w:p w14:paraId="7C296B30">
                  <w:pPr>
                    <w:pStyle w:val="21"/>
                    <w:snapToGrid w:val="0"/>
                    <w:spacing w:before="0" w:beforeAutospacing="0" w:after="0" w:afterAutospacing="0"/>
                    <w:jc w:val="center"/>
                    <w:rPr>
                      <w:rFonts w:hint="eastAsia" w:ascii="Times New Roman" w:hAnsi="Times New Roman"/>
                      <w:color w:val="auto"/>
                      <w:sz w:val="21"/>
                      <w:szCs w:val="21"/>
                    </w:rPr>
                  </w:pPr>
                  <w:r>
                    <w:rPr>
                      <w:rFonts w:ascii="Times New Roman" w:hAnsi="Times New Roman"/>
                      <w:color w:val="auto"/>
                      <w:sz w:val="21"/>
                      <w:szCs w:val="21"/>
                    </w:rPr>
                    <w:t>废活性炭</w:t>
                  </w:r>
                </w:p>
              </w:tc>
              <w:tc>
                <w:tcPr>
                  <w:tcW w:w="607" w:type="dxa"/>
                  <w:tcMar>
                    <w:top w:w="15" w:type="dxa"/>
                    <w:left w:w="15" w:type="dxa"/>
                    <w:bottom w:w="15" w:type="dxa"/>
                    <w:right w:w="15" w:type="dxa"/>
                  </w:tcMar>
                  <w:vAlign w:val="center"/>
                </w:tcPr>
                <w:p w14:paraId="79325569">
                  <w:pPr>
                    <w:pStyle w:val="21"/>
                    <w:adjustRightInd w:val="0"/>
                    <w:snapToGrid w:val="0"/>
                    <w:spacing w:before="0" w:beforeAutospacing="0" w:after="0" w:afterAutospacing="0"/>
                    <w:jc w:val="center"/>
                    <w:rPr>
                      <w:bCs/>
                      <w:iCs/>
                      <w:color w:val="auto"/>
                      <w:sz w:val="21"/>
                      <w:szCs w:val="21"/>
                    </w:rPr>
                  </w:pPr>
                  <w:r>
                    <w:rPr>
                      <w:rFonts w:hint="eastAsia" w:ascii="Times New Roman" w:hAnsi="Times New Roman"/>
                      <w:color w:val="auto"/>
                      <w:sz w:val="21"/>
                      <w:szCs w:val="21"/>
                    </w:rPr>
                    <w:t>HW49</w:t>
                  </w:r>
                </w:p>
              </w:tc>
              <w:tc>
                <w:tcPr>
                  <w:tcW w:w="1252" w:type="dxa"/>
                  <w:tcMar>
                    <w:top w:w="15" w:type="dxa"/>
                    <w:left w:w="15" w:type="dxa"/>
                    <w:bottom w:w="15" w:type="dxa"/>
                    <w:right w:w="15" w:type="dxa"/>
                  </w:tcMar>
                  <w:vAlign w:val="center"/>
                </w:tcPr>
                <w:p w14:paraId="4369C2DE">
                  <w:pPr>
                    <w:snapToGrid w:val="0"/>
                    <w:jc w:val="center"/>
                    <w:rPr>
                      <w:rFonts w:hint="eastAsia"/>
                      <w:bCs/>
                      <w:iCs/>
                      <w:color w:val="auto"/>
                      <w:szCs w:val="21"/>
                    </w:rPr>
                  </w:pPr>
                  <w:r>
                    <w:rPr>
                      <w:rFonts w:hint="eastAsia"/>
                      <w:b/>
                      <w:bCs/>
                      <w:color w:val="auto"/>
                      <w:kern w:val="0"/>
                      <w:szCs w:val="21"/>
                      <w:u w:val="single"/>
                    </w:rPr>
                    <w:t>900-039-49</w:t>
                  </w:r>
                </w:p>
              </w:tc>
              <w:tc>
                <w:tcPr>
                  <w:tcW w:w="839" w:type="dxa"/>
                  <w:tcMar>
                    <w:top w:w="15" w:type="dxa"/>
                    <w:left w:w="15" w:type="dxa"/>
                    <w:bottom w:w="15" w:type="dxa"/>
                    <w:right w:w="15" w:type="dxa"/>
                  </w:tcMar>
                  <w:vAlign w:val="center"/>
                </w:tcPr>
                <w:p w14:paraId="693B4619">
                  <w:pPr>
                    <w:snapToGrid w:val="0"/>
                    <w:jc w:val="center"/>
                    <w:rPr>
                      <w:bCs/>
                      <w:iCs/>
                      <w:color w:val="auto"/>
                      <w:szCs w:val="21"/>
                    </w:rPr>
                  </w:pPr>
                  <w:r>
                    <w:rPr>
                      <w:color w:val="auto"/>
                      <w:szCs w:val="21"/>
                      <w:lang w:bidi="ar"/>
                    </w:rPr>
                    <w:t>4.8t/3a</w:t>
                  </w:r>
                </w:p>
              </w:tc>
              <w:tc>
                <w:tcPr>
                  <w:tcW w:w="682" w:type="dxa"/>
                  <w:tcMar>
                    <w:top w:w="15" w:type="dxa"/>
                    <w:left w:w="15" w:type="dxa"/>
                    <w:bottom w:w="15" w:type="dxa"/>
                    <w:right w:w="15" w:type="dxa"/>
                  </w:tcMar>
                  <w:vAlign w:val="center"/>
                </w:tcPr>
                <w:p w14:paraId="23B4A8A7">
                  <w:pPr>
                    <w:snapToGrid w:val="0"/>
                    <w:jc w:val="center"/>
                    <w:rPr>
                      <w:rFonts w:hint="eastAsia"/>
                      <w:color w:val="auto"/>
                      <w:szCs w:val="21"/>
                    </w:rPr>
                  </w:pPr>
                  <w:r>
                    <w:rPr>
                      <w:rFonts w:hint="eastAsia"/>
                      <w:color w:val="auto"/>
                      <w:szCs w:val="21"/>
                    </w:rPr>
                    <w:t>废气</w:t>
                  </w:r>
                </w:p>
                <w:p w14:paraId="70BBEAB9">
                  <w:pPr>
                    <w:snapToGrid w:val="0"/>
                    <w:jc w:val="center"/>
                    <w:rPr>
                      <w:rFonts w:hint="eastAsia"/>
                      <w:color w:val="auto"/>
                      <w:szCs w:val="21"/>
                    </w:rPr>
                  </w:pPr>
                  <w:r>
                    <w:rPr>
                      <w:rFonts w:hint="eastAsia"/>
                      <w:color w:val="auto"/>
                      <w:szCs w:val="21"/>
                    </w:rPr>
                    <w:t>处理</w:t>
                  </w:r>
                </w:p>
              </w:tc>
              <w:tc>
                <w:tcPr>
                  <w:tcW w:w="459" w:type="dxa"/>
                  <w:tcMar>
                    <w:top w:w="15" w:type="dxa"/>
                    <w:left w:w="15" w:type="dxa"/>
                    <w:bottom w:w="15" w:type="dxa"/>
                    <w:right w:w="15" w:type="dxa"/>
                  </w:tcMar>
                  <w:vAlign w:val="center"/>
                </w:tcPr>
                <w:p w14:paraId="45A171C3">
                  <w:pPr>
                    <w:adjustRightInd w:val="0"/>
                    <w:snapToGrid w:val="0"/>
                    <w:jc w:val="center"/>
                    <w:rPr>
                      <w:rFonts w:hint="eastAsia"/>
                      <w:bCs/>
                      <w:color w:val="auto"/>
                      <w:szCs w:val="21"/>
                    </w:rPr>
                  </w:pPr>
                  <w:r>
                    <w:rPr>
                      <w:rFonts w:hint="eastAsia"/>
                      <w:bCs/>
                      <w:color w:val="auto"/>
                      <w:szCs w:val="21"/>
                    </w:rPr>
                    <w:t>固态</w:t>
                  </w:r>
                </w:p>
              </w:tc>
              <w:tc>
                <w:tcPr>
                  <w:tcW w:w="777" w:type="dxa"/>
                  <w:tcMar>
                    <w:top w:w="15" w:type="dxa"/>
                    <w:left w:w="15" w:type="dxa"/>
                    <w:bottom w:w="15" w:type="dxa"/>
                    <w:right w:w="15" w:type="dxa"/>
                  </w:tcMar>
                  <w:vAlign w:val="center"/>
                </w:tcPr>
                <w:p w14:paraId="5A36FB86">
                  <w:pPr>
                    <w:pStyle w:val="21"/>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 w:val="21"/>
                      <w:szCs w:val="21"/>
                    </w:rPr>
                    <w:t>废活</w:t>
                  </w:r>
                </w:p>
                <w:p w14:paraId="68801896">
                  <w:pPr>
                    <w:pStyle w:val="21"/>
                    <w:snapToGrid w:val="0"/>
                    <w:spacing w:before="0" w:beforeAutospacing="0" w:after="0" w:afterAutospacing="0"/>
                    <w:jc w:val="center"/>
                    <w:rPr>
                      <w:rFonts w:hint="eastAsia" w:ascii="Times New Roman" w:hAnsi="Times New Roman"/>
                      <w:color w:val="auto"/>
                      <w:sz w:val="21"/>
                      <w:szCs w:val="21"/>
                    </w:rPr>
                  </w:pPr>
                  <w:r>
                    <w:rPr>
                      <w:rFonts w:ascii="Times New Roman" w:hAnsi="Times New Roman"/>
                      <w:color w:val="auto"/>
                      <w:sz w:val="21"/>
                      <w:szCs w:val="21"/>
                    </w:rPr>
                    <w:t>性炭</w:t>
                  </w:r>
                </w:p>
              </w:tc>
              <w:tc>
                <w:tcPr>
                  <w:tcW w:w="594" w:type="dxa"/>
                  <w:tcMar>
                    <w:top w:w="15" w:type="dxa"/>
                    <w:left w:w="15" w:type="dxa"/>
                    <w:bottom w:w="15" w:type="dxa"/>
                    <w:right w:w="15" w:type="dxa"/>
                  </w:tcMar>
                  <w:vAlign w:val="center"/>
                </w:tcPr>
                <w:p w14:paraId="616D888E">
                  <w:pPr>
                    <w:adjustRightInd w:val="0"/>
                    <w:snapToGrid w:val="0"/>
                    <w:jc w:val="center"/>
                    <w:rPr>
                      <w:bCs/>
                      <w:color w:val="auto"/>
                      <w:szCs w:val="21"/>
                    </w:rPr>
                  </w:pPr>
                  <w:r>
                    <w:rPr>
                      <w:rFonts w:hint="eastAsia"/>
                      <w:bCs/>
                      <w:color w:val="auto"/>
                      <w:szCs w:val="21"/>
                    </w:rPr>
                    <w:t>挥发性有机物</w:t>
                  </w:r>
                </w:p>
              </w:tc>
              <w:tc>
                <w:tcPr>
                  <w:tcW w:w="633" w:type="dxa"/>
                  <w:tcMar>
                    <w:top w:w="15" w:type="dxa"/>
                    <w:left w:w="15" w:type="dxa"/>
                    <w:bottom w:w="15" w:type="dxa"/>
                    <w:right w:w="15" w:type="dxa"/>
                  </w:tcMar>
                  <w:vAlign w:val="center"/>
                </w:tcPr>
                <w:p w14:paraId="47086322">
                  <w:pPr>
                    <w:adjustRightInd w:val="0"/>
                    <w:snapToGrid w:val="0"/>
                    <w:jc w:val="center"/>
                    <w:rPr>
                      <w:bCs/>
                      <w:color w:val="auto"/>
                      <w:szCs w:val="21"/>
                    </w:rPr>
                  </w:pPr>
                  <w:r>
                    <w:rPr>
                      <w:rFonts w:hint="eastAsia"/>
                      <w:bCs/>
                      <w:color w:val="auto"/>
                      <w:szCs w:val="21"/>
                    </w:rPr>
                    <w:t>3a</w:t>
                  </w:r>
                </w:p>
              </w:tc>
              <w:tc>
                <w:tcPr>
                  <w:tcW w:w="846" w:type="dxa"/>
                  <w:tcMar>
                    <w:top w:w="15" w:type="dxa"/>
                    <w:left w:w="15" w:type="dxa"/>
                    <w:bottom w:w="15" w:type="dxa"/>
                    <w:right w:w="15" w:type="dxa"/>
                  </w:tcMar>
                  <w:vAlign w:val="center"/>
                </w:tcPr>
                <w:p w14:paraId="211FA820">
                  <w:pPr>
                    <w:adjustRightInd w:val="0"/>
                    <w:snapToGrid w:val="0"/>
                    <w:jc w:val="center"/>
                    <w:rPr>
                      <w:bCs/>
                      <w:color w:val="auto"/>
                      <w:szCs w:val="21"/>
                    </w:rPr>
                  </w:pPr>
                  <w:r>
                    <w:rPr>
                      <w:bCs/>
                      <w:color w:val="auto"/>
                      <w:szCs w:val="21"/>
                    </w:rPr>
                    <w:t>T</w:t>
                  </w:r>
                </w:p>
              </w:tc>
              <w:tc>
                <w:tcPr>
                  <w:tcW w:w="861" w:type="dxa"/>
                  <w:vMerge w:val="continue"/>
                  <w:tcMar>
                    <w:top w:w="15" w:type="dxa"/>
                    <w:left w:w="15" w:type="dxa"/>
                    <w:bottom w:w="15" w:type="dxa"/>
                    <w:right w:w="15" w:type="dxa"/>
                  </w:tcMar>
                  <w:vAlign w:val="center"/>
                </w:tcPr>
                <w:p w14:paraId="178F8946">
                  <w:pPr>
                    <w:adjustRightInd w:val="0"/>
                    <w:snapToGrid w:val="0"/>
                    <w:jc w:val="center"/>
                    <w:rPr>
                      <w:bCs/>
                      <w:color w:val="auto"/>
                      <w:szCs w:val="21"/>
                    </w:rPr>
                  </w:pPr>
                </w:p>
              </w:tc>
            </w:tr>
            <w:tr w14:paraId="64595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dxa"/>
                  <w:tcMar>
                    <w:top w:w="15" w:type="dxa"/>
                    <w:left w:w="15" w:type="dxa"/>
                    <w:bottom w:w="15" w:type="dxa"/>
                    <w:right w:w="15" w:type="dxa"/>
                  </w:tcMar>
                  <w:vAlign w:val="center"/>
                </w:tcPr>
                <w:p w14:paraId="03FC7190">
                  <w:pPr>
                    <w:adjustRightInd w:val="0"/>
                    <w:snapToGrid w:val="0"/>
                    <w:jc w:val="center"/>
                    <w:rPr>
                      <w:rFonts w:hint="default"/>
                      <w:bCs/>
                      <w:color w:val="auto"/>
                      <w:szCs w:val="21"/>
                      <w:lang w:val="en-US" w:eastAsia="zh-CN"/>
                    </w:rPr>
                  </w:pPr>
                  <w:r>
                    <w:rPr>
                      <w:rFonts w:hint="eastAsia"/>
                      <w:bCs/>
                      <w:color w:val="auto"/>
                      <w:szCs w:val="21"/>
                      <w:lang w:val="en-US" w:eastAsia="zh-CN"/>
                    </w:rPr>
                    <w:t>8</w:t>
                  </w:r>
                </w:p>
              </w:tc>
              <w:tc>
                <w:tcPr>
                  <w:tcW w:w="629" w:type="dxa"/>
                  <w:tcMar>
                    <w:top w:w="15" w:type="dxa"/>
                    <w:left w:w="15" w:type="dxa"/>
                    <w:bottom w:w="15" w:type="dxa"/>
                    <w:right w:w="15" w:type="dxa"/>
                  </w:tcMar>
                  <w:vAlign w:val="center"/>
                </w:tcPr>
                <w:p w14:paraId="359F889C">
                  <w:pPr>
                    <w:pStyle w:val="21"/>
                    <w:snapToGrid w:val="0"/>
                    <w:spacing w:before="0" w:beforeAutospacing="0" w:after="0" w:afterAutospacing="0"/>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废UV灯管</w:t>
                  </w:r>
                </w:p>
              </w:tc>
              <w:tc>
                <w:tcPr>
                  <w:tcW w:w="607" w:type="dxa"/>
                  <w:tcMar>
                    <w:top w:w="15" w:type="dxa"/>
                    <w:left w:w="15" w:type="dxa"/>
                    <w:bottom w:w="15" w:type="dxa"/>
                    <w:right w:w="15" w:type="dxa"/>
                  </w:tcMar>
                  <w:vAlign w:val="center"/>
                </w:tcPr>
                <w:p w14:paraId="66C7F4FE">
                  <w:pPr>
                    <w:pStyle w:val="21"/>
                    <w:adjustRightInd w:val="0"/>
                    <w:snapToGrid w:val="0"/>
                    <w:spacing w:before="0" w:beforeAutospacing="0" w:after="0" w:afterAutospacing="0"/>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HW29</w:t>
                  </w:r>
                </w:p>
              </w:tc>
              <w:tc>
                <w:tcPr>
                  <w:tcW w:w="1252" w:type="dxa"/>
                  <w:tcMar>
                    <w:top w:w="15" w:type="dxa"/>
                    <w:left w:w="15" w:type="dxa"/>
                    <w:bottom w:w="15" w:type="dxa"/>
                    <w:right w:w="15" w:type="dxa"/>
                  </w:tcMar>
                  <w:vAlign w:val="center"/>
                </w:tcPr>
                <w:p w14:paraId="3E8F76F4">
                  <w:pPr>
                    <w:snapToGrid w:val="0"/>
                    <w:jc w:val="center"/>
                    <w:rPr>
                      <w:color w:val="auto"/>
                      <w:kern w:val="0"/>
                      <w:szCs w:val="21"/>
                    </w:rPr>
                  </w:pPr>
                  <w:r>
                    <w:rPr>
                      <w:rFonts w:hint="eastAsia"/>
                      <w:b/>
                      <w:bCs/>
                      <w:color w:val="auto"/>
                      <w:u w:val="single"/>
                    </w:rPr>
                    <w:t>900-023-29</w:t>
                  </w:r>
                </w:p>
              </w:tc>
              <w:tc>
                <w:tcPr>
                  <w:tcW w:w="839" w:type="dxa"/>
                  <w:tcMar>
                    <w:top w:w="15" w:type="dxa"/>
                    <w:left w:w="15" w:type="dxa"/>
                    <w:bottom w:w="15" w:type="dxa"/>
                    <w:right w:w="15" w:type="dxa"/>
                  </w:tcMar>
                  <w:vAlign w:val="center"/>
                </w:tcPr>
                <w:p w14:paraId="25ECBD95">
                  <w:pPr>
                    <w:snapToGrid w:val="0"/>
                    <w:jc w:val="center"/>
                    <w:rPr>
                      <w:rFonts w:hint="default" w:eastAsia="宋体"/>
                      <w:color w:val="auto"/>
                      <w:szCs w:val="21"/>
                      <w:lang w:val="en-US" w:eastAsia="zh-CN" w:bidi="ar"/>
                    </w:rPr>
                  </w:pPr>
                  <w:r>
                    <w:rPr>
                      <w:rFonts w:hint="eastAsia"/>
                      <w:color w:val="auto"/>
                      <w:szCs w:val="21"/>
                      <w:lang w:val="en-US" w:eastAsia="zh-CN" w:bidi="ar"/>
                    </w:rPr>
                    <w:t>0.5t/a</w:t>
                  </w:r>
                </w:p>
              </w:tc>
              <w:tc>
                <w:tcPr>
                  <w:tcW w:w="682" w:type="dxa"/>
                  <w:tcMar>
                    <w:top w:w="15" w:type="dxa"/>
                    <w:left w:w="15" w:type="dxa"/>
                    <w:bottom w:w="15" w:type="dxa"/>
                    <w:right w:w="15" w:type="dxa"/>
                  </w:tcMar>
                  <w:vAlign w:val="center"/>
                </w:tcPr>
                <w:p w14:paraId="65882553">
                  <w:pPr>
                    <w:snapToGrid w:val="0"/>
                    <w:jc w:val="center"/>
                    <w:rPr>
                      <w:rFonts w:hint="default" w:eastAsia="宋体"/>
                      <w:color w:val="auto"/>
                      <w:szCs w:val="21"/>
                      <w:lang w:val="en-US" w:eastAsia="zh-CN"/>
                    </w:rPr>
                  </w:pPr>
                  <w:r>
                    <w:rPr>
                      <w:rFonts w:hint="eastAsia"/>
                      <w:color w:val="auto"/>
                      <w:szCs w:val="21"/>
                      <w:lang w:val="en-US" w:eastAsia="zh-CN"/>
                    </w:rPr>
                    <w:t>生产过程</w:t>
                  </w:r>
                </w:p>
              </w:tc>
              <w:tc>
                <w:tcPr>
                  <w:tcW w:w="459" w:type="dxa"/>
                  <w:tcMar>
                    <w:top w:w="15" w:type="dxa"/>
                    <w:left w:w="15" w:type="dxa"/>
                    <w:bottom w:w="15" w:type="dxa"/>
                    <w:right w:w="15" w:type="dxa"/>
                  </w:tcMar>
                  <w:vAlign w:val="center"/>
                </w:tcPr>
                <w:p w14:paraId="6E91A370">
                  <w:pPr>
                    <w:adjustRightInd w:val="0"/>
                    <w:snapToGrid w:val="0"/>
                    <w:jc w:val="center"/>
                    <w:rPr>
                      <w:rFonts w:hint="eastAsia"/>
                      <w:bCs/>
                      <w:color w:val="auto"/>
                      <w:szCs w:val="21"/>
                    </w:rPr>
                  </w:pPr>
                  <w:r>
                    <w:rPr>
                      <w:rFonts w:hint="eastAsia"/>
                      <w:bCs/>
                      <w:color w:val="auto"/>
                      <w:szCs w:val="21"/>
                    </w:rPr>
                    <w:t>固态</w:t>
                  </w:r>
                </w:p>
              </w:tc>
              <w:tc>
                <w:tcPr>
                  <w:tcW w:w="777" w:type="dxa"/>
                  <w:tcMar>
                    <w:top w:w="15" w:type="dxa"/>
                    <w:left w:w="15" w:type="dxa"/>
                    <w:bottom w:w="15" w:type="dxa"/>
                    <w:right w:w="15" w:type="dxa"/>
                  </w:tcMar>
                  <w:vAlign w:val="center"/>
                </w:tcPr>
                <w:p w14:paraId="2F30ED09">
                  <w:pPr>
                    <w:pStyle w:val="21"/>
                    <w:snapToGrid w:val="0"/>
                    <w:spacing w:before="0" w:beforeAutospacing="0" w:after="0" w:afterAutospacing="0"/>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含汞废物</w:t>
                  </w:r>
                </w:p>
              </w:tc>
              <w:tc>
                <w:tcPr>
                  <w:tcW w:w="594" w:type="dxa"/>
                  <w:tcMar>
                    <w:top w:w="15" w:type="dxa"/>
                    <w:left w:w="15" w:type="dxa"/>
                    <w:bottom w:w="15" w:type="dxa"/>
                    <w:right w:w="15" w:type="dxa"/>
                  </w:tcMar>
                  <w:vAlign w:val="center"/>
                </w:tcPr>
                <w:p w14:paraId="22F98162">
                  <w:pPr>
                    <w:adjustRightInd w:val="0"/>
                    <w:snapToGrid w:val="0"/>
                    <w:jc w:val="center"/>
                    <w:rPr>
                      <w:rFonts w:hint="eastAsia"/>
                      <w:bCs/>
                      <w:color w:val="auto"/>
                      <w:szCs w:val="21"/>
                    </w:rPr>
                  </w:pPr>
                  <w:r>
                    <w:rPr>
                      <w:rFonts w:hint="eastAsia" w:ascii="Times New Roman" w:hAnsi="Times New Roman"/>
                      <w:color w:val="auto"/>
                      <w:sz w:val="21"/>
                      <w:szCs w:val="21"/>
                      <w:lang w:val="en-US" w:eastAsia="zh-CN"/>
                    </w:rPr>
                    <w:t>含汞废物</w:t>
                  </w:r>
                </w:p>
              </w:tc>
              <w:tc>
                <w:tcPr>
                  <w:tcW w:w="633" w:type="dxa"/>
                  <w:tcMar>
                    <w:top w:w="15" w:type="dxa"/>
                    <w:left w:w="15" w:type="dxa"/>
                    <w:bottom w:w="15" w:type="dxa"/>
                    <w:right w:w="15" w:type="dxa"/>
                  </w:tcMar>
                  <w:vAlign w:val="center"/>
                </w:tcPr>
                <w:p w14:paraId="3065636C">
                  <w:pPr>
                    <w:adjustRightInd w:val="0"/>
                    <w:snapToGrid w:val="0"/>
                    <w:jc w:val="center"/>
                    <w:rPr>
                      <w:rFonts w:hint="default" w:eastAsia="宋体"/>
                      <w:bCs/>
                      <w:color w:val="auto"/>
                      <w:szCs w:val="21"/>
                      <w:lang w:val="en-US" w:eastAsia="zh-CN"/>
                    </w:rPr>
                  </w:pPr>
                  <w:r>
                    <w:rPr>
                      <w:rFonts w:hint="eastAsia"/>
                      <w:bCs/>
                      <w:color w:val="auto"/>
                      <w:szCs w:val="21"/>
                      <w:lang w:val="en-US" w:eastAsia="zh-CN"/>
                    </w:rPr>
                    <w:t>1a</w:t>
                  </w:r>
                </w:p>
              </w:tc>
              <w:tc>
                <w:tcPr>
                  <w:tcW w:w="846" w:type="dxa"/>
                  <w:tcMar>
                    <w:top w:w="15" w:type="dxa"/>
                    <w:left w:w="15" w:type="dxa"/>
                    <w:bottom w:w="15" w:type="dxa"/>
                    <w:right w:w="15" w:type="dxa"/>
                  </w:tcMar>
                  <w:vAlign w:val="center"/>
                </w:tcPr>
                <w:p w14:paraId="5E0A6F24">
                  <w:pPr>
                    <w:adjustRightInd w:val="0"/>
                    <w:snapToGrid w:val="0"/>
                    <w:jc w:val="center"/>
                    <w:rPr>
                      <w:bCs/>
                      <w:color w:val="auto"/>
                      <w:szCs w:val="21"/>
                    </w:rPr>
                  </w:pPr>
                  <w:r>
                    <w:rPr>
                      <w:bCs/>
                      <w:color w:val="auto"/>
                      <w:szCs w:val="21"/>
                    </w:rPr>
                    <w:t>T</w:t>
                  </w:r>
                </w:p>
              </w:tc>
              <w:tc>
                <w:tcPr>
                  <w:tcW w:w="861" w:type="dxa"/>
                  <w:vMerge w:val="continue"/>
                  <w:tcMar>
                    <w:top w:w="15" w:type="dxa"/>
                    <w:left w:w="15" w:type="dxa"/>
                    <w:bottom w:w="15" w:type="dxa"/>
                    <w:right w:w="15" w:type="dxa"/>
                  </w:tcMar>
                  <w:vAlign w:val="center"/>
                </w:tcPr>
                <w:p w14:paraId="7BDF87D6">
                  <w:pPr>
                    <w:adjustRightInd w:val="0"/>
                    <w:snapToGrid w:val="0"/>
                    <w:jc w:val="center"/>
                    <w:rPr>
                      <w:bCs/>
                      <w:color w:val="auto"/>
                      <w:szCs w:val="21"/>
                    </w:rPr>
                  </w:pPr>
                </w:p>
              </w:tc>
            </w:tr>
            <w:tr w14:paraId="72227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dxa"/>
                  <w:tcMar>
                    <w:top w:w="15" w:type="dxa"/>
                    <w:left w:w="15" w:type="dxa"/>
                    <w:bottom w:w="15" w:type="dxa"/>
                    <w:right w:w="15" w:type="dxa"/>
                  </w:tcMar>
                  <w:vAlign w:val="center"/>
                </w:tcPr>
                <w:p w14:paraId="5CC9A785">
                  <w:pPr>
                    <w:adjustRightInd w:val="0"/>
                    <w:snapToGrid w:val="0"/>
                    <w:jc w:val="center"/>
                    <w:rPr>
                      <w:rFonts w:hint="eastAsia" w:eastAsia="宋体"/>
                      <w:bCs/>
                      <w:color w:val="auto"/>
                      <w:szCs w:val="21"/>
                      <w:lang w:eastAsia="zh-CN"/>
                    </w:rPr>
                  </w:pPr>
                  <w:r>
                    <w:rPr>
                      <w:rFonts w:hint="eastAsia"/>
                      <w:bCs/>
                      <w:color w:val="auto"/>
                      <w:szCs w:val="21"/>
                      <w:lang w:val="en-US" w:eastAsia="zh-CN"/>
                    </w:rPr>
                    <w:t>9</w:t>
                  </w:r>
                </w:p>
              </w:tc>
              <w:tc>
                <w:tcPr>
                  <w:tcW w:w="629" w:type="dxa"/>
                  <w:tcMar>
                    <w:top w:w="15" w:type="dxa"/>
                    <w:left w:w="15" w:type="dxa"/>
                    <w:bottom w:w="15" w:type="dxa"/>
                    <w:right w:w="15" w:type="dxa"/>
                  </w:tcMar>
                  <w:vAlign w:val="center"/>
                </w:tcPr>
                <w:p w14:paraId="12E9D4B4">
                  <w:pPr>
                    <w:pStyle w:val="21"/>
                    <w:snapToGrid w:val="0"/>
                    <w:spacing w:before="0" w:beforeAutospacing="0" w:after="0" w:afterAutospacing="0"/>
                    <w:jc w:val="center"/>
                    <w:rPr>
                      <w:rFonts w:hint="eastAsia" w:ascii="Times New Roman" w:hAnsi="Times New Roman"/>
                      <w:color w:val="auto"/>
                      <w:sz w:val="21"/>
                      <w:szCs w:val="21"/>
                    </w:rPr>
                  </w:pPr>
                  <w:r>
                    <w:rPr>
                      <w:rFonts w:ascii="Times New Roman" w:hAnsi="Times New Roman"/>
                      <w:color w:val="auto"/>
                      <w:sz w:val="21"/>
                      <w:szCs w:val="21"/>
                    </w:rPr>
                    <w:t>废包装桶</w:t>
                  </w:r>
                </w:p>
              </w:tc>
              <w:tc>
                <w:tcPr>
                  <w:tcW w:w="607" w:type="dxa"/>
                  <w:tcMar>
                    <w:top w:w="15" w:type="dxa"/>
                    <w:left w:w="15" w:type="dxa"/>
                    <w:bottom w:w="15" w:type="dxa"/>
                    <w:right w:w="15" w:type="dxa"/>
                  </w:tcMar>
                  <w:vAlign w:val="center"/>
                </w:tcPr>
                <w:p w14:paraId="77AEC971">
                  <w:pPr>
                    <w:pStyle w:val="21"/>
                    <w:adjustRightInd w:val="0"/>
                    <w:snapToGrid w:val="0"/>
                    <w:spacing w:before="0" w:beforeAutospacing="0" w:after="0" w:afterAutospacing="0"/>
                    <w:jc w:val="center"/>
                    <w:rPr>
                      <w:bCs/>
                      <w:iCs/>
                      <w:color w:val="auto"/>
                      <w:sz w:val="21"/>
                      <w:szCs w:val="21"/>
                    </w:rPr>
                  </w:pPr>
                  <w:r>
                    <w:rPr>
                      <w:rFonts w:hint="eastAsia" w:ascii="Times New Roman" w:hAnsi="Times New Roman"/>
                      <w:color w:val="auto"/>
                      <w:sz w:val="21"/>
                      <w:szCs w:val="21"/>
                    </w:rPr>
                    <w:t>HW49</w:t>
                  </w:r>
                </w:p>
              </w:tc>
              <w:tc>
                <w:tcPr>
                  <w:tcW w:w="1252" w:type="dxa"/>
                  <w:tcMar>
                    <w:top w:w="15" w:type="dxa"/>
                    <w:left w:w="15" w:type="dxa"/>
                    <w:bottom w:w="15" w:type="dxa"/>
                    <w:right w:w="15" w:type="dxa"/>
                  </w:tcMar>
                  <w:vAlign w:val="center"/>
                </w:tcPr>
                <w:p w14:paraId="35B064BE">
                  <w:pPr>
                    <w:snapToGrid w:val="0"/>
                    <w:jc w:val="center"/>
                    <w:rPr>
                      <w:rFonts w:hint="eastAsia"/>
                      <w:bCs/>
                      <w:iCs/>
                      <w:color w:val="auto"/>
                      <w:szCs w:val="21"/>
                    </w:rPr>
                  </w:pPr>
                  <w:r>
                    <w:rPr>
                      <w:rFonts w:hint="eastAsia"/>
                      <w:b/>
                      <w:bCs/>
                      <w:color w:val="auto"/>
                      <w:kern w:val="0"/>
                      <w:szCs w:val="21"/>
                      <w:u w:val="single"/>
                    </w:rPr>
                    <w:t>900-041-49</w:t>
                  </w:r>
                </w:p>
              </w:tc>
              <w:tc>
                <w:tcPr>
                  <w:tcW w:w="839" w:type="dxa"/>
                  <w:tcMar>
                    <w:top w:w="15" w:type="dxa"/>
                    <w:left w:w="15" w:type="dxa"/>
                    <w:bottom w:w="15" w:type="dxa"/>
                    <w:right w:w="15" w:type="dxa"/>
                  </w:tcMar>
                  <w:vAlign w:val="center"/>
                </w:tcPr>
                <w:p w14:paraId="0894DDAD">
                  <w:pPr>
                    <w:snapToGrid w:val="0"/>
                    <w:jc w:val="center"/>
                    <w:rPr>
                      <w:rFonts w:hint="default" w:eastAsia="宋体"/>
                      <w:bCs/>
                      <w:iCs/>
                      <w:color w:val="auto"/>
                      <w:szCs w:val="21"/>
                      <w:lang w:val="en-US" w:eastAsia="zh-CN"/>
                    </w:rPr>
                  </w:pPr>
                  <w:r>
                    <w:rPr>
                      <w:rFonts w:hint="eastAsia"/>
                      <w:color w:val="auto"/>
                      <w:szCs w:val="21"/>
                      <w:lang w:val="en-US" w:eastAsia="zh-CN" w:bidi="ar"/>
                    </w:rPr>
                    <w:t>0.5t/a</w:t>
                  </w:r>
                </w:p>
              </w:tc>
              <w:tc>
                <w:tcPr>
                  <w:tcW w:w="682" w:type="dxa"/>
                  <w:tcMar>
                    <w:top w:w="15" w:type="dxa"/>
                    <w:left w:w="15" w:type="dxa"/>
                    <w:bottom w:w="15" w:type="dxa"/>
                    <w:right w:w="15" w:type="dxa"/>
                  </w:tcMar>
                  <w:vAlign w:val="center"/>
                </w:tcPr>
                <w:p w14:paraId="5FFA6917">
                  <w:pPr>
                    <w:pStyle w:val="21"/>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漆料</w:t>
                  </w:r>
                </w:p>
                <w:p w14:paraId="214F5C4B">
                  <w:pPr>
                    <w:pStyle w:val="21"/>
                    <w:snapToGrid w:val="0"/>
                    <w:spacing w:before="0" w:beforeAutospacing="0" w:after="0" w:afterAutospacing="0"/>
                    <w:jc w:val="center"/>
                    <w:rPr>
                      <w:rFonts w:hint="eastAsia" w:ascii="Times New Roman" w:hAnsi="Times New Roman"/>
                      <w:color w:val="auto"/>
                      <w:sz w:val="21"/>
                      <w:szCs w:val="21"/>
                    </w:rPr>
                  </w:pPr>
                  <w:r>
                    <w:rPr>
                      <w:rFonts w:ascii="Times New Roman" w:hAnsi="Times New Roman"/>
                      <w:color w:val="auto"/>
                      <w:kern w:val="2"/>
                      <w:sz w:val="21"/>
                      <w:szCs w:val="21"/>
                    </w:rPr>
                    <w:t>包装</w:t>
                  </w:r>
                </w:p>
              </w:tc>
              <w:tc>
                <w:tcPr>
                  <w:tcW w:w="459" w:type="dxa"/>
                  <w:tcMar>
                    <w:top w:w="15" w:type="dxa"/>
                    <w:left w:w="15" w:type="dxa"/>
                    <w:bottom w:w="15" w:type="dxa"/>
                    <w:right w:w="15" w:type="dxa"/>
                  </w:tcMar>
                  <w:vAlign w:val="center"/>
                </w:tcPr>
                <w:p w14:paraId="7329C86C">
                  <w:pPr>
                    <w:adjustRightInd w:val="0"/>
                    <w:snapToGrid w:val="0"/>
                    <w:jc w:val="center"/>
                    <w:rPr>
                      <w:rFonts w:hint="eastAsia"/>
                      <w:bCs/>
                      <w:color w:val="auto"/>
                      <w:szCs w:val="21"/>
                    </w:rPr>
                  </w:pPr>
                  <w:r>
                    <w:rPr>
                      <w:rFonts w:hint="eastAsia"/>
                      <w:bCs/>
                      <w:color w:val="auto"/>
                      <w:szCs w:val="21"/>
                    </w:rPr>
                    <w:t>固态</w:t>
                  </w:r>
                </w:p>
              </w:tc>
              <w:tc>
                <w:tcPr>
                  <w:tcW w:w="777" w:type="dxa"/>
                  <w:tcMar>
                    <w:top w:w="15" w:type="dxa"/>
                    <w:left w:w="15" w:type="dxa"/>
                    <w:bottom w:w="15" w:type="dxa"/>
                    <w:right w:w="15" w:type="dxa"/>
                  </w:tcMar>
                  <w:vAlign w:val="center"/>
                </w:tcPr>
                <w:p w14:paraId="02FD327D">
                  <w:pPr>
                    <w:pStyle w:val="21"/>
                    <w:snapToGrid w:val="0"/>
                    <w:spacing w:before="0" w:beforeAutospacing="0" w:after="0" w:afterAutospacing="0"/>
                    <w:jc w:val="center"/>
                    <w:rPr>
                      <w:rFonts w:ascii="Times New Roman" w:hAnsi="Times New Roman"/>
                      <w:color w:val="auto"/>
                      <w:sz w:val="21"/>
                      <w:szCs w:val="21"/>
                    </w:rPr>
                  </w:pPr>
                  <w:r>
                    <w:rPr>
                      <w:rFonts w:hint="eastAsia" w:ascii="Times New Roman" w:hAnsi="Times New Roman"/>
                      <w:color w:val="auto"/>
                      <w:sz w:val="21"/>
                      <w:szCs w:val="21"/>
                    </w:rPr>
                    <w:t>油漆、胶</w:t>
                  </w:r>
                </w:p>
              </w:tc>
              <w:tc>
                <w:tcPr>
                  <w:tcW w:w="594" w:type="dxa"/>
                  <w:tcMar>
                    <w:top w:w="15" w:type="dxa"/>
                    <w:left w:w="15" w:type="dxa"/>
                    <w:bottom w:w="15" w:type="dxa"/>
                    <w:right w:w="15" w:type="dxa"/>
                  </w:tcMar>
                  <w:vAlign w:val="center"/>
                </w:tcPr>
                <w:p w14:paraId="0EE57635">
                  <w:pPr>
                    <w:adjustRightInd w:val="0"/>
                    <w:snapToGrid w:val="0"/>
                    <w:jc w:val="center"/>
                    <w:rPr>
                      <w:rFonts w:hint="eastAsia"/>
                      <w:bCs/>
                      <w:color w:val="auto"/>
                      <w:szCs w:val="21"/>
                    </w:rPr>
                  </w:pPr>
                  <w:r>
                    <w:rPr>
                      <w:rFonts w:hint="eastAsia"/>
                      <w:color w:val="auto"/>
                      <w:kern w:val="0"/>
                      <w:szCs w:val="21"/>
                    </w:rPr>
                    <w:t>油漆、胶</w:t>
                  </w:r>
                </w:p>
              </w:tc>
              <w:tc>
                <w:tcPr>
                  <w:tcW w:w="633" w:type="dxa"/>
                  <w:tcMar>
                    <w:top w:w="15" w:type="dxa"/>
                    <w:left w:w="15" w:type="dxa"/>
                    <w:bottom w:w="15" w:type="dxa"/>
                    <w:right w:w="15" w:type="dxa"/>
                  </w:tcMar>
                  <w:vAlign w:val="center"/>
                </w:tcPr>
                <w:p w14:paraId="35B005A6">
                  <w:pPr>
                    <w:adjustRightInd w:val="0"/>
                    <w:snapToGrid w:val="0"/>
                    <w:jc w:val="center"/>
                    <w:rPr>
                      <w:rFonts w:hint="eastAsia"/>
                      <w:bCs/>
                      <w:color w:val="auto"/>
                      <w:szCs w:val="21"/>
                    </w:rPr>
                  </w:pPr>
                  <w:r>
                    <w:rPr>
                      <w:rFonts w:hint="eastAsia"/>
                      <w:bCs/>
                      <w:color w:val="auto"/>
                      <w:szCs w:val="21"/>
                    </w:rPr>
                    <w:t>1a</w:t>
                  </w:r>
                </w:p>
              </w:tc>
              <w:tc>
                <w:tcPr>
                  <w:tcW w:w="846" w:type="dxa"/>
                  <w:tcMar>
                    <w:top w:w="15" w:type="dxa"/>
                    <w:left w:w="15" w:type="dxa"/>
                    <w:bottom w:w="15" w:type="dxa"/>
                    <w:right w:w="15" w:type="dxa"/>
                  </w:tcMar>
                  <w:vAlign w:val="center"/>
                </w:tcPr>
                <w:p w14:paraId="5E444443">
                  <w:pPr>
                    <w:adjustRightInd w:val="0"/>
                    <w:snapToGrid w:val="0"/>
                    <w:jc w:val="center"/>
                    <w:rPr>
                      <w:bCs/>
                      <w:color w:val="auto"/>
                      <w:szCs w:val="21"/>
                    </w:rPr>
                  </w:pPr>
                  <w:r>
                    <w:rPr>
                      <w:bCs/>
                      <w:color w:val="auto"/>
                      <w:szCs w:val="21"/>
                    </w:rPr>
                    <w:t>T</w:t>
                  </w:r>
                  <w:r>
                    <w:rPr>
                      <w:rFonts w:hint="eastAsia"/>
                      <w:bCs/>
                      <w:color w:val="auto"/>
                      <w:szCs w:val="21"/>
                      <w:lang w:val="en-US" w:eastAsia="zh-CN"/>
                    </w:rPr>
                    <w:t>/</w:t>
                  </w:r>
                  <w:r>
                    <w:rPr>
                      <w:rFonts w:hint="eastAsia"/>
                      <w:bCs/>
                      <w:color w:val="auto"/>
                      <w:szCs w:val="21"/>
                    </w:rPr>
                    <w:t>I</w:t>
                  </w:r>
                  <w:r>
                    <w:rPr>
                      <w:rFonts w:hint="eastAsia"/>
                      <w:bCs/>
                      <w:color w:val="auto"/>
                      <w:szCs w:val="21"/>
                      <w:lang w:val="en-US" w:eastAsia="zh-CN"/>
                    </w:rPr>
                    <w:t>n</w:t>
                  </w:r>
                </w:p>
              </w:tc>
              <w:tc>
                <w:tcPr>
                  <w:tcW w:w="861" w:type="dxa"/>
                  <w:tcMar>
                    <w:top w:w="15" w:type="dxa"/>
                    <w:left w:w="15" w:type="dxa"/>
                    <w:bottom w:w="15" w:type="dxa"/>
                    <w:right w:w="15" w:type="dxa"/>
                  </w:tcMar>
                  <w:vAlign w:val="center"/>
                </w:tcPr>
                <w:p w14:paraId="46755334">
                  <w:pPr>
                    <w:adjustRightInd w:val="0"/>
                    <w:snapToGrid w:val="0"/>
                    <w:jc w:val="center"/>
                    <w:rPr>
                      <w:bCs/>
                      <w:color w:val="auto"/>
                      <w:szCs w:val="21"/>
                    </w:rPr>
                  </w:pPr>
                  <w:r>
                    <w:rPr>
                      <w:rFonts w:hint="eastAsia"/>
                      <w:bCs/>
                      <w:color w:val="auto"/>
                      <w:szCs w:val="21"/>
                    </w:rPr>
                    <w:t>由厂家回收用于油漆或胶的盛装，少量破碎的暂存在危废暂存间，定期交由有资质的单位处理</w:t>
                  </w:r>
                </w:p>
              </w:tc>
            </w:tr>
          </w:tbl>
          <w:p w14:paraId="40AC2902">
            <w:pPr>
              <w:pStyle w:val="21"/>
              <w:adjustRightInd w:val="0"/>
              <w:snapToGrid w:val="0"/>
              <w:spacing w:before="0" w:beforeAutospacing="0" w:after="0" w:afterAutospacing="0" w:line="360" w:lineRule="auto"/>
              <w:ind w:firstLine="482" w:firstLineChars="200"/>
              <w:rPr>
                <w:rFonts w:hint="eastAsia" w:ascii="Times New Roman" w:hAnsi="Times New Roman"/>
                <w:b/>
                <w:bCs/>
                <w:color w:val="auto"/>
                <w:kern w:val="2"/>
                <w:szCs w:val="24"/>
              </w:rPr>
            </w:pPr>
            <w:r>
              <w:rPr>
                <w:rFonts w:hint="eastAsia" w:ascii="Times New Roman" w:hAnsi="Times New Roman"/>
                <w:b/>
                <w:bCs/>
                <w:color w:val="auto"/>
                <w:kern w:val="2"/>
                <w:szCs w:val="24"/>
              </w:rPr>
              <w:t>4.2 危险废物贮存及运输要求</w:t>
            </w:r>
          </w:p>
          <w:p w14:paraId="23D41C80">
            <w:pPr>
              <w:pStyle w:val="2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2" w:firstLineChars="200"/>
              <w:jc w:val="both"/>
              <w:textAlignment w:val="auto"/>
              <w:rPr>
                <w:rFonts w:hint="eastAsia" w:ascii="Times New Roman" w:hAnsi="Times New Roman"/>
                <w:b/>
                <w:bCs/>
                <w:color w:val="auto"/>
                <w:kern w:val="2"/>
                <w:szCs w:val="24"/>
                <w:u w:val="single"/>
              </w:rPr>
            </w:pPr>
            <w:r>
              <w:rPr>
                <w:rFonts w:hint="eastAsia" w:ascii="Times New Roman" w:hAnsi="Times New Roman"/>
                <w:b/>
                <w:bCs/>
                <w:color w:val="auto"/>
                <w:kern w:val="2"/>
                <w:szCs w:val="24"/>
                <w:u w:val="single"/>
                <w:lang w:val="en-US" w:eastAsia="zh-CN"/>
              </w:rPr>
              <w:t>项目产废周期多为1年，项目产废种类及产生量较少，且液态废物用密闭容器盛放，减少储存空间，及时清运，因此</w:t>
            </w:r>
            <w:r>
              <w:rPr>
                <w:rFonts w:hint="eastAsia" w:ascii="Times New Roman" w:hAnsi="Times New Roman"/>
                <w:b/>
                <w:bCs/>
                <w:color w:val="auto"/>
                <w:kern w:val="2"/>
                <w:szCs w:val="24"/>
                <w:u w:val="single"/>
              </w:rPr>
              <w:t>评价建议建设单位在</w:t>
            </w:r>
            <w:r>
              <w:rPr>
                <w:rFonts w:hint="eastAsia" w:ascii="Times New Roman" w:hAnsi="Times New Roman"/>
                <w:b/>
                <w:bCs/>
                <w:color w:val="auto"/>
                <w:kern w:val="2"/>
                <w:szCs w:val="24"/>
                <w:u w:val="single"/>
                <w:lang w:val="en-US" w:eastAsia="zh-CN"/>
              </w:rPr>
              <w:t>一车间西侧</w:t>
            </w:r>
            <w:r>
              <w:rPr>
                <w:rFonts w:hint="eastAsia" w:ascii="Times New Roman" w:hAnsi="Times New Roman"/>
                <w:b/>
                <w:bCs/>
                <w:color w:val="auto"/>
                <w:kern w:val="2"/>
                <w:szCs w:val="24"/>
                <w:u w:val="single"/>
              </w:rPr>
              <w:t>设置1座危废储存</w:t>
            </w:r>
            <w:r>
              <w:rPr>
                <w:rFonts w:hint="eastAsia" w:ascii="Times New Roman" w:hAnsi="Times New Roman"/>
                <w:b/>
                <w:bCs/>
                <w:color w:val="auto"/>
                <w:kern w:val="2"/>
                <w:szCs w:val="24"/>
                <w:highlight w:val="none"/>
                <w:u w:val="single"/>
              </w:rPr>
              <w:t>间（</w:t>
            </w:r>
            <w:r>
              <w:rPr>
                <w:rFonts w:hint="eastAsia" w:ascii="Times New Roman" w:hAnsi="Times New Roman"/>
                <w:b/>
                <w:bCs/>
                <w:color w:val="auto"/>
                <w:kern w:val="2"/>
                <w:szCs w:val="24"/>
                <w:highlight w:val="none"/>
                <w:u w:val="single"/>
                <w:lang w:val="en-US" w:eastAsia="zh-CN"/>
              </w:rPr>
              <w:t>10</w:t>
            </w:r>
            <w:r>
              <w:rPr>
                <w:rFonts w:hint="eastAsia" w:ascii="Times New Roman" w:hAnsi="Times New Roman"/>
                <w:b/>
                <w:bCs/>
                <w:color w:val="auto"/>
                <w:kern w:val="2"/>
                <w:szCs w:val="24"/>
                <w:highlight w:val="none"/>
                <w:u w:val="single"/>
              </w:rPr>
              <w:t>m</w:t>
            </w:r>
            <w:r>
              <w:rPr>
                <w:rFonts w:hint="eastAsia" w:ascii="Times New Roman" w:hAnsi="Times New Roman"/>
                <w:b/>
                <w:bCs/>
                <w:color w:val="auto"/>
                <w:kern w:val="2"/>
                <w:szCs w:val="24"/>
                <w:highlight w:val="none"/>
                <w:u w:val="single"/>
                <w:vertAlign w:val="superscript"/>
              </w:rPr>
              <w:t>2</w:t>
            </w:r>
            <w:r>
              <w:rPr>
                <w:rFonts w:hint="eastAsia" w:ascii="Times New Roman" w:hAnsi="Times New Roman"/>
                <w:b/>
                <w:bCs/>
                <w:color w:val="auto"/>
                <w:kern w:val="2"/>
                <w:szCs w:val="24"/>
                <w:highlight w:val="none"/>
                <w:u w:val="single"/>
              </w:rPr>
              <w:t>）</w:t>
            </w:r>
            <w:r>
              <w:rPr>
                <w:rFonts w:hint="eastAsia" w:ascii="Times New Roman" w:hAnsi="Times New Roman"/>
                <w:b/>
                <w:bCs/>
                <w:color w:val="auto"/>
                <w:kern w:val="2"/>
                <w:szCs w:val="24"/>
                <w:u w:val="single"/>
              </w:rPr>
              <w:t>，按照《危险废物贮存污染控制标准》（GB18597-2023）的规定进行收集，并对危废暂存间、容器和包装物设置危险废物识别标志，其管理应实行从固体废物的产生到处理、处置的全过程监督管理原则，包括对固体废物的产生、收集、运输、利用、贮存、处理、处置等环节，最终委托有资质的危废处置单位进行安全处置。</w:t>
            </w:r>
          </w:p>
          <w:p w14:paraId="48D11D15">
            <w:pPr>
              <w:pStyle w:val="21"/>
              <w:adjustRightInd w:val="0"/>
              <w:snapToGrid w:val="0"/>
              <w:spacing w:before="0" w:beforeAutospacing="0" w:after="0" w:afterAutospacing="0" w:line="360" w:lineRule="auto"/>
              <w:ind w:firstLine="480" w:firstLineChars="200"/>
              <w:rPr>
                <w:rFonts w:hint="eastAsia" w:ascii="Times New Roman" w:hAnsi="Times New Roman"/>
                <w:color w:val="auto"/>
                <w:kern w:val="2"/>
                <w:szCs w:val="24"/>
              </w:rPr>
            </w:pPr>
            <w:r>
              <w:rPr>
                <w:rFonts w:hint="eastAsia" w:ascii="Times New Roman" w:hAnsi="Times New Roman"/>
                <w:color w:val="auto"/>
                <w:kern w:val="2"/>
                <w:szCs w:val="24"/>
              </w:rPr>
              <w:t xml:space="preserve">根据《国家危险废物名录》（部令第15号，2021年1月1日实施），项目产生的危险废物均由有相应危废处置资质的单位回收处理。企业应加强对危废的临时存储和转运管理要求，防止发生污染事故，严格执行以下措施： </w:t>
            </w:r>
          </w:p>
          <w:p w14:paraId="69DD5097">
            <w:pPr>
              <w:pStyle w:val="21"/>
              <w:adjustRightInd w:val="0"/>
              <w:snapToGrid w:val="0"/>
              <w:spacing w:before="0" w:beforeAutospacing="0" w:after="0" w:afterAutospacing="0" w:line="360" w:lineRule="auto"/>
              <w:ind w:firstLine="480" w:firstLineChars="200"/>
              <w:rPr>
                <w:rFonts w:hint="eastAsia" w:ascii="Times New Roman" w:hAnsi="Times New Roman"/>
                <w:color w:val="auto"/>
                <w:kern w:val="2"/>
                <w:szCs w:val="24"/>
              </w:rPr>
            </w:pPr>
            <w:r>
              <w:rPr>
                <w:rFonts w:hint="eastAsia" w:ascii="Times New Roman" w:hAnsi="Times New Roman"/>
                <w:color w:val="auto"/>
                <w:kern w:val="2"/>
                <w:szCs w:val="24"/>
              </w:rPr>
              <w:t xml:space="preserve">（1）危险废物贮存容器 </w:t>
            </w:r>
          </w:p>
          <w:p w14:paraId="56E1F82F">
            <w:pPr>
              <w:pStyle w:val="21"/>
              <w:adjustRightInd w:val="0"/>
              <w:snapToGrid w:val="0"/>
              <w:spacing w:before="0" w:beforeAutospacing="0" w:after="0" w:afterAutospacing="0" w:line="360" w:lineRule="auto"/>
              <w:ind w:firstLine="480" w:firstLineChars="200"/>
              <w:rPr>
                <w:rFonts w:hint="eastAsia" w:ascii="Times New Roman" w:hAnsi="Times New Roman"/>
                <w:color w:val="auto"/>
                <w:kern w:val="2"/>
                <w:szCs w:val="24"/>
              </w:rPr>
            </w:pPr>
            <w:r>
              <w:rPr>
                <w:rFonts w:hint="eastAsia" w:ascii="Times New Roman" w:hAnsi="Times New Roman"/>
                <w:color w:val="auto"/>
                <w:kern w:val="2"/>
                <w:szCs w:val="24"/>
              </w:rPr>
              <w:t xml:space="preserve">①定期对所贮存的危险废物贮存设施进行检查，发现破损，应及时采取措施清理更换。 </w:t>
            </w:r>
          </w:p>
          <w:p w14:paraId="2618CEB1">
            <w:pPr>
              <w:pStyle w:val="21"/>
              <w:adjustRightInd w:val="0"/>
              <w:snapToGrid w:val="0"/>
              <w:spacing w:before="0" w:beforeAutospacing="0" w:after="0" w:afterAutospacing="0" w:line="360" w:lineRule="auto"/>
              <w:ind w:firstLine="480" w:firstLineChars="200"/>
              <w:rPr>
                <w:rFonts w:hint="eastAsia" w:ascii="Times New Roman" w:hAnsi="Times New Roman"/>
                <w:color w:val="auto"/>
                <w:kern w:val="2"/>
                <w:szCs w:val="24"/>
              </w:rPr>
            </w:pPr>
            <w:r>
              <w:rPr>
                <w:rFonts w:hint="eastAsia" w:ascii="Times New Roman" w:hAnsi="Times New Roman"/>
                <w:color w:val="auto"/>
                <w:kern w:val="2"/>
                <w:szCs w:val="24"/>
              </w:rPr>
              <w:t xml:space="preserve">②禁止将可能产生不良反应的不同物质一同存放。 </w:t>
            </w:r>
          </w:p>
          <w:p w14:paraId="36307E84">
            <w:pPr>
              <w:pStyle w:val="21"/>
              <w:adjustRightInd w:val="0"/>
              <w:snapToGrid w:val="0"/>
              <w:spacing w:before="0" w:beforeAutospacing="0" w:after="0" w:afterAutospacing="0" w:line="360" w:lineRule="auto"/>
              <w:ind w:firstLine="480" w:firstLineChars="200"/>
              <w:rPr>
                <w:rFonts w:hint="eastAsia" w:ascii="Times New Roman" w:hAnsi="Times New Roman"/>
                <w:color w:val="auto"/>
                <w:kern w:val="2"/>
                <w:szCs w:val="24"/>
              </w:rPr>
            </w:pPr>
            <w:r>
              <w:rPr>
                <w:rFonts w:hint="eastAsia" w:ascii="Times New Roman" w:hAnsi="Times New Roman"/>
                <w:color w:val="auto"/>
                <w:kern w:val="2"/>
                <w:szCs w:val="24"/>
              </w:rPr>
              <w:t xml:space="preserve">③无法装入常用容器的危险废物可用防漏胶袋等盛装。 </w:t>
            </w:r>
          </w:p>
          <w:p w14:paraId="25D3EF8B">
            <w:pPr>
              <w:pStyle w:val="21"/>
              <w:adjustRightInd w:val="0"/>
              <w:snapToGrid w:val="0"/>
              <w:spacing w:before="0" w:beforeAutospacing="0" w:after="0" w:afterAutospacing="0" w:line="360" w:lineRule="auto"/>
              <w:ind w:firstLine="480" w:firstLineChars="200"/>
              <w:rPr>
                <w:rFonts w:hint="eastAsia" w:ascii="Times New Roman" w:hAnsi="Times New Roman"/>
                <w:color w:val="auto"/>
                <w:kern w:val="2"/>
                <w:szCs w:val="24"/>
              </w:rPr>
            </w:pPr>
            <w:r>
              <w:rPr>
                <w:rFonts w:hint="eastAsia" w:ascii="Times New Roman" w:hAnsi="Times New Roman"/>
                <w:color w:val="auto"/>
                <w:kern w:val="2"/>
                <w:szCs w:val="24"/>
              </w:rPr>
              <w:t xml:space="preserve">④装载液体、半固体危险废物的容器内须留足够空间，容器顶部与液体表面之间保留100毫米以上的空间。 </w:t>
            </w:r>
          </w:p>
          <w:p w14:paraId="6A996647">
            <w:pPr>
              <w:pStyle w:val="21"/>
              <w:adjustRightInd w:val="0"/>
              <w:snapToGrid w:val="0"/>
              <w:spacing w:before="0" w:beforeAutospacing="0" w:after="0" w:afterAutospacing="0" w:line="360" w:lineRule="auto"/>
              <w:ind w:firstLine="480" w:firstLineChars="200"/>
              <w:jc w:val="both"/>
              <w:rPr>
                <w:rFonts w:hint="eastAsia" w:ascii="Times New Roman" w:hAnsi="Times New Roman"/>
                <w:color w:val="auto"/>
                <w:kern w:val="2"/>
                <w:szCs w:val="24"/>
              </w:rPr>
            </w:pPr>
            <w:r>
              <w:rPr>
                <w:rFonts w:hint="eastAsia" w:ascii="Times New Roman" w:hAnsi="Times New Roman"/>
                <w:color w:val="auto"/>
                <w:kern w:val="2"/>
                <w:szCs w:val="24"/>
              </w:rPr>
              <w:t xml:space="preserve">⑤盛装危险废物的容器上必须粘贴符合HJ1276-2022标准附录A所示的标签。 </w:t>
            </w:r>
          </w:p>
          <w:p w14:paraId="210B133F">
            <w:pPr>
              <w:pStyle w:val="21"/>
              <w:adjustRightInd w:val="0"/>
              <w:snapToGrid w:val="0"/>
              <w:spacing w:before="0" w:beforeAutospacing="0" w:after="0" w:afterAutospacing="0" w:line="360" w:lineRule="auto"/>
              <w:ind w:firstLine="480" w:firstLineChars="200"/>
              <w:rPr>
                <w:rFonts w:hint="eastAsia" w:ascii="Times New Roman" w:hAnsi="Times New Roman"/>
                <w:color w:val="auto"/>
                <w:kern w:val="2"/>
                <w:szCs w:val="24"/>
              </w:rPr>
            </w:pPr>
            <w:r>
              <w:rPr>
                <w:rFonts w:hint="eastAsia" w:ascii="Times New Roman" w:hAnsi="Times New Roman"/>
                <w:color w:val="auto"/>
                <w:kern w:val="2"/>
                <w:szCs w:val="24"/>
              </w:rPr>
              <w:t xml:space="preserve">（2）危险废物贮存设施建设要求 </w:t>
            </w:r>
          </w:p>
          <w:p w14:paraId="2817150D">
            <w:pPr>
              <w:pStyle w:val="21"/>
              <w:adjustRightInd w:val="0"/>
              <w:snapToGrid w:val="0"/>
              <w:spacing w:before="0" w:beforeAutospacing="0" w:after="0" w:afterAutospacing="0" w:line="360" w:lineRule="auto"/>
              <w:ind w:firstLine="480" w:firstLineChars="200"/>
              <w:jc w:val="both"/>
              <w:rPr>
                <w:rFonts w:hint="eastAsia" w:ascii="Times New Roman" w:hAnsi="Times New Roman"/>
                <w:color w:val="auto"/>
                <w:kern w:val="2"/>
                <w:szCs w:val="24"/>
              </w:rPr>
            </w:pPr>
            <w:r>
              <w:rPr>
                <w:rFonts w:hint="eastAsia" w:ascii="Times New Roman" w:hAnsi="Times New Roman"/>
                <w:color w:val="auto"/>
                <w:kern w:val="2"/>
                <w:szCs w:val="24"/>
              </w:rPr>
              <w:t xml:space="preserve">危险废物暂存间应按规定设置环境保护图形标志，并建立检查维护制度，严格执行《危险废物贮存污染控制标准》（GB18597-2023），做到防风、防晒、防雨、防漏、防渗、防腐以及其他环境污染防治措施，同时危险废物贮存应严格按照国家有关危险废物处置规范进行，具体要求如下： </w:t>
            </w:r>
          </w:p>
          <w:p w14:paraId="5DED9395">
            <w:pPr>
              <w:pStyle w:val="21"/>
              <w:adjustRightInd w:val="0"/>
              <w:snapToGrid w:val="0"/>
              <w:spacing w:before="0" w:beforeAutospacing="0" w:after="0" w:afterAutospacing="0" w:line="360" w:lineRule="auto"/>
              <w:ind w:firstLine="480" w:firstLineChars="200"/>
              <w:rPr>
                <w:rFonts w:hint="eastAsia" w:ascii="Times New Roman" w:hAnsi="Times New Roman"/>
                <w:color w:val="auto"/>
                <w:kern w:val="2"/>
                <w:szCs w:val="24"/>
              </w:rPr>
            </w:pPr>
            <w:r>
              <w:rPr>
                <w:rFonts w:hint="eastAsia" w:ascii="Times New Roman" w:hAnsi="Times New Roman"/>
                <w:color w:val="auto"/>
                <w:kern w:val="2"/>
                <w:szCs w:val="24"/>
              </w:rPr>
              <w:t>①危险废物暂存间基础必须防渗，渗透系数≤10</w:t>
            </w:r>
            <w:r>
              <w:rPr>
                <w:rFonts w:hint="eastAsia" w:ascii="Times New Roman" w:hAnsi="Times New Roman"/>
                <w:color w:val="auto"/>
                <w:kern w:val="2"/>
                <w:szCs w:val="24"/>
                <w:vertAlign w:val="superscript"/>
              </w:rPr>
              <w:t>-7</w:t>
            </w:r>
            <w:r>
              <w:rPr>
                <w:rFonts w:hint="eastAsia" w:ascii="Times New Roman" w:hAnsi="Times New Roman"/>
                <w:color w:val="auto"/>
                <w:kern w:val="2"/>
                <w:szCs w:val="24"/>
              </w:rPr>
              <w:t xml:space="preserve">cm/s； </w:t>
            </w:r>
          </w:p>
          <w:p w14:paraId="1FBED4FB">
            <w:pPr>
              <w:pStyle w:val="21"/>
              <w:adjustRightInd w:val="0"/>
              <w:snapToGrid w:val="0"/>
              <w:spacing w:before="0" w:beforeAutospacing="0" w:after="0" w:afterAutospacing="0" w:line="360" w:lineRule="auto"/>
              <w:ind w:firstLine="480" w:firstLineChars="200"/>
              <w:jc w:val="both"/>
              <w:rPr>
                <w:rFonts w:hint="eastAsia" w:ascii="Times New Roman" w:hAnsi="Times New Roman"/>
                <w:color w:val="auto"/>
                <w:kern w:val="2"/>
                <w:szCs w:val="24"/>
              </w:rPr>
            </w:pPr>
            <w:r>
              <w:rPr>
                <w:rFonts w:hint="eastAsia" w:ascii="Times New Roman" w:hAnsi="Times New Roman"/>
                <w:color w:val="auto"/>
                <w:kern w:val="2"/>
                <w:szCs w:val="24"/>
              </w:rPr>
              <w:t>②危险废物暂存间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ascii="Times New Roman" w:hAnsi="Times New Roman"/>
                <w:color w:val="auto"/>
                <w:kern w:val="2"/>
                <w:szCs w:val="24"/>
                <w:vertAlign w:val="superscript"/>
              </w:rPr>
              <w:t>-7</w:t>
            </w:r>
            <w:r>
              <w:rPr>
                <w:rFonts w:hint="eastAsia" w:ascii="Times New Roman" w:hAnsi="Times New Roman"/>
                <w:color w:val="auto"/>
                <w:kern w:val="2"/>
                <w:szCs w:val="24"/>
              </w:rPr>
              <w:t>cm/s），或至少2mm厚高密度聚乙烯膜等人工防渗材料（渗透系数不大于10</w:t>
            </w:r>
            <w:r>
              <w:rPr>
                <w:rFonts w:hint="eastAsia" w:ascii="Times New Roman" w:hAnsi="Times New Roman"/>
                <w:color w:val="auto"/>
                <w:kern w:val="2"/>
                <w:szCs w:val="24"/>
                <w:vertAlign w:val="superscript"/>
              </w:rPr>
              <w:t>-10</w:t>
            </w:r>
            <w:r>
              <w:rPr>
                <w:rFonts w:hint="eastAsia" w:ascii="Times New Roman" w:hAnsi="Times New Roman"/>
                <w:color w:val="auto"/>
                <w:kern w:val="2"/>
                <w:szCs w:val="24"/>
              </w:rPr>
              <w:t>cm/s），或其他防渗性能等效的材料。</w:t>
            </w:r>
          </w:p>
          <w:p w14:paraId="03F0E75E">
            <w:pPr>
              <w:pStyle w:val="21"/>
              <w:adjustRightInd w:val="0"/>
              <w:snapToGrid w:val="0"/>
              <w:spacing w:before="0" w:beforeAutospacing="0" w:after="0" w:afterAutospacing="0" w:line="360" w:lineRule="auto"/>
              <w:ind w:firstLine="480" w:firstLineChars="200"/>
              <w:jc w:val="both"/>
              <w:rPr>
                <w:rFonts w:hint="eastAsia" w:ascii="Times New Roman" w:hAnsi="Times New Roman"/>
                <w:color w:val="auto"/>
                <w:kern w:val="2"/>
                <w:szCs w:val="24"/>
              </w:rPr>
            </w:pPr>
            <w:r>
              <w:rPr>
                <w:rFonts w:hint="eastAsia" w:ascii="Times New Roman" w:hAnsi="Times New Roman"/>
                <w:color w:val="auto"/>
                <w:kern w:val="2"/>
                <w:szCs w:val="24"/>
              </w:rPr>
              <w:t xml:space="preserve">危险废物暂存间地面、裙脚要用坚固、防渗的材料建造，建筑材料必须与危险废物相容，衬里能够覆盖危险废物可能涉及到的范围，衬里材料与堆放危险废物相容； </w:t>
            </w:r>
          </w:p>
          <w:p w14:paraId="642EE0CE">
            <w:pPr>
              <w:pStyle w:val="21"/>
              <w:adjustRightInd w:val="0"/>
              <w:snapToGrid w:val="0"/>
              <w:spacing w:before="0" w:beforeAutospacing="0" w:after="0" w:afterAutospacing="0" w:line="360" w:lineRule="auto"/>
              <w:ind w:firstLine="480" w:firstLineChars="200"/>
              <w:jc w:val="both"/>
              <w:rPr>
                <w:rFonts w:hint="eastAsia" w:ascii="Times New Roman" w:hAnsi="Times New Roman"/>
                <w:color w:val="auto"/>
                <w:kern w:val="2"/>
                <w:szCs w:val="24"/>
              </w:rPr>
            </w:pPr>
            <w:r>
              <w:rPr>
                <w:rFonts w:hint="eastAsia" w:ascii="Times New Roman" w:hAnsi="Times New Roman"/>
                <w:color w:val="auto"/>
                <w:kern w:val="2"/>
                <w:szCs w:val="24"/>
              </w:rPr>
              <w:t xml:space="preserve">③做好危险废物情况的记录，记录上须注明危险废物的名称、来源、数量、特性、入库日期、废物出库日期及接收单位名称。危险废物的记录和货单在危险废物回取后应继续保留三年。 </w:t>
            </w:r>
          </w:p>
          <w:p w14:paraId="08382A81">
            <w:pPr>
              <w:pStyle w:val="21"/>
              <w:adjustRightInd w:val="0"/>
              <w:snapToGrid w:val="0"/>
              <w:spacing w:before="0" w:beforeAutospacing="0" w:after="0" w:afterAutospacing="0" w:line="360" w:lineRule="auto"/>
              <w:ind w:firstLine="480" w:firstLineChars="200"/>
              <w:jc w:val="both"/>
              <w:rPr>
                <w:rFonts w:hint="eastAsia" w:ascii="Times New Roman" w:hAnsi="Times New Roman"/>
                <w:color w:val="auto"/>
                <w:kern w:val="2"/>
                <w:szCs w:val="24"/>
              </w:rPr>
            </w:pPr>
            <w:r>
              <w:rPr>
                <w:rFonts w:hint="eastAsia" w:ascii="Times New Roman" w:hAnsi="Times New Roman"/>
                <w:color w:val="auto"/>
                <w:kern w:val="2"/>
                <w:szCs w:val="24"/>
              </w:rPr>
              <w:t xml:space="preserve">④危险废物贮存设施必须按HJ1276-2022的规定设置警示标志。危险废物贮存设施周围应设置围墙或其它防护栅栏。危险废物贮存设施应配备通讯设备、照明设施、安全防护服装及工具，并设有应急防护设施。危险废物贮存设施内清理出来的泄漏物，一律按危险废物处理。 </w:t>
            </w:r>
          </w:p>
          <w:p w14:paraId="07CCC50B">
            <w:pPr>
              <w:pStyle w:val="21"/>
              <w:adjustRightInd w:val="0"/>
              <w:snapToGrid w:val="0"/>
              <w:spacing w:before="0" w:beforeAutospacing="0" w:after="0" w:afterAutospacing="0" w:line="360" w:lineRule="auto"/>
              <w:ind w:firstLine="480" w:firstLineChars="200"/>
              <w:rPr>
                <w:rFonts w:hint="eastAsia" w:ascii="Times New Roman" w:hAnsi="Times New Roman"/>
                <w:color w:val="auto"/>
                <w:kern w:val="2"/>
                <w:szCs w:val="24"/>
              </w:rPr>
            </w:pPr>
            <w:r>
              <w:rPr>
                <w:rFonts w:hint="eastAsia" w:ascii="Times New Roman" w:hAnsi="Times New Roman"/>
                <w:color w:val="auto"/>
                <w:kern w:val="2"/>
                <w:szCs w:val="24"/>
              </w:rPr>
              <w:t>危废暂存间基本情况如下表。</w:t>
            </w:r>
          </w:p>
          <w:p w14:paraId="2A06A03D">
            <w:pPr>
              <w:pStyle w:val="46"/>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eastAsia" w:ascii="Times New Roman" w:hAnsi="Arial Unicode MS" w:eastAsia="宋体" w:cs="Times New Roman"/>
                <w:b/>
                <w:color w:val="auto"/>
                <w:kern w:val="2"/>
                <w:sz w:val="24"/>
                <w:szCs w:val="24"/>
                <w:lang w:val="en-US" w:eastAsia="zh-CN" w:bidi="ar-SA"/>
              </w:rPr>
            </w:pPr>
            <w:r>
              <w:rPr>
                <w:rFonts w:hint="eastAsia" w:ascii="Times New Roman" w:hAnsi="Arial Unicode MS" w:eastAsia="宋体" w:cs="Times New Roman"/>
                <w:b/>
                <w:color w:val="auto"/>
                <w:kern w:val="2"/>
                <w:sz w:val="24"/>
                <w:szCs w:val="24"/>
                <w:lang w:val="en-US" w:eastAsia="zh-CN" w:bidi="ar-SA"/>
              </w:rPr>
              <w:t>建设项目危险废物贮存场所（设施）基本情况</w:t>
            </w:r>
          </w:p>
          <w:tbl>
            <w:tblPr>
              <w:tblStyle w:val="25"/>
              <w:tblW w:w="86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2"/>
              <w:gridCol w:w="1433"/>
              <w:gridCol w:w="1334"/>
              <w:gridCol w:w="977"/>
              <w:gridCol w:w="1254"/>
              <w:gridCol w:w="789"/>
              <w:gridCol w:w="834"/>
              <w:gridCol w:w="803"/>
              <w:gridCol w:w="720"/>
            </w:tblGrid>
            <w:tr w14:paraId="6EDB1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dxa"/>
                  <w:vAlign w:val="center"/>
                </w:tcPr>
                <w:p w14:paraId="7BFBAA8C">
                  <w:pPr>
                    <w:pStyle w:val="21"/>
                    <w:adjustRightInd w:val="0"/>
                    <w:snapToGrid w:val="0"/>
                    <w:spacing w:before="0" w:beforeAutospacing="0" w:after="0" w:afterAutospacing="0"/>
                    <w:jc w:val="center"/>
                    <w:rPr>
                      <w:rFonts w:hint="eastAsia" w:ascii="Times New Roman" w:hAnsi="Times New Roman"/>
                      <w:b/>
                      <w:bCs/>
                      <w:color w:val="auto"/>
                      <w:sz w:val="21"/>
                      <w:szCs w:val="21"/>
                    </w:rPr>
                  </w:pPr>
                  <w:r>
                    <w:rPr>
                      <w:rFonts w:hint="eastAsia" w:ascii="Times New Roman" w:hAnsi="Times New Roman"/>
                      <w:b/>
                      <w:bCs/>
                      <w:color w:val="auto"/>
                      <w:sz w:val="21"/>
                      <w:szCs w:val="21"/>
                    </w:rPr>
                    <w:t>序号</w:t>
                  </w:r>
                </w:p>
              </w:tc>
              <w:tc>
                <w:tcPr>
                  <w:tcW w:w="1433" w:type="dxa"/>
                  <w:vAlign w:val="center"/>
                </w:tcPr>
                <w:p w14:paraId="402530D0">
                  <w:pPr>
                    <w:pStyle w:val="21"/>
                    <w:adjustRightInd w:val="0"/>
                    <w:snapToGrid w:val="0"/>
                    <w:spacing w:before="0" w:beforeAutospacing="0" w:after="0" w:afterAutospacing="0"/>
                    <w:jc w:val="center"/>
                    <w:rPr>
                      <w:rFonts w:hint="eastAsia" w:ascii="Times New Roman" w:hAnsi="Times New Roman"/>
                      <w:b/>
                      <w:bCs/>
                      <w:color w:val="auto"/>
                      <w:sz w:val="21"/>
                      <w:szCs w:val="21"/>
                    </w:rPr>
                  </w:pPr>
                  <w:r>
                    <w:rPr>
                      <w:rFonts w:hint="eastAsia" w:ascii="Times New Roman" w:hAnsi="Times New Roman"/>
                      <w:b/>
                      <w:bCs/>
                      <w:color w:val="auto"/>
                      <w:sz w:val="21"/>
                      <w:szCs w:val="21"/>
                    </w:rPr>
                    <w:t>贮存（场所）设施名称</w:t>
                  </w:r>
                </w:p>
              </w:tc>
              <w:tc>
                <w:tcPr>
                  <w:tcW w:w="1334" w:type="dxa"/>
                  <w:vAlign w:val="center"/>
                </w:tcPr>
                <w:p w14:paraId="0816F18E">
                  <w:pPr>
                    <w:pStyle w:val="21"/>
                    <w:adjustRightInd w:val="0"/>
                    <w:snapToGrid w:val="0"/>
                    <w:spacing w:before="0" w:beforeAutospacing="0" w:after="0" w:afterAutospacing="0"/>
                    <w:jc w:val="center"/>
                    <w:rPr>
                      <w:rFonts w:hint="eastAsia" w:ascii="Times New Roman" w:hAnsi="Times New Roman"/>
                      <w:b/>
                      <w:bCs/>
                      <w:color w:val="auto"/>
                      <w:sz w:val="21"/>
                      <w:szCs w:val="21"/>
                    </w:rPr>
                  </w:pPr>
                  <w:r>
                    <w:rPr>
                      <w:rFonts w:hint="eastAsia" w:ascii="Times New Roman" w:hAnsi="Times New Roman"/>
                      <w:b/>
                      <w:bCs/>
                      <w:color w:val="auto"/>
                      <w:sz w:val="21"/>
                      <w:szCs w:val="21"/>
                    </w:rPr>
                    <w:t>危险废物名称</w:t>
                  </w:r>
                </w:p>
              </w:tc>
              <w:tc>
                <w:tcPr>
                  <w:tcW w:w="977" w:type="dxa"/>
                  <w:vAlign w:val="center"/>
                </w:tcPr>
                <w:p w14:paraId="2D758B95">
                  <w:pPr>
                    <w:pStyle w:val="21"/>
                    <w:adjustRightInd w:val="0"/>
                    <w:snapToGrid w:val="0"/>
                    <w:spacing w:before="0" w:beforeAutospacing="0" w:after="0" w:afterAutospacing="0"/>
                    <w:jc w:val="center"/>
                    <w:rPr>
                      <w:rFonts w:hint="eastAsia" w:ascii="Times New Roman" w:hAnsi="Times New Roman"/>
                      <w:b/>
                      <w:bCs/>
                      <w:color w:val="auto"/>
                      <w:sz w:val="21"/>
                      <w:szCs w:val="21"/>
                    </w:rPr>
                  </w:pPr>
                  <w:r>
                    <w:rPr>
                      <w:rFonts w:hint="eastAsia" w:ascii="Times New Roman" w:hAnsi="Times New Roman"/>
                      <w:b/>
                      <w:bCs/>
                      <w:color w:val="auto"/>
                      <w:sz w:val="21"/>
                      <w:szCs w:val="21"/>
                    </w:rPr>
                    <w:t>危险废物类别</w:t>
                  </w:r>
                </w:p>
              </w:tc>
              <w:tc>
                <w:tcPr>
                  <w:tcW w:w="1254" w:type="dxa"/>
                  <w:vAlign w:val="center"/>
                </w:tcPr>
                <w:p w14:paraId="78C42F54">
                  <w:pPr>
                    <w:pStyle w:val="21"/>
                    <w:adjustRightInd w:val="0"/>
                    <w:snapToGrid w:val="0"/>
                    <w:spacing w:before="0" w:beforeAutospacing="0" w:after="0" w:afterAutospacing="0"/>
                    <w:jc w:val="center"/>
                    <w:rPr>
                      <w:rFonts w:hint="eastAsia" w:ascii="Times New Roman" w:hAnsi="Times New Roman"/>
                      <w:b/>
                      <w:bCs/>
                      <w:color w:val="auto"/>
                      <w:sz w:val="21"/>
                      <w:szCs w:val="21"/>
                    </w:rPr>
                  </w:pPr>
                  <w:r>
                    <w:rPr>
                      <w:rFonts w:hint="eastAsia" w:ascii="Times New Roman" w:hAnsi="Times New Roman"/>
                      <w:b/>
                      <w:bCs/>
                      <w:color w:val="auto"/>
                      <w:sz w:val="21"/>
                      <w:szCs w:val="21"/>
                    </w:rPr>
                    <w:t>危险废物代码</w:t>
                  </w:r>
                </w:p>
              </w:tc>
              <w:tc>
                <w:tcPr>
                  <w:tcW w:w="789" w:type="dxa"/>
                  <w:vAlign w:val="center"/>
                </w:tcPr>
                <w:p w14:paraId="6B65C27C">
                  <w:pPr>
                    <w:pStyle w:val="21"/>
                    <w:adjustRightInd w:val="0"/>
                    <w:snapToGrid w:val="0"/>
                    <w:spacing w:before="0" w:beforeAutospacing="0" w:after="0" w:afterAutospacing="0"/>
                    <w:jc w:val="center"/>
                    <w:rPr>
                      <w:rFonts w:hint="eastAsia" w:ascii="Times New Roman" w:hAnsi="Times New Roman"/>
                      <w:b/>
                      <w:bCs/>
                      <w:color w:val="auto"/>
                      <w:sz w:val="21"/>
                      <w:szCs w:val="21"/>
                    </w:rPr>
                  </w:pPr>
                  <w:r>
                    <w:rPr>
                      <w:rFonts w:hint="eastAsia" w:ascii="Times New Roman" w:hAnsi="Times New Roman"/>
                      <w:b/>
                      <w:bCs/>
                      <w:color w:val="auto"/>
                      <w:sz w:val="21"/>
                      <w:szCs w:val="21"/>
                    </w:rPr>
                    <w:t>占地面积</w:t>
                  </w:r>
                </w:p>
              </w:tc>
              <w:tc>
                <w:tcPr>
                  <w:tcW w:w="834" w:type="dxa"/>
                  <w:vAlign w:val="center"/>
                </w:tcPr>
                <w:p w14:paraId="29C4B3D0">
                  <w:pPr>
                    <w:pStyle w:val="21"/>
                    <w:adjustRightInd w:val="0"/>
                    <w:snapToGrid w:val="0"/>
                    <w:spacing w:before="0" w:beforeAutospacing="0" w:after="0" w:afterAutospacing="0"/>
                    <w:jc w:val="center"/>
                    <w:rPr>
                      <w:rFonts w:hint="eastAsia" w:ascii="Times New Roman" w:hAnsi="Times New Roman"/>
                      <w:b/>
                      <w:bCs/>
                      <w:color w:val="auto"/>
                      <w:sz w:val="21"/>
                      <w:szCs w:val="21"/>
                    </w:rPr>
                  </w:pPr>
                  <w:r>
                    <w:rPr>
                      <w:rFonts w:hint="eastAsia" w:ascii="Times New Roman" w:hAnsi="Times New Roman"/>
                      <w:b/>
                      <w:bCs/>
                      <w:color w:val="auto"/>
                      <w:sz w:val="21"/>
                      <w:szCs w:val="21"/>
                    </w:rPr>
                    <w:t>贮存方式</w:t>
                  </w:r>
                </w:p>
              </w:tc>
              <w:tc>
                <w:tcPr>
                  <w:tcW w:w="803" w:type="dxa"/>
                  <w:vAlign w:val="center"/>
                </w:tcPr>
                <w:p w14:paraId="3597A765">
                  <w:pPr>
                    <w:pStyle w:val="21"/>
                    <w:adjustRightInd w:val="0"/>
                    <w:snapToGrid w:val="0"/>
                    <w:spacing w:before="0" w:beforeAutospacing="0" w:after="0" w:afterAutospacing="0"/>
                    <w:jc w:val="center"/>
                    <w:rPr>
                      <w:rFonts w:hint="eastAsia" w:ascii="Times New Roman" w:hAnsi="Times New Roman"/>
                      <w:b/>
                      <w:bCs/>
                      <w:color w:val="auto"/>
                      <w:sz w:val="21"/>
                      <w:szCs w:val="21"/>
                    </w:rPr>
                  </w:pPr>
                  <w:r>
                    <w:rPr>
                      <w:rFonts w:hint="eastAsia" w:ascii="Times New Roman" w:hAnsi="Times New Roman"/>
                      <w:b/>
                      <w:bCs/>
                      <w:color w:val="auto"/>
                      <w:sz w:val="21"/>
                      <w:szCs w:val="21"/>
                    </w:rPr>
                    <w:t>贮存能力</w:t>
                  </w:r>
                </w:p>
              </w:tc>
              <w:tc>
                <w:tcPr>
                  <w:tcW w:w="720" w:type="dxa"/>
                  <w:vAlign w:val="center"/>
                </w:tcPr>
                <w:p w14:paraId="74116BAB">
                  <w:pPr>
                    <w:pStyle w:val="21"/>
                    <w:adjustRightInd w:val="0"/>
                    <w:snapToGrid w:val="0"/>
                    <w:spacing w:before="0" w:beforeAutospacing="0" w:after="0" w:afterAutospacing="0"/>
                    <w:jc w:val="center"/>
                    <w:rPr>
                      <w:rFonts w:hint="eastAsia" w:ascii="Times New Roman" w:hAnsi="Times New Roman"/>
                      <w:b/>
                      <w:bCs/>
                      <w:color w:val="auto"/>
                      <w:sz w:val="21"/>
                      <w:szCs w:val="21"/>
                    </w:rPr>
                  </w:pPr>
                  <w:r>
                    <w:rPr>
                      <w:rFonts w:hint="eastAsia" w:ascii="Times New Roman" w:hAnsi="Times New Roman"/>
                      <w:b/>
                      <w:bCs/>
                      <w:color w:val="auto"/>
                      <w:sz w:val="21"/>
                      <w:szCs w:val="21"/>
                    </w:rPr>
                    <w:t>贮存周期</w:t>
                  </w:r>
                </w:p>
              </w:tc>
            </w:tr>
            <w:tr w14:paraId="4D53B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dxa"/>
                  <w:vAlign w:val="center"/>
                </w:tcPr>
                <w:p w14:paraId="02E07203">
                  <w:pPr>
                    <w:pStyle w:val="21"/>
                    <w:adjustRightInd w:val="0"/>
                    <w:snapToGrid w:val="0"/>
                    <w:spacing w:before="0" w:beforeAutospacing="0" w:after="0" w:afterAutospacing="0"/>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w:t>
                  </w:r>
                </w:p>
              </w:tc>
              <w:tc>
                <w:tcPr>
                  <w:tcW w:w="1433" w:type="dxa"/>
                  <w:vMerge w:val="restart"/>
                  <w:vAlign w:val="center"/>
                </w:tcPr>
                <w:p w14:paraId="68E82183">
                  <w:pPr>
                    <w:pStyle w:val="21"/>
                    <w:adjustRightInd w:val="0"/>
                    <w:snapToGrid w:val="0"/>
                    <w:spacing w:before="0" w:beforeAutospacing="0" w:after="0" w:afterAutospacing="0"/>
                    <w:jc w:val="center"/>
                    <w:rPr>
                      <w:rFonts w:hint="eastAsia" w:ascii="Times New Roman" w:hAnsi="Times New Roman"/>
                      <w:color w:val="auto"/>
                      <w:sz w:val="21"/>
                      <w:szCs w:val="21"/>
                    </w:rPr>
                  </w:pPr>
                  <w:r>
                    <w:rPr>
                      <w:rFonts w:hint="eastAsia" w:ascii="Times New Roman" w:hAnsi="Times New Roman"/>
                      <w:color w:val="auto"/>
                      <w:sz w:val="21"/>
                      <w:szCs w:val="21"/>
                    </w:rPr>
                    <w:t>危废暂存间</w:t>
                  </w:r>
                </w:p>
              </w:tc>
              <w:tc>
                <w:tcPr>
                  <w:tcW w:w="1334" w:type="dxa"/>
                  <w:vAlign w:val="center"/>
                </w:tcPr>
                <w:p w14:paraId="139AAD60">
                  <w:pPr>
                    <w:pStyle w:val="21"/>
                    <w:snapToGrid w:val="0"/>
                    <w:spacing w:before="0" w:beforeAutospacing="0" w:after="0" w:afterAutospacing="0"/>
                    <w:jc w:val="center"/>
                    <w:rPr>
                      <w:rFonts w:hint="default" w:ascii="Times New Roman" w:hAnsi="Times New Roman" w:eastAsia="宋体"/>
                      <w:b/>
                      <w:bCs/>
                      <w:color w:val="auto"/>
                      <w:sz w:val="21"/>
                      <w:szCs w:val="21"/>
                      <w:u w:val="single"/>
                      <w:lang w:val="en-US" w:eastAsia="zh-CN"/>
                    </w:rPr>
                  </w:pPr>
                  <w:r>
                    <w:rPr>
                      <w:rFonts w:hint="eastAsia" w:ascii="Times New Roman" w:hAnsi="Times New Roman"/>
                      <w:b/>
                      <w:bCs/>
                      <w:color w:val="auto"/>
                      <w:sz w:val="21"/>
                      <w:szCs w:val="21"/>
                      <w:u w:val="single"/>
                      <w:lang w:val="en-US" w:eastAsia="zh-CN"/>
                    </w:rPr>
                    <w:t>油磨粉尘</w:t>
                  </w:r>
                </w:p>
              </w:tc>
              <w:tc>
                <w:tcPr>
                  <w:tcW w:w="977" w:type="dxa"/>
                  <w:vAlign w:val="center"/>
                </w:tcPr>
                <w:p w14:paraId="566C12D6">
                  <w:pPr>
                    <w:pStyle w:val="21"/>
                    <w:adjustRightInd w:val="0"/>
                    <w:snapToGrid w:val="0"/>
                    <w:spacing w:before="0" w:beforeAutospacing="0" w:after="0" w:afterAutospacing="0"/>
                    <w:jc w:val="center"/>
                    <w:rPr>
                      <w:rFonts w:hint="default" w:ascii="Times New Roman" w:hAnsi="Times New Roman" w:eastAsia="宋体"/>
                      <w:b/>
                      <w:bCs/>
                      <w:color w:val="auto"/>
                      <w:sz w:val="21"/>
                      <w:szCs w:val="21"/>
                      <w:u w:val="single"/>
                      <w:lang w:val="en-US" w:eastAsia="zh-CN"/>
                    </w:rPr>
                  </w:pPr>
                  <w:r>
                    <w:rPr>
                      <w:rFonts w:hint="eastAsia" w:ascii="Times New Roman" w:hAnsi="Times New Roman"/>
                      <w:b/>
                      <w:bCs/>
                      <w:color w:val="auto"/>
                      <w:sz w:val="21"/>
                      <w:szCs w:val="21"/>
                      <w:u w:val="single"/>
                      <w:lang w:val="en-US" w:eastAsia="zh-CN"/>
                    </w:rPr>
                    <w:t>HW12</w:t>
                  </w:r>
                </w:p>
              </w:tc>
              <w:tc>
                <w:tcPr>
                  <w:tcW w:w="1254" w:type="dxa"/>
                  <w:vAlign w:val="center"/>
                </w:tcPr>
                <w:p w14:paraId="3280D7F0">
                  <w:pPr>
                    <w:snapToGrid w:val="0"/>
                    <w:jc w:val="center"/>
                    <w:rPr>
                      <w:rFonts w:hint="default" w:eastAsia="宋体"/>
                      <w:b/>
                      <w:bCs/>
                      <w:color w:val="auto"/>
                      <w:kern w:val="0"/>
                      <w:szCs w:val="21"/>
                      <w:u w:val="single"/>
                      <w:lang w:val="en-US" w:eastAsia="zh-CN"/>
                    </w:rPr>
                  </w:pPr>
                  <w:r>
                    <w:rPr>
                      <w:rFonts w:hint="eastAsia"/>
                      <w:b/>
                      <w:bCs/>
                      <w:color w:val="auto"/>
                      <w:szCs w:val="21"/>
                      <w:u w:val="single"/>
                      <w:lang w:val="en-US" w:eastAsia="zh-CN"/>
                    </w:rPr>
                    <w:t>900-252-12</w:t>
                  </w:r>
                </w:p>
              </w:tc>
              <w:tc>
                <w:tcPr>
                  <w:tcW w:w="789" w:type="dxa"/>
                  <w:vMerge w:val="restart"/>
                  <w:vAlign w:val="center"/>
                </w:tcPr>
                <w:p w14:paraId="2DEF2A04">
                  <w:pPr>
                    <w:pStyle w:val="21"/>
                    <w:adjustRightInd w:val="0"/>
                    <w:snapToGrid w:val="0"/>
                    <w:spacing w:before="0" w:beforeAutospacing="0" w:after="0" w:afterAutospacing="0"/>
                    <w:jc w:val="center"/>
                    <w:rPr>
                      <w:rFonts w:ascii="Times New Roman" w:hAnsi="Times New Roman"/>
                      <w:color w:val="auto"/>
                      <w:sz w:val="21"/>
                      <w:szCs w:val="21"/>
                    </w:rPr>
                  </w:pPr>
                  <w:r>
                    <w:rPr>
                      <w:rFonts w:hint="eastAsia" w:ascii="Times New Roman" w:hAnsi="Times New Roman"/>
                      <w:color w:val="auto"/>
                      <w:sz w:val="21"/>
                      <w:szCs w:val="21"/>
                      <w:lang w:val="en-US" w:eastAsia="zh-CN"/>
                    </w:rPr>
                    <w:t>1</w:t>
                  </w:r>
                  <w:r>
                    <w:rPr>
                      <w:rFonts w:hint="eastAsia" w:ascii="Times New Roman" w:hAnsi="Times New Roman"/>
                      <w:color w:val="auto"/>
                      <w:sz w:val="21"/>
                      <w:szCs w:val="21"/>
                    </w:rPr>
                    <w:t>0</w:t>
                  </w:r>
                  <w:r>
                    <w:rPr>
                      <w:rFonts w:hint="eastAsia" w:ascii="Times New Roman" w:hAnsi="Times New Roman"/>
                      <w:color w:val="auto"/>
                      <w:sz w:val="21"/>
                      <w:szCs w:val="21"/>
                      <w:lang w:val="en-US" w:eastAsia="zh-CN"/>
                    </w:rPr>
                    <w:t>m</w:t>
                  </w:r>
                  <w:r>
                    <w:rPr>
                      <w:rFonts w:hint="eastAsia" w:ascii="Times New Roman" w:hAnsi="Times New Roman"/>
                      <w:color w:val="auto"/>
                      <w:sz w:val="21"/>
                      <w:szCs w:val="21"/>
                      <w:vertAlign w:val="superscript"/>
                      <w:lang w:val="en-US" w:eastAsia="zh-CN"/>
                    </w:rPr>
                    <w:t>2</w:t>
                  </w:r>
                  <w:r>
                    <w:rPr>
                      <w:rFonts w:hint="eastAsia" w:ascii="Times New Roman" w:hAnsi="Times New Roman"/>
                      <w:color w:val="auto"/>
                      <w:sz w:val="21"/>
                      <w:szCs w:val="21"/>
                      <w:vertAlign w:val="baseline"/>
                      <w:lang w:val="en-US" w:eastAsia="zh-CN"/>
                    </w:rPr>
                    <w:t>（一车间西侧）</w:t>
                  </w:r>
                </w:p>
              </w:tc>
              <w:tc>
                <w:tcPr>
                  <w:tcW w:w="834" w:type="dxa"/>
                  <w:vMerge w:val="restart"/>
                  <w:vAlign w:val="center"/>
                </w:tcPr>
                <w:p w14:paraId="5A8EC0BD">
                  <w:pPr>
                    <w:pStyle w:val="21"/>
                    <w:adjustRightInd w:val="0"/>
                    <w:snapToGrid w:val="0"/>
                    <w:spacing w:before="0" w:beforeAutospacing="0" w:after="0" w:afterAutospacing="0"/>
                    <w:jc w:val="center"/>
                    <w:rPr>
                      <w:rFonts w:hint="eastAsia" w:ascii="Times New Roman" w:hAnsi="Times New Roman"/>
                      <w:color w:val="auto"/>
                      <w:sz w:val="21"/>
                      <w:szCs w:val="21"/>
                    </w:rPr>
                  </w:pPr>
                  <w:r>
                    <w:rPr>
                      <w:rFonts w:hint="eastAsia" w:ascii="Times New Roman" w:hAnsi="Times New Roman"/>
                      <w:b/>
                      <w:bCs/>
                      <w:color w:val="auto"/>
                      <w:sz w:val="21"/>
                      <w:szCs w:val="21"/>
                      <w:u w:val="single"/>
                      <w:lang w:val="en-US" w:eastAsia="zh-CN"/>
                    </w:rPr>
                    <w:t>密封、</w:t>
                  </w:r>
                  <w:r>
                    <w:rPr>
                      <w:rFonts w:hint="eastAsia" w:ascii="Times New Roman" w:hAnsi="Times New Roman"/>
                      <w:color w:val="auto"/>
                      <w:sz w:val="21"/>
                      <w:szCs w:val="21"/>
                    </w:rPr>
                    <w:t>避光、防渗</w:t>
                  </w:r>
                </w:p>
              </w:tc>
              <w:tc>
                <w:tcPr>
                  <w:tcW w:w="803" w:type="dxa"/>
                  <w:vAlign w:val="center"/>
                </w:tcPr>
                <w:p w14:paraId="54B8C4FD">
                  <w:pPr>
                    <w:pStyle w:val="21"/>
                    <w:adjustRightInd w:val="0"/>
                    <w:snapToGrid w:val="0"/>
                    <w:spacing w:before="0" w:beforeAutospacing="0" w:after="0" w:afterAutospacing="0"/>
                    <w:jc w:val="center"/>
                    <w:rPr>
                      <w:rFonts w:hint="default" w:ascii="Times New Roman" w:hAnsi="Times New Roman" w:eastAsia="宋体"/>
                      <w:b/>
                      <w:bCs/>
                      <w:color w:val="auto"/>
                      <w:sz w:val="21"/>
                      <w:szCs w:val="21"/>
                      <w:u w:val="single"/>
                      <w:lang w:val="en-US" w:eastAsia="zh-CN"/>
                    </w:rPr>
                  </w:pPr>
                  <w:r>
                    <w:rPr>
                      <w:rFonts w:hint="eastAsia" w:ascii="Times New Roman" w:hAnsi="Times New Roman"/>
                      <w:b/>
                      <w:bCs/>
                      <w:color w:val="auto"/>
                      <w:sz w:val="21"/>
                      <w:szCs w:val="21"/>
                      <w:u w:val="single"/>
                      <w:lang w:val="en-US" w:eastAsia="zh-CN"/>
                    </w:rPr>
                    <w:t>2.5t</w:t>
                  </w:r>
                </w:p>
              </w:tc>
              <w:tc>
                <w:tcPr>
                  <w:tcW w:w="720" w:type="dxa"/>
                  <w:vAlign w:val="center"/>
                </w:tcPr>
                <w:p w14:paraId="79E22C79">
                  <w:pPr>
                    <w:pStyle w:val="21"/>
                    <w:adjustRightInd w:val="0"/>
                    <w:snapToGrid w:val="0"/>
                    <w:spacing w:before="0" w:beforeAutospacing="0" w:after="0" w:afterAutospacing="0"/>
                    <w:jc w:val="center"/>
                    <w:rPr>
                      <w:rFonts w:hint="default" w:ascii="Times New Roman" w:hAnsi="Times New Roman" w:eastAsia="宋体"/>
                      <w:b/>
                      <w:bCs/>
                      <w:color w:val="auto"/>
                      <w:sz w:val="21"/>
                      <w:szCs w:val="21"/>
                      <w:u w:val="single"/>
                      <w:lang w:val="en-US" w:eastAsia="zh-CN"/>
                    </w:rPr>
                  </w:pPr>
                  <w:r>
                    <w:rPr>
                      <w:rFonts w:hint="eastAsia" w:ascii="Times New Roman" w:hAnsi="Times New Roman"/>
                      <w:b/>
                      <w:bCs/>
                      <w:color w:val="auto"/>
                      <w:sz w:val="21"/>
                      <w:szCs w:val="21"/>
                      <w:u w:val="single"/>
                      <w:lang w:val="en-US" w:eastAsia="zh-CN"/>
                    </w:rPr>
                    <w:t>0.5a</w:t>
                  </w:r>
                </w:p>
              </w:tc>
            </w:tr>
            <w:tr w14:paraId="7FA60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dxa"/>
                  <w:vAlign w:val="center"/>
                </w:tcPr>
                <w:p w14:paraId="18C7EC43">
                  <w:pPr>
                    <w:pStyle w:val="21"/>
                    <w:adjustRightInd w:val="0"/>
                    <w:snapToGrid w:val="0"/>
                    <w:spacing w:before="0" w:beforeAutospacing="0" w:after="0" w:afterAutospacing="0"/>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val="en-US" w:eastAsia="zh-CN"/>
                    </w:rPr>
                    <w:t>2</w:t>
                  </w:r>
                </w:p>
              </w:tc>
              <w:tc>
                <w:tcPr>
                  <w:tcW w:w="1433" w:type="dxa"/>
                  <w:vMerge w:val="continue"/>
                  <w:vAlign w:val="center"/>
                </w:tcPr>
                <w:p w14:paraId="135589E0">
                  <w:pPr>
                    <w:pStyle w:val="21"/>
                    <w:adjustRightInd w:val="0"/>
                    <w:snapToGrid w:val="0"/>
                    <w:spacing w:before="0" w:beforeAutospacing="0" w:after="0" w:afterAutospacing="0"/>
                    <w:jc w:val="center"/>
                    <w:rPr>
                      <w:rFonts w:hint="eastAsia" w:ascii="Times New Roman" w:hAnsi="Times New Roman"/>
                      <w:color w:val="auto"/>
                      <w:sz w:val="21"/>
                      <w:szCs w:val="21"/>
                    </w:rPr>
                  </w:pPr>
                </w:p>
              </w:tc>
              <w:tc>
                <w:tcPr>
                  <w:tcW w:w="1334" w:type="dxa"/>
                  <w:vAlign w:val="center"/>
                </w:tcPr>
                <w:p w14:paraId="192EBB00">
                  <w:pPr>
                    <w:pStyle w:val="21"/>
                    <w:snapToGrid w:val="0"/>
                    <w:spacing w:before="0" w:beforeAutospacing="0" w:after="0" w:afterAutospacing="0"/>
                    <w:jc w:val="center"/>
                    <w:rPr>
                      <w:rFonts w:hint="eastAsia" w:ascii="Times New Roman" w:hAnsi="Times New Roman"/>
                      <w:color w:val="auto"/>
                      <w:sz w:val="21"/>
                      <w:szCs w:val="21"/>
                    </w:rPr>
                  </w:pPr>
                  <w:r>
                    <w:rPr>
                      <w:rFonts w:ascii="Times New Roman" w:hAnsi="Times New Roman"/>
                      <w:color w:val="auto"/>
                      <w:sz w:val="21"/>
                      <w:szCs w:val="21"/>
                    </w:rPr>
                    <w:t>废液压油</w:t>
                  </w:r>
                </w:p>
              </w:tc>
              <w:tc>
                <w:tcPr>
                  <w:tcW w:w="977" w:type="dxa"/>
                  <w:vAlign w:val="center"/>
                </w:tcPr>
                <w:p w14:paraId="2594DD52">
                  <w:pPr>
                    <w:pStyle w:val="21"/>
                    <w:adjustRightInd w:val="0"/>
                    <w:snapToGrid w:val="0"/>
                    <w:spacing w:before="0" w:beforeAutospacing="0" w:after="0" w:afterAutospacing="0"/>
                    <w:jc w:val="center"/>
                    <w:rPr>
                      <w:rFonts w:ascii="Times New Roman" w:hAnsi="Times New Roman"/>
                      <w:color w:val="auto"/>
                      <w:sz w:val="21"/>
                      <w:szCs w:val="21"/>
                    </w:rPr>
                  </w:pPr>
                  <w:r>
                    <w:rPr>
                      <w:rFonts w:hint="eastAsia" w:ascii="Times New Roman" w:hAnsi="Times New Roman"/>
                      <w:color w:val="auto"/>
                      <w:sz w:val="21"/>
                      <w:szCs w:val="21"/>
                    </w:rPr>
                    <w:t>HW08</w:t>
                  </w:r>
                </w:p>
              </w:tc>
              <w:tc>
                <w:tcPr>
                  <w:tcW w:w="1254" w:type="dxa"/>
                  <w:vAlign w:val="center"/>
                </w:tcPr>
                <w:p w14:paraId="600990B9">
                  <w:pPr>
                    <w:snapToGrid w:val="0"/>
                    <w:jc w:val="center"/>
                    <w:rPr>
                      <w:rFonts w:hint="eastAsia"/>
                      <w:b/>
                      <w:bCs/>
                      <w:color w:val="auto"/>
                      <w:szCs w:val="21"/>
                      <w:u w:val="single"/>
                    </w:rPr>
                  </w:pPr>
                  <w:r>
                    <w:rPr>
                      <w:b/>
                      <w:bCs/>
                      <w:color w:val="auto"/>
                      <w:kern w:val="0"/>
                      <w:szCs w:val="21"/>
                      <w:u w:val="single"/>
                    </w:rPr>
                    <w:t>900-218-08</w:t>
                  </w:r>
                </w:p>
              </w:tc>
              <w:tc>
                <w:tcPr>
                  <w:tcW w:w="789" w:type="dxa"/>
                  <w:vMerge w:val="continue"/>
                  <w:vAlign w:val="center"/>
                </w:tcPr>
                <w:p w14:paraId="0964F28F">
                  <w:pPr>
                    <w:pStyle w:val="21"/>
                    <w:adjustRightInd w:val="0"/>
                    <w:snapToGrid w:val="0"/>
                    <w:spacing w:before="0" w:beforeAutospacing="0" w:after="0" w:afterAutospacing="0"/>
                    <w:jc w:val="center"/>
                    <w:rPr>
                      <w:rFonts w:ascii="Times New Roman" w:hAnsi="Times New Roman"/>
                      <w:color w:val="auto"/>
                      <w:sz w:val="21"/>
                      <w:szCs w:val="21"/>
                    </w:rPr>
                  </w:pPr>
                </w:p>
              </w:tc>
              <w:tc>
                <w:tcPr>
                  <w:tcW w:w="834" w:type="dxa"/>
                  <w:vMerge w:val="continue"/>
                  <w:vAlign w:val="center"/>
                </w:tcPr>
                <w:p w14:paraId="31DA942C">
                  <w:pPr>
                    <w:pStyle w:val="21"/>
                    <w:adjustRightInd w:val="0"/>
                    <w:snapToGrid w:val="0"/>
                    <w:spacing w:before="0" w:beforeAutospacing="0" w:after="0" w:afterAutospacing="0"/>
                    <w:jc w:val="center"/>
                    <w:rPr>
                      <w:rFonts w:hint="eastAsia" w:ascii="Times New Roman" w:hAnsi="Times New Roman"/>
                      <w:color w:val="auto"/>
                      <w:sz w:val="21"/>
                      <w:szCs w:val="21"/>
                    </w:rPr>
                  </w:pPr>
                </w:p>
              </w:tc>
              <w:tc>
                <w:tcPr>
                  <w:tcW w:w="803" w:type="dxa"/>
                  <w:vAlign w:val="center"/>
                </w:tcPr>
                <w:p w14:paraId="36386FFB">
                  <w:pPr>
                    <w:pStyle w:val="21"/>
                    <w:adjustRightInd w:val="0"/>
                    <w:snapToGrid w:val="0"/>
                    <w:spacing w:before="0" w:beforeAutospacing="0" w:after="0" w:afterAutospacing="0"/>
                    <w:jc w:val="center"/>
                    <w:rPr>
                      <w:rFonts w:ascii="Times New Roman" w:hAnsi="Times New Roman"/>
                      <w:color w:val="auto"/>
                      <w:sz w:val="21"/>
                      <w:szCs w:val="21"/>
                    </w:rPr>
                  </w:pPr>
                  <w:r>
                    <w:rPr>
                      <w:rFonts w:hint="eastAsia" w:ascii="Times New Roman" w:hAnsi="Times New Roman"/>
                      <w:color w:val="auto"/>
                      <w:sz w:val="21"/>
                      <w:szCs w:val="21"/>
                    </w:rPr>
                    <w:t>2t</w:t>
                  </w:r>
                </w:p>
              </w:tc>
              <w:tc>
                <w:tcPr>
                  <w:tcW w:w="720" w:type="dxa"/>
                  <w:vAlign w:val="center"/>
                </w:tcPr>
                <w:p w14:paraId="709F3953">
                  <w:pPr>
                    <w:adjustRightInd w:val="0"/>
                    <w:snapToGrid w:val="0"/>
                    <w:spacing w:before="0" w:beforeAutospacing="0" w:after="0" w:afterAutospacing="0"/>
                    <w:jc w:val="center"/>
                    <w:rPr>
                      <w:rFonts w:ascii="Times New Roman" w:hAnsi="Times New Roman"/>
                      <w:color w:val="auto"/>
                      <w:sz w:val="21"/>
                      <w:szCs w:val="21"/>
                    </w:rPr>
                  </w:pPr>
                  <w:r>
                    <w:rPr>
                      <w:rFonts w:hint="eastAsia" w:ascii="Times New Roman" w:hAnsi="Times New Roman"/>
                      <w:b/>
                      <w:bCs/>
                      <w:color w:val="auto"/>
                      <w:sz w:val="21"/>
                      <w:szCs w:val="21"/>
                      <w:u w:val="single"/>
                      <w:lang w:val="en-US" w:eastAsia="zh-CN"/>
                    </w:rPr>
                    <w:t>0.5a</w:t>
                  </w:r>
                </w:p>
              </w:tc>
            </w:tr>
            <w:tr w14:paraId="76083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2" w:type="dxa"/>
                  <w:vAlign w:val="center"/>
                </w:tcPr>
                <w:p w14:paraId="0105AA66">
                  <w:pPr>
                    <w:pStyle w:val="21"/>
                    <w:adjustRightInd w:val="0"/>
                    <w:snapToGrid w:val="0"/>
                    <w:spacing w:before="0" w:beforeAutospacing="0" w:after="0" w:afterAutospacing="0"/>
                    <w:jc w:val="center"/>
                    <w:rPr>
                      <w:rFonts w:hint="eastAsia" w:ascii="Times New Roman" w:hAnsi="Times New Roman" w:eastAsia="宋体"/>
                      <w:color w:val="auto"/>
                      <w:kern w:val="0"/>
                      <w:sz w:val="21"/>
                      <w:szCs w:val="21"/>
                      <w:lang w:val="en-US" w:eastAsia="zh-CN" w:bidi="ar-SA"/>
                    </w:rPr>
                  </w:pPr>
                  <w:r>
                    <w:rPr>
                      <w:rFonts w:hint="eastAsia" w:ascii="Times New Roman" w:hAnsi="Times New Roman"/>
                      <w:color w:val="auto"/>
                      <w:sz w:val="21"/>
                      <w:szCs w:val="21"/>
                      <w:lang w:val="en-US" w:eastAsia="zh-CN"/>
                    </w:rPr>
                    <w:t>3</w:t>
                  </w:r>
                </w:p>
              </w:tc>
              <w:tc>
                <w:tcPr>
                  <w:tcW w:w="1433" w:type="dxa"/>
                  <w:vMerge w:val="continue"/>
                  <w:vAlign w:val="center"/>
                </w:tcPr>
                <w:p w14:paraId="7BB8D494">
                  <w:pPr>
                    <w:pStyle w:val="21"/>
                    <w:adjustRightInd w:val="0"/>
                    <w:snapToGrid w:val="0"/>
                    <w:spacing w:before="0" w:beforeAutospacing="0" w:after="0" w:afterAutospacing="0"/>
                    <w:jc w:val="center"/>
                    <w:rPr>
                      <w:rFonts w:hint="eastAsia" w:ascii="Times New Roman" w:hAnsi="Times New Roman"/>
                      <w:color w:val="auto"/>
                      <w:sz w:val="21"/>
                      <w:szCs w:val="21"/>
                    </w:rPr>
                  </w:pPr>
                </w:p>
              </w:tc>
              <w:tc>
                <w:tcPr>
                  <w:tcW w:w="1334" w:type="dxa"/>
                  <w:vAlign w:val="center"/>
                </w:tcPr>
                <w:p w14:paraId="31F82B9A">
                  <w:pPr>
                    <w:pStyle w:val="21"/>
                    <w:snapToGrid w:val="0"/>
                    <w:spacing w:before="0" w:beforeAutospacing="0" w:after="0" w:afterAutospacing="0"/>
                    <w:jc w:val="center"/>
                    <w:rPr>
                      <w:rFonts w:hint="default" w:ascii="Times New Roman" w:hAnsi="Times New Roman"/>
                      <w:color w:val="auto"/>
                      <w:kern w:val="2"/>
                      <w:sz w:val="21"/>
                      <w:szCs w:val="21"/>
                      <w:lang w:val="en-US" w:eastAsia="zh-CN" w:bidi="ar-SA"/>
                    </w:rPr>
                  </w:pPr>
                  <w:r>
                    <w:rPr>
                      <w:rFonts w:hint="eastAsia" w:ascii="Times New Roman" w:hAnsi="Times New Roman"/>
                      <w:color w:val="auto"/>
                      <w:kern w:val="2"/>
                      <w:sz w:val="21"/>
                      <w:szCs w:val="21"/>
                      <w:lang w:val="en-US" w:eastAsia="zh-CN" w:bidi="ar-SA"/>
                    </w:rPr>
                    <w:t>废机油</w:t>
                  </w:r>
                </w:p>
              </w:tc>
              <w:tc>
                <w:tcPr>
                  <w:tcW w:w="977" w:type="dxa"/>
                  <w:vAlign w:val="center"/>
                </w:tcPr>
                <w:p w14:paraId="2DB3584A">
                  <w:pPr>
                    <w:pStyle w:val="21"/>
                    <w:adjustRightInd w:val="0"/>
                    <w:snapToGrid w:val="0"/>
                    <w:spacing w:before="0" w:beforeAutospacing="0" w:after="0" w:afterAutospacing="0"/>
                    <w:jc w:val="center"/>
                    <w:rPr>
                      <w:rFonts w:hint="eastAsia" w:ascii="宋体" w:hAnsi="宋体"/>
                      <w:bCs/>
                      <w:color w:val="auto"/>
                      <w:kern w:val="0"/>
                      <w:sz w:val="21"/>
                      <w:szCs w:val="21"/>
                      <w:lang w:val="en-US" w:eastAsia="zh-CN" w:bidi="ar-SA"/>
                    </w:rPr>
                  </w:pPr>
                  <w:r>
                    <w:rPr>
                      <w:rFonts w:hint="eastAsia" w:ascii="Times New Roman" w:hAnsi="Times New Roman"/>
                      <w:color w:val="auto"/>
                      <w:sz w:val="21"/>
                      <w:szCs w:val="21"/>
                    </w:rPr>
                    <w:t>HW08</w:t>
                  </w:r>
                </w:p>
              </w:tc>
              <w:tc>
                <w:tcPr>
                  <w:tcW w:w="1254" w:type="dxa"/>
                  <w:vAlign w:val="center"/>
                </w:tcPr>
                <w:p w14:paraId="7580CAB3">
                  <w:pPr>
                    <w:snapToGrid w:val="0"/>
                    <w:jc w:val="center"/>
                    <w:rPr>
                      <w:rFonts w:hint="eastAsia"/>
                      <w:b/>
                      <w:bCs/>
                      <w:color w:val="auto"/>
                      <w:kern w:val="2"/>
                      <w:sz w:val="21"/>
                      <w:szCs w:val="21"/>
                      <w:u w:val="single"/>
                      <w:lang w:val="en-US" w:eastAsia="zh-CN" w:bidi="ar-SA"/>
                    </w:rPr>
                  </w:pPr>
                  <w:r>
                    <w:rPr>
                      <w:rFonts w:hint="eastAsia"/>
                      <w:b/>
                      <w:bCs/>
                      <w:color w:val="auto"/>
                      <w:kern w:val="0"/>
                      <w:szCs w:val="21"/>
                      <w:u w:val="single"/>
                    </w:rPr>
                    <w:t>900-249-08</w:t>
                  </w:r>
                </w:p>
              </w:tc>
              <w:tc>
                <w:tcPr>
                  <w:tcW w:w="789" w:type="dxa"/>
                  <w:vMerge w:val="continue"/>
                  <w:vAlign w:val="center"/>
                </w:tcPr>
                <w:p w14:paraId="42AAC805">
                  <w:pPr>
                    <w:pStyle w:val="21"/>
                    <w:adjustRightInd w:val="0"/>
                    <w:snapToGrid w:val="0"/>
                    <w:spacing w:before="0" w:beforeAutospacing="0" w:after="0" w:afterAutospacing="0"/>
                    <w:jc w:val="center"/>
                    <w:rPr>
                      <w:rFonts w:hint="eastAsia" w:ascii="Times New Roman" w:hAnsi="Times New Roman"/>
                      <w:color w:val="auto"/>
                      <w:sz w:val="21"/>
                      <w:szCs w:val="21"/>
                    </w:rPr>
                  </w:pPr>
                </w:p>
              </w:tc>
              <w:tc>
                <w:tcPr>
                  <w:tcW w:w="834" w:type="dxa"/>
                  <w:vMerge w:val="continue"/>
                  <w:vAlign w:val="center"/>
                </w:tcPr>
                <w:p w14:paraId="5DB70A15">
                  <w:pPr>
                    <w:pStyle w:val="21"/>
                    <w:adjustRightInd w:val="0"/>
                    <w:snapToGrid w:val="0"/>
                    <w:spacing w:before="0" w:beforeAutospacing="0" w:after="0" w:afterAutospacing="0"/>
                    <w:jc w:val="center"/>
                    <w:rPr>
                      <w:rFonts w:hint="eastAsia" w:ascii="Times New Roman" w:hAnsi="Times New Roman"/>
                      <w:color w:val="auto"/>
                      <w:sz w:val="21"/>
                      <w:szCs w:val="21"/>
                    </w:rPr>
                  </w:pPr>
                </w:p>
              </w:tc>
              <w:tc>
                <w:tcPr>
                  <w:tcW w:w="803" w:type="dxa"/>
                  <w:vAlign w:val="center"/>
                </w:tcPr>
                <w:p w14:paraId="718EC56C">
                  <w:pPr>
                    <w:widowControl/>
                    <w:adjustRightInd w:val="0"/>
                    <w:snapToGrid w:val="0"/>
                    <w:jc w:val="center"/>
                    <w:rPr>
                      <w:rFonts w:hint="default"/>
                      <w:color w:val="auto"/>
                      <w:kern w:val="2"/>
                      <w:sz w:val="21"/>
                      <w:szCs w:val="21"/>
                      <w:lang w:val="en-US" w:eastAsia="zh-CN" w:bidi="ar-SA"/>
                    </w:rPr>
                  </w:pPr>
                  <w:r>
                    <w:rPr>
                      <w:rFonts w:hint="eastAsia"/>
                      <w:color w:val="auto"/>
                      <w:szCs w:val="21"/>
                    </w:rPr>
                    <w:t>1t</w:t>
                  </w:r>
                </w:p>
              </w:tc>
              <w:tc>
                <w:tcPr>
                  <w:tcW w:w="720" w:type="dxa"/>
                  <w:vAlign w:val="center"/>
                </w:tcPr>
                <w:p w14:paraId="2856BD3F">
                  <w:pPr>
                    <w:adjustRightInd w:val="0"/>
                    <w:snapToGrid w:val="0"/>
                    <w:spacing w:before="0" w:beforeAutospacing="0" w:after="0" w:afterAutospacing="0"/>
                    <w:jc w:val="center"/>
                    <w:rPr>
                      <w:rFonts w:hint="default" w:ascii="Times New Roman" w:hAnsi="Times New Roman"/>
                      <w:color w:val="auto"/>
                      <w:kern w:val="0"/>
                      <w:sz w:val="21"/>
                      <w:szCs w:val="21"/>
                      <w:lang w:val="en-US" w:eastAsia="zh-CN" w:bidi="ar-SA"/>
                    </w:rPr>
                  </w:pPr>
                  <w:r>
                    <w:rPr>
                      <w:rFonts w:hint="eastAsia" w:ascii="Times New Roman" w:hAnsi="Times New Roman"/>
                      <w:b/>
                      <w:bCs/>
                      <w:color w:val="auto"/>
                      <w:sz w:val="21"/>
                      <w:szCs w:val="21"/>
                      <w:u w:val="single"/>
                      <w:lang w:val="en-US" w:eastAsia="zh-CN"/>
                    </w:rPr>
                    <w:t>0.5a</w:t>
                  </w:r>
                </w:p>
              </w:tc>
            </w:tr>
            <w:tr w14:paraId="10D73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dxa"/>
                  <w:vAlign w:val="center"/>
                </w:tcPr>
                <w:p w14:paraId="4DB7BE33">
                  <w:pPr>
                    <w:pStyle w:val="21"/>
                    <w:adjustRightInd w:val="0"/>
                    <w:snapToGrid w:val="0"/>
                    <w:spacing w:before="0" w:beforeAutospacing="0" w:after="0" w:afterAutospacing="0"/>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4</w:t>
                  </w:r>
                </w:p>
              </w:tc>
              <w:tc>
                <w:tcPr>
                  <w:tcW w:w="1433" w:type="dxa"/>
                  <w:vMerge w:val="continue"/>
                  <w:vAlign w:val="center"/>
                </w:tcPr>
                <w:p w14:paraId="52FDAF80">
                  <w:pPr>
                    <w:pStyle w:val="21"/>
                    <w:adjustRightInd w:val="0"/>
                    <w:snapToGrid w:val="0"/>
                    <w:spacing w:before="0" w:beforeAutospacing="0" w:after="0" w:afterAutospacing="0"/>
                    <w:jc w:val="center"/>
                    <w:rPr>
                      <w:rFonts w:hint="eastAsia" w:ascii="Times New Roman" w:hAnsi="Times New Roman"/>
                      <w:color w:val="auto"/>
                      <w:sz w:val="21"/>
                      <w:szCs w:val="21"/>
                    </w:rPr>
                  </w:pPr>
                </w:p>
              </w:tc>
              <w:tc>
                <w:tcPr>
                  <w:tcW w:w="1334" w:type="dxa"/>
                  <w:vAlign w:val="center"/>
                </w:tcPr>
                <w:p w14:paraId="4A18B4C8">
                  <w:pPr>
                    <w:pStyle w:val="21"/>
                    <w:snapToGrid w:val="0"/>
                    <w:spacing w:before="0" w:beforeAutospacing="0" w:after="0" w:afterAutospacing="0"/>
                    <w:jc w:val="center"/>
                    <w:rPr>
                      <w:rFonts w:hint="default" w:ascii="Times New Roman" w:hAnsi="Times New Roman"/>
                      <w:color w:val="auto"/>
                      <w:kern w:val="2"/>
                      <w:sz w:val="21"/>
                      <w:szCs w:val="21"/>
                      <w:lang w:val="en-US" w:eastAsia="zh-CN" w:bidi="ar-SA"/>
                    </w:rPr>
                  </w:pPr>
                  <w:r>
                    <w:rPr>
                      <w:rFonts w:hint="eastAsia" w:ascii="Times New Roman" w:hAnsi="Times New Roman"/>
                      <w:color w:val="auto"/>
                      <w:kern w:val="2"/>
                      <w:sz w:val="21"/>
                      <w:szCs w:val="21"/>
                      <w:lang w:val="en-US" w:eastAsia="zh-CN" w:bidi="ar-SA"/>
                    </w:rPr>
                    <w:t>废机油桶、废液压油桶</w:t>
                  </w:r>
                </w:p>
              </w:tc>
              <w:tc>
                <w:tcPr>
                  <w:tcW w:w="977" w:type="dxa"/>
                  <w:vAlign w:val="center"/>
                </w:tcPr>
                <w:p w14:paraId="7162069A">
                  <w:pPr>
                    <w:pStyle w:val="21"/>
                    <w:adjustRightInd w:val="0"/>
                    <w:snapToGrid w:val="0"/>
                    <w:spacing w:before="0" w:beforeAutospacing="0" w:after="0" w:afterAutospacing="0"/>
                    <w:jc w:val="center"/>
                    <w:rPr>
                      <w:rFonts w:hint="eastAsia" w:ascii="宋体" w:hAnsi="宋体" w:eastAsia="宋体" w:cs="Times New Roman"/>
                      <w:bCs/>
                      <w:color w:val="auto"/>
                      <w:kern w:val="0"/>
                      <w:sz w:val="21"/>
                      <w:szCs w:val="21"/>
                      <w:lang w:val="en-US" w:eastAsia="zh-CN" w:bidi="ar-SA"/>
                    </w:rPr>
                  </w:pPr>
                  <w:r>
                    <w:rPr>
                      <w:rFonts w:hint="eastAsia" w:ascii="Times New Roman" w:hAnsi="Times New Roman"/>
                      <w:color w:val="auto"/>
                      <w:sz w:val="21"/>
                      <w:szCs w:val="21"/>
                    </w:rPr>
                    <w:t>HW08</w:t>
                  </w:r>
                </w:p>
              </w:tc>
              <w:tc>
                <w:tcPr>
                  <w:tcW w:w="1254" w:type="dxa"/>
                  <w:vAlign w:val="center"/>
                </w:tcPr>
                <w:p w14:paraId="093C52BD">
                  <w:pPr>
                    <w:snapToGrid w:val="0"/>
                    <w:jc w:val="center"/>
                    <w:rPr>
                      <w:rFonts w:hint="eastAsia" w:ascii="Times New Roman" w:hAnsi="Times New Roman" w:eastAsia="宋体" w:cs="Times New Roman"/>
                      <w:b/>
                      <w:bCs/>
                      <w:color w:val="auto"/>
                      <w:kern w:val="2"/>
                      <w:sz w:val="21"/>
                      <w:szCs w:val="21"/>
                      <w:u w:val="single"/>
                      <w:lang w:val="en-US" w:eastAsia="zh-CN" w:bidi="ar-SA"/>
                    </w:rPr>
                  </w:pPr>
                  <w:r>
                    <w:rPr>
                      <w:rFonts w:hint="eastAsia"/>
                      <w:b/>
                      <w:bCs/>
                      <w:color w:val="auto"/>
                      <w:kern w:val="0"/>
                      <w:szCs w:val="21"/>
                      <w:u w:val="single"/>
                    </w:rPr>
                    <w:t>900-249-08</w:t>
                  </w:r>
                </w:p>
              </w:tc>
              <w:tc>
                <w:tcPr>
                  <w:tcW w:w="789" w:type="dxa"/>
                  <w:vMerge w:val="continue"/>
                  <w:vAlign w:val="center"/>
                </w:tcPr>
                <w:p w14:paraId="79E9E652">
                  <w:pPr>
                    <w:pStyle w:val="21"/>
                    <w:adjustRightInd w:val="0"/>
                    <w:snapToGrid w:val="0"/>
                    <w:spacing w:before="0" w:beforeAutospacing="0" w:after="0" w:afterAutospacing="0"/>
                    <w:jc w:val="center"/>
                    <w:rPr>
                      <w:rFonts w:hint="eastAsia" w:ascii="Times New Roman" w:hAnsi="Times New Roman"/>
                      <w:color w:val="auto"/>
                      <w:sz w:val="21"/>
                      <w:szCs w:val="21"/>
                    </w:rPr>
                  </w:pPr>
                </w:p>
              </w:tc>
              <w:tc>
                <w:tcPr>
                  <w:tcW w:w="834" w:type="dxa"/>
                  <w:vMerge w:val="continue"/>
                  <w:vAlign w:val="center"/>
                </w:tcPr>
                <w:p w14:paraId="3B206ECD">
                  <w:pPr>
                    <w:pStyle w:val="21"/>
                    <w:adjustRightInd w:val="0"/>
                    <w:snapToGrid w:val="0"/>
                    <w:spacing w:before="0" w:beforeAutospacing="0" w:after="0" w:afterAutospacing="0"/>
                    <w:jc w:val="center"/>
                    <w:rPr>
                      <w:rFonts w:hint="eastAsia" w:ascii="Times New Roman" w:hAnsi="Times New Roman"/>
                      <w:color w:val="auto"/>
                      <w:sz w:val="21"/>
                      <w:szCs w:val="21"/>
                    </w:rPr>
                  </w:pPr>
                </w:p>
              </w:tc>
              <w:tc>
                <w:tcPr>
                  <w:tcW w:w="803" w:type="dxa"/>
                  <w:vAlign w:val="center"/>
                </w:tcPr>
                <w:p w14:paraId="5E5CFA07">
                  <w:pPr>
                    <w:widowControl/>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1t</w:t>
                  </w:r>
                </w:p>
              </w:tc>
              <w:tc>
                <w:tcPr>
                  <w:tcW w:w="720" w:type="dxa"/>
                  <w:vAlign w:val="center"/>
                </w:tcPr>
                <w:p w14:paraId="61660A51">
                  <w:pPr>
                    <w:adjustRightInd w:val="0"/>
                    <w:snapToGrid w:val="0"/>
                    <w:spacing w:before="0" w:beforeAutospacing="0" w:after="0" w:afterAutospacing="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b/>
                      <w:bCs/>
                      <w:color w:val="auto"/>
                      <w:sz w:val="21"/>
                      <w:szCs w:val="21"/>
                      <w:u w:val="single"/>
                      <w:lang w:val="en-US" w:eastAsia="zh-CN"/>
                    </w:rPr>
                    <w:t>0.5a</w:t>
                  </w:r>
                </w:p>
              </w:tc>
            </w:tr>
            <w:tr w14:paraId="4B676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dxa"/>
                  <w:vAlign w:val="center"/>
                </w:tcPr>
                <w:p w14:paraId="78297A78">
                  <w:pPr>
                    <w:pStyle w:val="21"/>
                    <w:adjustRightInd w:val="0"/>
                    <w:snapToGrid w:val="0"/>
                    <w:spacing w:before="0" w:beforeAutospacing="0" w:after="0" w:afterAutospacing="0"/>
                    <w:jc w:val="center"/>
                    <w:rPr>
                      <w:rFonts w:hint="eastAsia" w:ascii="Times New Roman" w:hAnsi="Times New Roman" w:eastAsia="宋体"/>
                      <w:color w:val="auto"/>
                      <w:kern w:val="0"/>
                      <w:sz w:val="21"/>
                      <w:szCs w:val="21"/>
                      <w:lang w:val="en-US" w:eastAsia="zh-CN" w:bidi="ar-SA"/>
                    </w:rPr>
                  </w:pPr>
                  <w:r>
                    <w:rPr>
                      <w:rFonts w:hint="eastAsia" w:ascii="Times New Roman" w:hAnsi="Times New Roman"/>
                      <w:color w:val="auto"/>
                      <w:sz w:val="21"/>
                      <w:szCs w:val="21"/>
                      <w:lang w:val="en-US" w:eastAsia="zh-CN"/>
                    </w:rPr>
                    <w:t>5</w:t>
                  </w:r>
                </w:p>
              </w:tc>
              <w:tc>
                <w:tcPr>
                  <w:tcW w:w="1433" w:type="dxa"/>
                  <w:vMerge w:val="continue"/>
                  <w:vAlign w:val="center"/>
                </w:tcPr>
                <w:p w14:paraId="079C7EC4">
                  <w:pPr>
                    <w:pStyle w:val="21"/>
                    <w:adjustRightInd w:val="0"/>
                    <w:snapToGrid w:val="0"/>
                    <w:spacing w:before="0" w:beforeAutospacing="0" w:after="0" w:afterAutospacing="0"/>
                    <w:jc w:val="center"/>
                    <w:rPr>
                      <w:rFonts w:hint="eastAsia" w:ascii="Times New Roman" w:hAnsi="Times New Roman"/>
                      <w:color w:val="auto"/>
                      <w:sz w:val="21"/>
                      <w:szCs w:val="21"/>
                    </w:rPr>
                  </w:pPr>
                </w:p>
              </w:tc>
              <w:tc>
                <w:tcPr>
                  <w:tcW w:w="1334" w:type="dxa"/>
                  <w:vAlign w:val="center"/>
                </w:tcPr>
                <w:p w14:paraId="516AA505">
                  <w:pPr>
                    <w:pStyle w:val="21"/>
                    <w:snapToGrid w:val="0"/>
                    <w:spacing w:before="0" w:beforeAutospacing="0" w:after="0" w:afterAutospacing="0"/>
                    <w:jc w:val="center"/>
                    <w:rPr>
                      <w:rFonts w:hint="eastAsia"/>
                      <w:color w:val="auto"/>
                      <w:kern w:val="2"/>
                      <w:sz w:val="21"/>
                      <w:szCs w:val="21"/>
                      <w:lang w:val="en-US" w:eastAsia="zh-CN" w:bidi="ar-SA"/>
                    </w:rPr>
                  </w:pPr>
                  <w:r>
                    <w:rPr>
                      <w:rFonts w:ascii="Times New Roman" w:hAnsi="Times New Roman"/>
                      <w:color w:val="auto"/>
                      <w:sz w:val="21"/>
                      <w:szCs w:val="21"/>
                    </w:rPr>
                    <w:t>废过滤棉</w:t>
                  </w:r>
                </w:p>
              </w:tc>
              <w:tc>
                <w:tcPr>
                  <w:tcW w:w="977" w:type="dxa"/>
                  <w:vAlign w:val="center"/>
                </w:tcPr>
                <w:p w14:paraId="2970892A">
                  <w:pPr>
                    <w:pStyle w:val="21"/>
                    <w:adjustRightInd w:val="0"/>
                    <w:snapToGrid w:val="0"/>
                    <w:spacing w:before="0" w:beforeAutospacing="0" w:after="0" w:afterAutospacing="0"/>
                    <w:jc w:val="center"/>
                    <w:rPr>
                      <w:rFonts w:hint="eastAsia" w:ascii="Times New Roman" w:hAnsi="Times New Roman"/>
                      <w:color w:val="auto"/>
                      <w:kern w:val="0"/>
                      <w:sz w:val="21"/>
                      <w:szCs w:val="21"/>
                      <w:lang w:val="en-US" w:eastAsia="zh-CN" w:bidi="ar-SA"/>
                    </w:rPr>
                  </w:pPr>
                  <w:r>
                    <w:rPr>
                      <w:rFonts w:hint="eastAsia" w:ascii="Times New Roman" w:hAnsi="Times New Roman"/>
                      <w:color w:val="auto"/>
                      <w:sz w:val="21"/>
                      <w:szCs w:val="21"/>
                    </w:rPr>
                    <w:t xml:space="preserve">HW49 </w:t>
                  </w:r>
                </w:p>
              </w:tc>
              <w:tc>
                <w:tcPr>
                  <w:tcW w:w="1254" w:type="dxa"/>
                  <w:vAlign w:val="center"/>
                </w:tcPr>
                <w:p w14:paraId="7E1453AD">
                  <w:pPr>
                    <w:snapToGrid w:val="0"/>
                    <w:jc w:val="center"/>
                    <w:rPr>
                      <w:rFonts w:hint="eastAsia"/>
                      <w:b/>
                      <w:bCs/>
                      <w:color w:val="auto"/>
                      <w:kern w:val="2"/>
                      <w:sz w:val="21"/>
                      <w:szCs w:val="21"/>
                      <w:u w:val="single"/>
                      <w:lang w:val="en-US" w:eastAsia="zh-CN" w:bidi="ar-SA"/>
                    </w:rPr>
                  </w:pPr>
                  <w:r>
                    <w:rPr>
                      <w:b/>
                      <w:bCs/>
                      <w:color w:val="auto"/>
                      <w:kern w:val="0"/>
                      <w:szCs w:val="21"/>
                      <w:u w:val="single"/>
                    </w:rPr>
                    <w:t>900-041-49</w:t>
                  </w:r>
                </w:p>
              </w:tc>
              <w:tc>
                <w:tcPr>
                  <w:tcW w:w="789" w:type="dxa"/>
                  <w:vMerge w:val="continue"/>
                  <w:vAlign w:val="center"/>
                </w:tcPr>
                <w:p w14:paraId="7056B927">
                  <w:pPr>
                    <w:pStyle w:val="21"/>
                    <w:adjustRightInd w:val="0"/>
                    <w:snapToGrid w:val="0"/>
                    <w:spacing w:before="0" w:beforeAutospacing="0" w:after="0" w:afterAutospacing="0"/>
                    <w:jc w:val="center"/>
                    <w:rPr>
                      <w:rFonts w:ascii="Times New Roman" w:hAnsi="Times New Roman"/>
                      <w:color w:val="auto"/>
                      <w:sz w:val="21"/>
                      <w:szCs w:val="21"/>
                    </w:rPr>
                  </w:pPr>
                </w:p>
              </w:tc>
              <w:tc>
                <w:tcPr>
                  <w:tcW w:w="834" w:type="dxa"/>
                  <w:vMerge w:val="continue"/>
                  <w:vAlign w:val="center"/>
                </w:tcPr>
                <w:p w14:paraId="54C94BDB">
                  <w:pPr>
                    <w:pStyle w:val="21"/>
                    <w:adjustRightInd w:val="0"/>
                    <w:snapToGrid w:val="0"/>
                    <w:spacing w:before="0" w:beforeAutospacing="0" w:after="0" w:afterAutospacing="0"/>
                    <w:jc w:val="center"/>
                    <w:rPr>
                      <w:rFonts w:hint="eastAsia" w:ascii="Times New Roman" w:hAnsi="Times New Roman"/>
                      <w:color w:val="auto"/>
                      <w:sz w:val="21"/>
                      <w:szCs w:val="21"/>
                    </w:rPr>
                  </w:pPr>
                </w:p>
              </w:tc>
              <w:tc>
                <w:tcPr>
                  <w:tcW w:w="803" w:type="dxa"/>
                  <w:vAlign w:val="center"/>
                </w:tcPr>
                <w:p w14:paraId="328C403A">
                  <w:pPr>
                    <w:widowControl/>
                    <w:adjustRightInd w:val="0"/>
                    <w:snapToGrid w:val="0"/>
                    <w:jc w:val="center"/>
                    <w:rPr>
                      <w:rFonts w:hint="eastAsia"/>
                      <w:color w:val="auto"/>
                      <w:kern w:val="2"/>
                      <w:sz w:val="21"/>
                      <w:szCs w:val="21"/>
                      <w:lang w:val="en-US" w:eastAsia="zh-CN" w:bidi="ar-SA"/>
                    </w:rPr>
                  </w:pPr>
                  <w:r>
                    <w:rPr>
                      <w:rFonts w:hint="eastAsia"/>
                      <w:color w:val="auto"/>
                      <w:szCs w:val="21"/>
                    </w:rPr>
                    <w:t>1t</w:t>
                  </w:r>
                </w:p>
              </w:tc>
              <w:tc>
                <w:tcPr>
                  <w:tcW w:w="720" w:type="dxa"/>
                  <w:vAlign w:val="center"/>
                </w:tcPr>
                <w:p w14:paraId="5B7F1D9E">
                  <w:pPr>
                    <w:adjustRightInd w:val="0"/>
                    <w:snapToGrid w:val="0"/>
                    <w:spacing w:before="0" w:beforeAutospacing="0" w:after="0" w:afterAutospacing="0"/>
                    <w:jc w:val="center"/>
                    <w:rPr>
                      <w:rFonts w:hint="eastAsia" w:ascii="Times New Roman" w:hAnsi="Times New Roman"/>
                      <w:color w:val="auto"/>
                      <w:kern w:val="0"/>
                      <w:sz w:val="21"/>
                      <w:szCs w:val="21"/>
                      <w:lang w:val="en-US" w:eastAsia="zh-CN" w:bidi="ar-SA"/>
                    </w:rPr>
                  </w:pPr>
                  <w:r>
                    <w:rPr>
                      <w:rFonts w:hint="eastAsia" w:ascii="Times New Roman" w:hAnsi="Times New Roman"/>
                      <w:b/>
                      <w:bCs/>
                      <w:color w:val="auto"/>
                      <w:sz w:val="21"/>
                      <w:szCs w:val="21"/>
                      <w:u w:val="single"/>
                      <w:lang w:val="en-US" w:eastAsia="zh-CN"/>
                    </w:rPr>
                    <w:t>0.5a</w:t>
                  </w:r>
                </w:p>
              </w:tc>
            </w:tr>
            <w:tr w14:paraId="07889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2" w:type="dxa"/>
                  <w:vAlign w:val="center"/>
                </w:tcPr>
                <w:p w14:paraId="7A0B75D3">
                  <w:pPr>
                    <w:pStyle w:val="21"/>
                    <w:adjustRightInd w:val="0"/>
                    <w:snapToGrid w:val="0"/>
                    <w:spacing w:before="0" w:beforeAutospacing="0" w:after="0" w:afterAutospacing="0"/>
                    <w:jc w:val="center"/>
                    <w:rPr>
                      <w:rFonts w:hint="eastAsia" w:ascii="Times New Roman" w:hAnsi="Times New Roman" w:eastAsia="宋体"/>
                      <w:color w:val="auto"/>
                      <w:kern w:val="0"/>
                      <w:sz w:val="21"/>
                      <w:szCs w:val="21"/>
                      <w:lang w:val="en-US" w:eastAsia="zh-CN" w:bidi="ar-SA"/>
                    </w:rPr>
                  </w:pPr>
                  <w:r>
                    <w:rPr>
                      <w:rFonts w:hint="eastAsia" w:ascii="Times New Roman" w:hAnsi="Times New Roman"/>
                      <w:color w:val="auto"/>
                      <w:sz w:val="21"/>
                      <w:szCs w:val="21"/>
                      <w:lang w:val="en-US" w:eastAsia="zh-CN"/>
                    </w:rPr>
                    <w:t>6</w:t>
                  </w:r>
                </w:p>
              </w:tc>
              <w:tc>
                <w:tcPr>
                  <w:tcW w:w="1433" w:type="dxa"/>
                  <w:vMerge w:val="continue"/>
                  <w:vAlign w:val="center"/>
                </w:tcPr>
                <w:p w14:paraId="14FDD909">
                  <w:pPr>
                    <w:pStyle w:val="21"/>
                    <w:adjustRightInd w:val="0"/>
                    <w:snapToGrid w:val="0"/>
                    <w:spacing w:before="0" w:beforeAutospacing="0" w:after="0" w:afterAutospacing="0"/>
                    <w:jc w:val="center"/>
                    <w:rPr>
                      <w:rFonts w:hint="eastAsia" w:ascii="Times New Roman" w:hAnsi="Times New Roman"/>
                      <w:color w:val="auto"/>
                      <w:sz w:val="21"/>
                      <w:szCs w:val="21"/>
                    </w:rPr>
                  </w:pPr>
                </w:p>
              </w:tc>
              <w:tc>
                <w:tcPr>
                  <w:tcW w:w="1334" w:type="dxa"/>
                  <w:vAlign w:val="center"/>
                </w:tcPr>
                <w:p w14:paraId="73034956">
                  <w:pPr>
                    <w:snapToGrid w:val="0"/>
                    <w:jc w:val="center"/>
                    <w:rPr>
                      <w:rFonts w:hint="eastAsia" w:ascii="Times New Roman" w:hAnsi="Times New Roman"/>
                      <w:color w:val="auto"/>
                      <w:kern w:val="2"/>
                      <w:sz w:val="21"/>
                      <w:szCs w:val="21"/>
                      <w:lang w:val="en-US" w:eastAsia="zh-CN" w:bidi="ar-SA"/>
                    </w:rPr>
                  </w:pPr>
                  <w:r>
                    <w:rPr>
                      <w:color w:val="auto"/>
                      <w:kern w:val="0"/>
                      <w:szCs w:val="21"/>
                    </w:rPr>
                    <w:t>废催化剂</w:t>
                  </w:r>
                </w:p>
              </w:tc>
              <w:tc>
                <w:tcPr>
                  <w:tcW w:w="977" w:type="dxa"/>
                  <w:vAlign w:val="center"/>
                </w:tcPr>
                <w:p w14:paraId="3E492D65">
                  <w:pPr>
                    <w:pStyle w:val="21"/>
                    <w:adjustRightInd w:val="0"/>
                    <w:snapToGrid w:val="0"/>
                    <w:spacing w:before="0" w:beforeAutospacing="0" w:after="0" w:afterAutospacing="0"/>
                    <w:jc w:val="center"/>
                    <w:rPr>
                      <w:rFonts w:ascii="Times New Roman" w:hAnsi="Times New Roman"/>
                      <w:color w:val="auto"/>
                      <w:kern w:val="0"/>
                      <w:sz w:val="21"/>
                      <w:szCs w:val="21"/>
                      <w:lang w:val="en-US" w:eastAsia="zh-CN" w:bidi="ar-SA"/>
                    </w:rPr>
                  </w:pPr>
                  <w:r>
                    <w:rPr>
                      <w:rFonts w:ascii="Times New Roman" w:hAnsi="Times New Roman"/>
                      <w:color w:val="auto"/>
                      <w:sz w:val="21"/>
                      <w:szCs w:val="21"/>
                    </w:rPr>
                    <w:t>HW</w:t>
                  </w:r>
                  <w:r>
                    <w:rPr>
                      <w:rFonts w:hint="eastAsia" w:ascii="Times New Roman" w:hAnsi="Times New Roman"/>
                      <w:color w:val="auto"/>
                      <w:sz w:val="21"/>
                      <w:szCs w:val="21"/>
                    </w:rPr>
                    <w:t>50</w:t>
                  </w:r>
                </w:p>
              </w:tc>
              <w:tc>
                <w:tcPr>
                  <w:tcW w:w="1254" w:type="dxa"/>
                  <w:vAlign w:val="center"/>
                </w:tcPr>
                <w:p w14:paraId="3CD99A17">
                  <w:pPr>
                    <w:snapToGrid w:val="0"/>
                    <w:jc w:val="center"/>
                    <w:rPr>
                      <w:rFonts w:hint="eastAsia"/>
                      <w:b/>
                      <w:bCs/>
                      <w:color w:val="auto"/>
                      <w:kern w:val="2"/>
                      <w:sz w:val="21"/>
                      <w:szCs w:val="21"/>
                      <w:u w:val="single"/>
                      <w:lang w:val="en-US" w:eastAsia="zh-CN" w:bidi="ar-SA"/>
                    </w:rPr>
                  </w:pPr>
                  <w:r>
                    <w:rPr>
                      <w:b/>
                      <w:bCs/>
                      <w:color w:val="auto"/>
                      <w:kern w:val="0"/>
                      <w:szCs w:val="21"/>
                      <w:u w:val="single"/>
                    </w:rPr>
                    <w:t>772-007-50</w:t>
                  </w:r>
                </w:p>
              </w:tc>
              <w:tc>
                <w:tcPr>
                  <w:tcW w:w="789" w:type="dxa"/>
                  <w:vMerge w:val="continue"/>
                  <w:vAlign w:val="center"/>
                </w:tcPr>
                <w:p w14:paraId="368F906A">
                  <w:pPr>
                    <w:pStyle w:val="21"/>
                    <w:adjustRightInd w:val="0"/>
                    <w:snapToGrid w:val="0"/>
                    <w:spacing w:before="0" w:beforeAutospacing="0" w:after="0" w:afterAutospacing="0"/>
                    <w:jc w:val="center"/>
                    <w:rPr>
                      <w:rFonts w:ascii="Times New Roman" w:hAnsi="Times New Roman"/>
                      <w:color w:val="auto"/>
                      <w:sz w:val="21"/>
                      <w:szCs w:val="21"/>
                    </w:rPr>
                  </w:pPr>
                </w:p>
              </w:tc>
              <w:tc>
                <w:tcPr>
                  <w:tcW w:w="834" w:type="dxa"/>
                  <w:vMerge w:val="continue"/>
                  <w:vAlign w:val="center"/>
                </w:tcPr>
                <w:p w14:paraId="1956AAC0">
                  <w:pPr>
                    <w:pStyle w:val="21"/>
                    <w:adjustRightInd w:val="0"/>
                    <w:snapToGrid w:val="0"/>
                    <w:spacing w:before="0" w:beforeAutospacing="0" w:after="0" w:afterAutospacing="0"/>
                    <w:jc w:val="center"/>
                    <w:rPr>
                      <w:rFonts w:hint="eastAsia" w:ascii="Times New Roman" w:hAnsi="Times New Roman"/>
                      <w:color w:val="auto"/>
                      <w:sz w:val="21"/>
                      <w:szCs w:val="21"/>
                    </w:rPr>
                  </w:pPr>
                </w:p>
              </w:tc>
              <w:tc>
                <w:tcPr>
                  <w:tcW w:w="803" w:type="dxa"/>
                  <w:vAlign w:val="center"/>
                </w:tcPr>
                <w:p w14:paraId="65192BDB">
                  <w:pPr>
                    <w:widowControl/>
                    <w:adjustRightInd w:val="0"/>
                    <w:snapToGrid w:val="0"/>
                    <w:jc w:val="center"/>
                    <w:rPr>
                      <w:rFonts w:hint="eastAsia"/>
                      <w:color w:val="auto"/>
                      <w:kern w:val="2"/>
                      <w:sz w:val="21"/>
                      <w:szCs w:val="21"/>
                      <w:lang w:val="en-US" w:eastAsia="zh-CN" w:bidi="ar-SA"/>
                    </w:rPr>
                  </w:pPr>
                  <w:r>
                    <w:rPr>
                      <w:rFonts w:hint="eastAsia"/>
                      <w:color w:val="auto"/>
                      <w:szCs w:val="21"/>
                    </w:rPr>
                    <w:t>2t</w:t>
                  </w:r>
                </w:p>
              </w:tc>
              <w:tc>
                <w:tcPr>
                  <w:tcW w:w="720" w:type="dxa"/>
                  <w:vAlign w:val="center"/>
                </w:tcPr>
                <w:p w14:paraId="1CCC8353">
                  <w:pPr>
                    <w:widowControl/>
                    <w:adjustRightInd w:val="0"/>
                    <w:snapToGrid w:val="0"/>
                    <w:jc w:val="center"/>
                    <w:rPr>
                      <w:rFonts w:hint="eastAsia"/>
                      <w:color w:val="auto"/>
                      <w:kern w:val="2"/>
                      <w:sz w:val="21"/>
                      <w:szCs w:val="21"/>
                      <w:lang w:val="en-US" w:eastAsia="zh-CN" w:bidi="ar-SA"/>
                    </w:rPr>
                  </w:pPr>
                  <w:r>
                    <w:rPr>
                      <w:rFonts w:hint="eastAsia" w:ascii="Times New Roman" w:hAnsi="Times New Roman"/>
                      <w:b/>
                      <w:bCs/>
                      <w:color w:val="auto"/>
                      <w:sz w:val="21"/>
                      <w:szCs w:val="21"/>
                      <w:u w:val="single"/>
                      <w:lang w:val="en-US" w:eastAsia="zh-CN"/>
                    </w:rPr>
                    <w:t>0.5a</w:t>
                  </w:r>
                </w:p>
              </w:tc>
            </w:tr>
            <w:tr w14:paraId="59B7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dxa"/>
                  <w:vAlign w:val="center"/>
                </w:tcPr>
                <w:p w14:paraId="0E2D1C13">
                  <w:pPr>
                    <w:pStyle w:val="21"/>
                    <w:adjustRightInd w:val="0"/>
                    <w:snapToGrid w:val="0"/>
                    <w:spacing w:before="0" w:beforeAutospacing="0" w:after="0" w:afterAutospacing="0"/>
                    <w:jc w:val="center"/>
                    <w:rPr>
                      <w:rFonts w:hint="eastAsia" w:ascii="Times New Roman" w:hAnsi="Times New Roman" w:eastAsia="宋体"/>
                      <w:color w:val="auto"/>
                      <w:kern w:val="0"/>
                      <w:sz w:val="21"/>
                      <w:szCs w:val="21"/>
                      <w:lang w:val="en-US" w:eastAsia="zh-CN" w:bidi="ar-SA"/>
                    </w:rPr>
                  </w:pPr>
                  <w:r>
                    <w:rPr>
                      <w:rFonts w:hint="eastAsia" w:ascii="Times New Roman" w:hAnsi="Times New Roman"/>
                      <w:color w:val="auto"/>
                      <w:sz w:val="21"/>
                      <w:szCs w:val="21"/>
                      <w:lang w:val="en-US" w:eastAsia="zh-CN"/>
                    </w:rPr>
                    <w:t>7</w:t>
                  </w:r>
                </w:p>
              </w:tc>
              <w:tc>
                <w:tcPr>
                  <w:tcW w:w="1433" w:type="dxa"/>
                  <w:vMerge w:val="continue"/>
                  <w:vAlign w:val="center"/>
                </w:tcPr>
                <w:p w14:paraId="2E960CC6">
                  <w:pPr>
                    <w:pStyle w:val="21"/>
                    <w:adjustRightInd w:val="0"/>
                    <w:snapToGrid w:val="0"/>
                    <w:spacing w:before="0" w:beforeAutospacing="0" w:after="0" w:afterAutospacing="0"/>
                    <w:jc w:val="center"/>
                    <w:rPr>
                      <w:rFonts w:hint="eastAsia" w:ascii="Times New Roman" w:hAnsi="Times New Roman"/>
                      <w:color w:val="auto"/>
                      <w:sz w:val="21"/>
                      <w:szCs w:val="21"/>
                    </w:rPr>
                  </w:pPr>
                </w:p>
              </w:tc>
              <w:tc>
                <w:tcPr>
                  <w:tcW w:w="1334" w:type="dxa"/>
                  <w:vAlign w:val="center"/>
                </w:tcPr>
                <w:p w14:paraId="6798493B">
                  <w:pPr>
                    <w:pStyle w:val="21"/>
                    <w:snapToGrid w:val="0"/>
                    <w:spacing w:before="0" w:beforeAutospacing="0" w:after="0" w:afterAutospacing="0"/>
                    <w:jc w:val="center"/>
                    <w:rPr>
                      <w:rFonts w:hint="eastAsia" w:ascii="Times New Roman" w:hAnsi="Times New Roman"/>
                      <w:color w:val="auto"/>
                      <w:kern w:val="2"/>
                      <w:sz w:val="21"/>
                      <w:szCs w:val="21"/>
                      <w:lang w:val="en-US" w:eastAsia="zh-CN" w:bidi="ar-SA"/>
                    </w:rPr>
                  </w:pPr>
                  <w:r>
                    <w:rPr>
                      <w:rFonts w:ascii="Times New Roman" w:hAnsi="Times New Roman"/>
                      <w:color w:val="auto"/>
                      <w:sz w:val="21"/>
                      <w:szCs w:val="21"/>
                    </w:rPr>
                    <w:t>废活性炭</w:t>
                  </w:r>
                </w:p>
              </w:tc>
              <w:tc>
                <w:tcPr>
                  <w:tcW w:w="977" w:type="dxa"/>
                  <w:vAlign w:val="center"/>
                </w:tcPr>
                <w:p w14:paraId="630CCC39">
                  <w:pPr>
                    <w:pStyle w:val="21"/>
                    <w:adjustRightInd w:val="0"/>
                    <w:snapToGrid w:val="0"/>
                    <w:spacing w:before="0" w:beforeAutospacing="0" w:after="0" w:afterAutospacing="0"/>
                    <w:jc w:val="center"/>
                    <w:rPr>
                      <w:rFonts w:ascii="Times New Roman" w:hAnsi="Times New Roman"/>
                      <w:color w:val="auto"/>
                      <w:kern w:val="0"/>
                      <w:sz w:val="21"/>
                      <w:szCs w:val="21"/>
                      <w:lang w:val="en-US" w:eastAsia="zh-CN" w:bidi="ar-SA"/>
                    </w:rPr>
                  </w:pPr>
                  <w:r>
                    <w:rPr>
                      <w:rFonts w:hint="eastAsia" w:ascii="Times New Roman" w:hAnsi="Times New Roman"/>
                      <w:color w:val="auto"/>
                      <w:sz w:val="21"/>
                      <w:szCs w:val="21"/>
                    </w:rPr>
                    <w:t>HW49</w:t>
                  </w:r>
                </w:p>
              </w:tc>
              <w:tc>
                <w:tcPr>
                  <w:tcW w:w="1254" w:type="dxa"/>
                  <w:vAlign w:val="center"/>
                </w:tcPr>
                <w:p w14:paraId="6084AF81">
                  <w:pPr>
                    <w:snapToGrid w:val="0"/>
                    <w:jc w:val="center"/>
                    <w:rPr>
                      <w:b/>
                      <w:bCs/>
                      <w:color w:val="auto"/>
                      <w:kern w:val="2"/>
                      <w:sz w:val="21"/>
                      <w:szCs w:val="21"/>
                      <w:u w:val="single"/>
                      <w:lang w:val="en-US" w:eastAsia="zh-CN" w:bidi="ar-SA"/>
                    </w:rPr>
                  </w:pPr>
                  <w:r>
                    <w:rPr>
                      <w:b/>
                      <w:bCs/>
                      <w:color w:val="auto"/>
                      <w:kern w:val="0"/>
                      <w:szCs w:val="21"/>
                      <w:u w:val="single"/>
                    </w:rPr>
                    <w:t>900-039-49</w:t>
                  </w:r>
                </w:p>
              </w:tc>
              <w:tc>
                <w:tcPr>
                  <w:tcW w:w="789" w:type="dxa"/>
                  <w:vMerge w:val="continue"/>
                  <w:vAlign w:val="center"/>
                </w:tcPr>
                <w:p w14:paraId="2D1E9A13">
                  <w:pPr>
                    <w:pStyle w:val="21"/>
                    <w:adjustRightInd w:val="0"/>
                    <w:snapToGrid w:val="0"/>
                    <w:spacing w:before="0" w:beforeAutospacing="0" w:after="0" w:afterAutospacing="0"/>
                    <w:jc w:val="center"/>
                    <w:rPr>
                      <w:rFonts w:ascii="Times New Roman" w:hAnsi="Times New Roman"/>
                      <w:color w:val="auto"/>
                      <w:sz w:val="21"/>
                      <w:szCs w:val="21"/>
                    </w:rPr>
                  </w:pPr>
                </w:p>
              </w:tc>
              <w:tc>
                <w:tcPr>
                  <w:tcW w:w="834" w:type="dxa"/>
                  <w:vMerge w:val="continue"/>
                  <w:vAlign w:val="center"/>
                </w:tcPr>
                <w:p w14:paraId="00501B8F">
                  <w:pPr>
                    <w:pStyle w:val="21"/>
                    <w:adjustRightInd w:val="0"/>
                    <w:snapToGrid w:val="0"/>
                    <w:spacing w:before="0" w:beforeAutospacing="0" w:after="0" w:afterAutospacing="0"/>
                    <w:jc w:val="center"/>
                    <w:rPr>
                      <w:rFonts w:hint="eastAsia" w:ascii="Times New Roman" w:hAnsi="Times New Roman"/>
                      <w:color w:val="auto"/>
                      <w:sz w:val="21"/>
                      <w:szCs w:val="21"/>
                    </w:rPr>
                  </w:pPr>
                </w:p>
              </w:tc>
              <w:tc>
                <w:tcPr>
                  <w:tcW w:w="803" w:type="dxa"/>
                  <w:vAlign w:val="center"/>
                </w:tcPr>
                <w:p w14:paraId="4B5324D3">
                  <w:pPr>
                    <w:widowControl/>
                    <w:adjustRightInd w:val="0"/>
                    <w:snapToGrid w:val="0"/>
                    <w:jc w:val="center"/>
                    <w:rPr>
                      <w:rFonts w:hint="eastAsia"/>
                      <w:color w:val="auto"/>
                      <w:kern w:val="2"/>
                      <w:sz w:val="21"/>
                      <w:szCs w:val="21"/>
                      <w:lang w:val="en-US" w:eastAsia="zh-CN" w:bidi="ar-SA"/>
                    </w:rPr>
                  </w:pPr>
                  <w:r>
                    <w:rPr>
                      <w:rFonts w:hint="eastAsia"/>
                      <w:color w:val="auto"/>
                      <w:szCs w:val="21"/>
                    </w:rPr>
                    <w:t>1t</w:t>
                  </w:r>
                </w:p>
              </w:tc>
              <w:tc>
                <w:tcPr>
                  <w:tcW w:w="720" w:type="dxa"/>
                  <w:vAlign w:val="center"/>
                </w:tcPr>
                <w:p w14:paraId="7BCC0BF6">
                  <w:pPr>
                    <w:widowControl/>
                    <w:adjustRightInd w:val="0"/>
                    <w:snapToGrid w:val="0"/>
                    <w:jc w:val="center"/>
                    <w:rPr>
                      <w:rFonts w:hint="eastAsia"/>
                      <w:color w:val="auto"/>
                      <w:kern w:val="2"/>
                      <w:sz w:val="21"/>
                      <w:szCs w:val="21"/>
                      <w:lang w:val="en-US" w:eastAsia="zh-CN" w:bidi="ar-SA"/>
                    </w:rPr>
                  </w:pPr>
                  <w:r>
                    <w:rPr>
                      <w:rFonts w:hint="eastAsia" w:ascii="Times New Roman" w:hAnsi="Times New Roman"/>
                      <w:b/>
                      <w:bCs/>
                      <w:color w:val="auto"/>
                      <w:sz w:val="21"/>
                      <w:szCs w:val="21"/>
                      <w:u w:val="single"/>
                      <w:lang w:val="en-US" w:eastAsia="zh-CN"/>
                    </w:rPr>
                    <w:t>0.5a</w:t>
                  </w:r>
                </w:p>
              </w:tc>
            </w:tr>
            <w:tr w14:paraId="621AA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dxa"/>
                  <w:vAlign w:val="center"/>
                </w:tcPr>
                <w:p w14:paraId="4F0FB1B5">
                  <w:pPr>
                    <w:pStyle w:val="21"/>
                    <w:adjustRightInd w:val="0"/>
                    <w:snapToGrid w:val="0"/>
                    <w:spacing w:before="0" w:beforeAutospacing="0" w:after="0" w:afterAutospacing="0"/>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8</w:t>
                  </w:r>
                </w:p>
              </w:tc>
              <w:tc>
                <w:tcPr>
                  <w:tcW w:w="1433" w:type="dxa"/>
                  <w:vMerge w:val="continue"/>
                  <w:vAlign w:val="center"/>
                </w:tcPr>
                <w:p w14:paraId="64AD2BAB">
                  <w:pPr>
                    <w:pStyle w:val="21"/>
                    <w:adjustRightInd w:val="0"/>
                    <w:snapToGrid w:val="0"/>
                    <w:spacing w:before="0" w:beforeAutospacing="0" w:after="0" w:afterAutospacing="0"/>
                    <w:jc w:val="center"/>
                    <w:rPr>
                      <w:rFonts w:hint="eastAsia" w:ascii="Times New Roman" w:hAnsi="Times New Roman"/>
                      <w:color w:val="auto"/>
                      <w:sz w:val="21"/>
                      <w:szCs w:val="21"/>
                    </w:rPr>
                  </w:pPr>
                </w:p>
              </w:tc>
              <w:tc>
                <w:tcPr>
                  <w:tcW w:w="1334" w:type="dxa"/>
                  <w:vAlign w:val="center"/>
                </w:tcPr>
                <w:p w14:paraId="64B329D4">
                  <w:pPr>
                    <w:pStyle w:val="21"/>
                    <w:snapToGrid w:val="0"/>
                    <w:spacing w:before="0" w:beforeAutospacing="0" w:after="0" w:afterAutospacing="0"/>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废UV灯管</w:t>
                  </w:r>
                </w:p>
              </w:tc>
              <w:tc>
                <w:tcPr>
                  <w:tcW w:w="977" w:type="dxa"/>
                  <w:vAlign w:val="center"/>
                </w:tcPr>
                <w:p w14:paraId="29D7D1F4">
                  <w:pPr>
                    <w:pStyle w:val="21"/>
                    <w:adjustRightInd w:val="0"/>
                    <w:snapToGrid w:val="0"/>
                    <w:spacing w:before="0" w:beforeAutospacing="0" w:after="0" w:afterAutospacing="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olor w:val="auto"/>
                      <w:sz w:val="21"/>
                      <w:szCs w:val="21"/>
                      <w:lang w:val="en-US" w:eastAsia="zh-CN"/>
                    </w:rPr>
                    <w:t>HW29</w:t>
                  </w:r>
                </w:p>
              </w:tc>
              <w:tc>
                <w:tcPr>
                  <w:tcW w:w="1254" w:type="dxa"/>
                  <w:vAlign w:val="center"/>
                </w:tcPr>
                <w:p w14:paraId="18E240F9">
                  <w:pPr>
                    <w:snapToGrid w:val="0"/>
                    <w:jc w:val="center"/>
                    <w:rPr>
                      <w:rFonts w:ascii="Times New Roman" w:hAnsi="Times New Roman" w:eastAsia="宋体" w:cs="Times New Roman"/>
                      <w:b/>
                      <w:bCs/>
                      <w:color w:val="auto"/>
                      <w:kern w:val="0"/>
                      <w:sz w:val="21"/>
                      <w:szCs w:val="21"/>
                      <w:u w:val="single"/>
                      <w:lang w:val="en-US" w:eastAsia="zh-CN" w:bidi="ar-SA"/>
                    </w:rPr>
                  </w:pPr>
                  <w:r>
                    <w:rPr>
                      <w:rFonts w:hint="eastAsia"/>
                      <w:b/>
                      <w:bCs/>
                      <w:color w:val="auto"/>
                      <w:kern w:val="0"/>
                      <w:szCs w:val="21"/>
                      <w:u w:val="single"/>
                    </w:rPr>
                    <w:t>900-023-29</w:t>
                  </w:r>
                </w:p>
              </w:tc>
              <w:tc>
                <w:tcPr>
                  <w:tcW w:w="789" w:type="dxa"/>
                  <w:vMerge w:val="continue"/>
                  <w:vAlign w:val="center"/>
                </w:tcPr>
                <w:p w14:paraId="1E930454">
                  <w:pPr>
                    <w:pStyle w:val="21"/>
                    <w:adjustRightInd w:val="0"/>
                    <w:snapToGrid w:val="0"/>
                    <w:spacing w:before="0" w:beforeAutospacing="0" w:after="0" w:afterAutospacing="0"/>
                    <w:jc w:val="center"/>
                    <w:rPr>
                      <w:rFonts w:ascii="Times New Roman" w:hAnsi="Times New Roman"/>
                      <w:color w:val="auto"/>
                      <w:sz w:val="21"/>
                      <w:szCs w:val="21"/>
                    </w:rPr>
                  </w:pPr>
                </w:p>
              </w:tc>
              <w:tc>
                <w:tcPr>
                  <w:tcW w:w="834" w:type="dxa"/>
                  <w:vMerge w:val="continue"/>
                  <w:vAlign w:val="center"/>
                </w:tcPr>
                <w:p w14:paraId="1D759FFA">
                  <w:pPr>
                    <w:pStyle w:val="21"/>
                    <w:adjustRightInd w:val="0"/>
                    <w:snapToGrid w:val="0"/>
                    <w:spacing w:before="0" w:beforeAutospacing="0" w:after="0" w:afterAutospacing="0"/>
                    <w:jc w:val="center"/>
                    <w:rPr>
                      <w:rFonts w:hint="eastAsia" w:ascii="Times New Roman" w:hAnsi="Times New Roman"/>
                      <w:color w:val="auto"/>
                      <w:sz w:val="21"/>
                      <w:szCs w:val="21"/>
                    </w:rPr>
                  </w:pPr>
                </w:p>
              </w:tc>
              <w:tc>
                <w:tcPr>
                  <w:tcW w:w="803" w:type="dxa"/>
                  <w:vAlign w:val="center"/>
                </w:tcPr>
                <w:p w14:paraId="489CEAE0">
                  <w:pPr>
                    <w:widowControl/>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1t</w:t>
                  </w:r>
                </w:p>
              </w:tc>
              <w:tc>
                <w:tcPr>
                  <w:tcW w:w="720" w:type="dxa"/>
                  <w:vAlign w:val="center"/>
                </w:tcPr>
                <w:p w14:paraId="48017B91">
                  <w:pPr>
                    <w:widowControl/>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b/>
                      <w:bCs/>
                      <w:color w:val="auto"/>
                      <w:sz w:val="21"/>
                      <w:szCs w:val="21"/>
                      <w:u w:val="single"/>
                      <w:lang w:val="en-US" w:eastAsia="zh-CN"/>
                    </w:rPr>
                    <w:t>0.5a</w:t>
                  </w:r>
                </w:p>
              </w:tc>
            </w:tr>
            <w:tr w14:paraId="2BC64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dxa"/>
                  <w:vAlign w:val="center"/>
                </w:tcPr>
                <w:p w14:paraId="6703F1AA">
                  <w:pPr>
                    <w:pStyle w:val="21"/>
                    <w:adjustRightInd w:val="0"/>
                    <w:snapToGrid w:val="0"/>
                    <w:spacing w:before="0" w:beforeAutospacing="0" w:after="0" w:afterAutospacing="0"/>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9</w:t>
                  </w:r>
                </w:p>
              </w:tc>
              <w:tc>
                <w:tcPr>
                  <w:tcW w:w="1433" w:type="dxa"/>
                  <w:vMerge w:val="continue"/>
                  <w:vAlign w:val="center"/>
                </w:tcPr>
                <w:p w14:paraId="7B149229">
                  <w:pPr>
                    <w:pStyle w:val="21"/>
                    <w:adjustRightInd w:val="0"/>
                    <w:snapToGrid w:val="0"/>
                    <w:spacing w:before="0" w:beforeAutospacing="0" w:after="0" w:afterAutospacing="0"/>
                    <w:jc w:val="center"/>
                    <w:rPr>
                      <w:rFonts w:hint="eastAsia" w:ascii="Times New Roman" w:hAnsi="Times New Roman"/>
                      <w:color w:val="auto"/>
                      <w:sz w:val="21"/>
                      <w:szCs w:val="21"/>
                    </w:rPr>
                  </w:pPr>
                </w:p>
              </w:tc>
              <w:tc>
                <w:tcPr>
                  <w:tcW w:w="1334" w:type="dxa"/>
                  <w:vAlign w:val="center"/>
                </w:tcPr>
                <w:p w14:paraId="02B0187C">
                  <w:pPr>
                    <w:pStyle w:val="21"/>
                    <w:snapToGrid w:val="0"/>
                    <w:spacing w:before="0" w:beforeAutospacing="0" w:after="0" w:afterAutospacing="0"/>
                    <w:jc w:val="center"/>
                    <w:rPr>
                      <w:rFonts w:hint="eastAsia" w:ascii="Times New Roman" w:hAnsi="Times New Roman"/>
                      <w:color w:val="auto"/>
                      <w:kern w:val="2"/>
                      <w:sz w:val="21"/>
                      <w:szCs w:val="21"/>
                    </w:rPr>
                  </w:pPr>
                  <w:r>
                    <w:rPr>
                      <w:rFonts w:ascii="Times New Roman" w:hAnsi="Times New Roman"/>
                      <w:color w:val="auto"/>
                      <w:sz w:val="21"/>
                      <w:szCs w:val="21"/>
                    </w:rPr>
                    <w:t>废包装桶</w:t>
                  </w:r>
                </w:p>
              </w:tc>
              <w:tc>
                <w:tcPr>
                  <w:tcW w:w="977" w:type="dxa"/>
                  <w:vAlign w:val="center"/>
                </w:tcPr>
                <w:p w14:paraId="0327AE95">
                  <w:pPr>
                    <w:pStyle w:val="21"/>
                    <w:adjustRightInd w:val="0"/>
                    <w:snapToGrid w:val="0"/>
                    <w:spacing w:before="0" w:beforeAutospacing="0" w:after="0" w:afterAutospacing="0"/>
                    <w:jc w:val="center"/>
                    <w:rPr>
                      <w:rFonts w:ascii="Times New Roman" w:hAnsi="Times New Roman"/>
                      <w:color w:val="auto"/>
                      <w:sz w:val="21"/>
                      <w:szCs w:val="21"/>
                    </w:rPr>
                  </w:pPr>
                  <w:r>
                    <w:rPr>
                      <w:rFonts w:hint="eastAsia" w:ascii="Times New Roman" w:hAnsi="Times New Roman"/>
                      <w:color w:val="auto"/>
                      <w:sz w:val="21"/>
                      <w:szCs w:val="21"/>
                    </w:rPr>
                    <w:t>HW49</w:t>
                  </w:r>
                </w:p>
              </w:tc>
              <w:tc>
                <w:tcPr>
                  <w:tcW w:w="1254" w:type="dxa"/>
                  <w:vAlign w:val="center"/>
                </w:tcPr>
                <w:p w14:paraId="3CF768E0">
                  <w:pPr>
                    <w:snapToGrid w:val="0"/>
                    <w:jc w:val="center"/>
                    <w:rPr>
                      <w:b/>
                      <w:bCs/>
                      <w:color w:val="auto"/>
                      <w:szCs w:val="21"/>
                      <w:u w:val="single"/>
                    </w:rPr>
                  </w:pPr>
                  <w:r>
                    <w:rPr>
                      <w:b/>
                      <w:bCs/>
                      <w:color w:val="auto"/>
                      <w:kern w:val="0"/>
                      <w:szCs w:val="21"/>
                      <w:u w:val="single"/>
                    </w:rPr>
                    <w:t>900-041-49</w:t>
                  </w:r>
                </w:p>
              </w:tc>
              <w:tc>
                <w:tcPr>
                  <w:tcW w:w="789" w:type="dxa"/>
                  <w:vMerge w:val="continue"/>
                  <w:vAlign w:val="center"/>
                </w:tcPr>
                <w:p w14:paraId="37795726">
                  <w:pPr>
                    <w:pStyle w:val="21"/>
                    <w:adjustRightInd w:val="0"/>
                    <w:snapToGrid w:val="0"/>
                    <w:spacing w:before="0" w:beforeAutospacing="0" w:after="0" w:afterAutospacing="0"/>
                    <w:jc w:val="center"/>
                    <w:rPr>
                      <w:rFonts w:ascii="Times New Roman" w:hAnsi="Times New Roman"/>
                      <w:color w:val="auto"/>
                      <w:sz w:val="21"/>
                      <w:szCs w:val="21"/>
                    </w:rPr>
                  </w:pPr>
                </w:p>
              </w:tc>
              <w:tc>
                <w:tcPr>
                  <w:tcW w:w="834" w:type="dxa"/>
                  <w:vMerge w:val="continue"/>
                  <w:vAlign w:val="center"/>
                </w:tcPr>
                <w:p w14:paraId="0AE85555">
                  <w:pPr>
                    <w:pStyle w:val="21"/>
                    <w:adjustRightInd w:val="0"/>
                    <w:snapToGrid w:val="0"/>
                    <w:spacing w:before="0" w:beforeAutospacing="0" w:after="0" w:afterAutospacing="0"/>
                    <w:jc w:val="center"/>
                    <w:rPr>
                      <w:rFonts w:hint="eastAsia" w:ascii="Times New Roman" w:hAnsi="Times New Roman"/>
                      <w:color w:val="auto"/>
                      <w:sz w:val="21"/>
                      <w:szCs w:val="21"/>
                    </w:rPr>
                  </w:pPr>
                </w:p>
              </w:tc>
              <w:tc>
                <w:tcPr>
                  <w:tcW w:w="803" w:type="dxa"/>
                  <w:vAlign w:val="center"/>
                </w:tcPr>
                <w:p w14:paraId="4E21B9CF">
                  <w:pPr>
                    <w:widowControl/>
                    <w:adjustRightInd w:val="0"/>
                    <w:snapToGrid w:val="0"/>
                    <w:jc w:val="center"/>
                    <w:rPr>
                      <w:rFonts w:hint="eastAsia"/>
                      <w:color w:val="auto"/>
                      <w:kern w:val="2"/>
                      <w:sz w:val="21"/>
                      <w:szCs w:val="21"/>
                      <w:lang w:val="en-US" w:eastAsia="zh-CN" w:bidi="ar-SA"/>
                    </w:rPr>
                  </w:pPr>
                  <w:r>
                    <w:rPr>
                      <w:rFonts w:hint="eastAsia"/>
                      <w:color w:val="auto"/>
                      <w:szCs w:val="21"/>
                    </w:rPr>
                    <w:t>1t</w:t>
                  </w:r>
                </w:p>
              </w:tc>
              <w:tc>
                <w:tcPr>
                  <w:tcW w:w="720" w:type="dxa"/>
                  <w:vAlign w:val="center"/>
                </w:tcPr>
                <w:p w14:paraId="36B3474D">
                  <w:pPr>
                    <w:widowControl/>
                    <w:adjustRightInd w:val="0"/>
                    <w:snapToGrid w:val="0"/>
                    <w:jc w:val="center"/>
                    <w:rPr>
                      <w:rFonts w:hint="eastAsia"/>
                      <w:color w:val="auto"/>
                      <w:kern w:val="2"/>
                      <w:sz w:val="21"/>
                      <w:szCs w:val="21"/>
                      <w:lang w:val="en-US" w:eastAsia="zh-CN" w:bidi="ar-SA"/>
                    </w:rPr>
                  </w:pPr>
                  <w:r>
                    <w:rPr>
                      <w:rFonts w:hint="eastAsia" w:ascii="Times New Roman" w:hAnsi="Times New Roman"/>
                      <w:b/>
                      <w:bCs/>
                      <w:color w:val="auto"/>
                      <w:sz w:val="21"/>
                      <w:szCs w:val="21"/>
                      <w:u w:val="single"/>
                      <w:lang w:val="en-US" w:eastAsia="zh-CN"/>
                    </w:rPr>
                    <w:t>0.5a</w:t>
                  </w:r>
                </w:p>
              </w:tc>
            </w:tr>
          </w:tbl>
          <w:p w14:paraId="78D5BB3F">
            <w:pPr>
              <w:pStyle w:val="2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rPr>
                <w:rFonts w:hint="eastAsia" w:ascii="Times New Roman" w:hAnsi="Times New Roman"/>
                <w:color w:val="auto"/>
                <w:kern w:val="2"/>
                <w:szCs w:val="24"/>
              </w:rPr>
            </w:pPr>
            <w:r>
              <w:rPr>
                <w:rFonts w:hint="eastAsia" w:ascii="Times New Roman" w:hAnsi="Times New Roman"/>
                <w:color w:val="auto"/>
                <w:kern w:val="2"/>
                <w:szCs w:val="24"/>
              </w:rPr>
              <w:t xml:space="preserve">建设单位要严格按照《危险废物转移管理办法》执行，严格执行《危险化学品安全管理条例》，运输委托有危险货物运输资质的单位进行，制定产品的安全技术说明书与安全标签，并在包装容器上加贴。加强各种外运固废的运输管理，防止在运输过程中沿途丢弃和遗漏。 </w:t>
            </w:r>
          </w:p>
          <w:p w14:paraId="5707BFA7">
            <w:pPr>
              <w:pStyle w:val="2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rPr>
                <w:rFonts w:hint="eastAsia" w:ascii="Times New Roman" w:hAnsi="Times New Roman"/>
                <w:color w:val="auto"/>
                <w:kern w:val="2"/>
                <w:szCs w:val="24"/>
              </w:rPr>
            </w:pPr>
            <w:r>
              <w:rPr>
                <w:rFonts w:hint="eastAsia" w:ascii="Times New Roman" w:hAnsi="Times New Roman"/>
                <w:color w:val="auto"/>
                <w:kern w:val="2"/>
                <w:szCs w:val="24"/>
              </w:rPr>
              <w:t xml:space="preserve">（3）危险废物的运输 </w:t>
            </w:r>
          </w:p>
          <w:p w14:paraId="0C3524DA">
            <w:pPr>
              <w:pStyle w:val="2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rPr>
                <w:rFonts w:hint="eastAsia" w:ascii="Times New Roman" w:hAnsi="Times New Roman"/>
                <w:color w:val="auto"/>
                <w:kern w:val="2"/>
                <w:szCs w:val="24"/>
              </w:rPr>
            </w:pPr>
            <w:r>
              <w:rPr>
                <w:rFonts w:hint="eastAsia" w:ascii="Times New Roman" w:hAnsi="Times New Roman"/>
                <w:color w:val="auto"/>
                <w:kern w:val="2"/>
                <w:szCs w:val="24"/>
              </w:rPr>
              <w:t>①危险废物的运输由持有危险废物经营许可证的单位组织实施，并按照相关危险货物运输管理规定执行。</w:t>
            </w:r>
          </w:p>
          <w:p w14:paraId="2F512182">
            <w:pPr>
              <w:pStyle w:val="2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rPr>
                <w:rFonts w:hint="eastAsia" w:ascii="Times New Roman" w:hAnsi="Times New Roman"/>
                <w:color w:val="auto"/>
                <w:kern w:val="2"/>
                <w:szCs w:val="24"/>
              </w:rPr>
            </w:pPr>
            <w:r>
              <w:rPr>
                <w:rFonts w:hint="eastAsia" w:ascii="Times New Roman" w:hAnsi="Times New Roman"/>
                <w:color w:val="auto"/>
                <w:kern w:val="2"/>
                <w:szCs w:val="24"/>
              </w:rPr>
              <w:t>②项目危险废物运输采用公路运输方式，应按照《道路危险货物运输管理规定》 （交通运输部令2013年第2号）执行。运输单位承运危险废物时，应在危险废物包装上按照HJ1276-2022标准设置标志，运输车辆应按GB13392设立车辆标志。</w:t>
            </w:r>
          </w:p>
          <w:p w14:paraId="44A7B2BB">
            <w:pPr>
              <w:pStyle w:val="2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rPr>
                <w:rFonts w:hint="eastAsia" w:ascii="Times New Roman" w:hAnsi="Times New Roman"/>
                <w:color w:val="auto"/>
                <w:kern w:val="2"/>
                <w:szCs w:val="24"/>
              </w:rPr>
            </w:pPr>
            <w:r>
              <w:rPr>
                <w:rFonts w:hint="eastAsia" w:ascii="Times New Roman" w:hAnsi="Times New Roman"/>
                <w:color w:val="auto"/>
                <w:kern w:val="2"/>
                <w:szCs w:val="24"/>
              </w:rPr>
              <w:t xml:space="preserve">③危废运输车辆应配备符合有关国家标准以及与所载运的危险货物相适应的应急处理器材和安全防护设备。危险废物运输时的装卸应遵照如下技术要求：装卸区的工作人员应熟悉危险废物的危险特性，并配备适当的个人防护装备，如橡胶手套、防护服和口罩。 </w:t>
            </w:r>
          </w:p>
          <w:p w14:paraId="19E6F3ED">
            <w:pPr>
              <w:pStyle w:val="2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rPr>
                <w:rFonts w:hint="eastAsia" w:ascii="Times New Roman" w:hAnsi="Times New Roman"/>
                <w:color w:val="auto"/>
                <w:kern w:val="2"/>
                <w:szCs w:val="24"/>
              </w:rPr>
            </w:pPr>
            <w:r>
              <w:rPr>
                <w:rFonts w:hint="eastAsia" w:ascii="Times New Roman" w:hAnsi="Times New Roman"/>
                <w:color w:val="auto"/>
                <w:kern w:val="2"/>
                <w:szCs w:val="24"/>
              </w:rPr>
              <w:t xml:space="preserve">④装卸区域应配备必要的消防设备和设施，并设置明显的指示标志。装卸区域应设置隔离设施。危险废物转移过程严格落实《危险废物转移管理办法》的相关规定，规范危险废物转移；做好每次外运处置废物的运输登记，填写、运行危险废物转移联单，在危险废物转移联单中如实填写移出人、承运人、接受人信息，转移危险废物的种类、重量（数量）、危险特性等信息。 </w:t>
            </w:r>
          </w:p>
          <w:p w14:paraId="570B1EC0">
            <w:pPr>
              <w:pStyle w:val="2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rPr>
                <w:rFonts w:hint="eastAsia" w:ascii="Times New Roman" w:hAnsi="Times New Roman"/>
                <w:color w:val="auto"/>
                <w:kern w:val="2"/>
                <w:szCs w:val="24"/>
              </w:rPr>
            </w:pPr>
            <w:r>
              <w:rPr>
                <w:rFonts w:hint="eastAsia" w:ascii="Times New Roman" w:hAnsi="Times New Roman"/>
                <w:color w:val="auto"/>
                <w:kern w:val="2"/>
                <w:szCs w:val="24"/>
              </w:rPr>
              <w:t>⑤废物处置单位的运输人员必须掌握危险废物运输的安全知识，了解所运载的危险废物的性质、危害特性、包装容器的使用特性和发生意外时的应急措施。运输车辆必须具有车辆危险货物运输许可证。</w:t>
            </w:r>
          </w:p>
          <w:p w14:paraId="444F67EC">
            <w:pPr>
              <w:spacing w:line="360" w:lineRule="auto"/>
              <w:rPr>
                <w:rFonts w:hint="eastAsia"/>
                <w:b/>
                <w:bCs/>
                <w:color w:val="auto"/>
                <w:kern w:val="0"/>
                <w:sz w:val="24"/>
              </w:rPr>
            </w:pPr>
            <w:r>
              <w:rPr>
                <w:rFonts w:hint="eastAsia"/>
                <w:b/>
                <w:bCs/>
                <w:color w:val="auto"/>
                <w:kern w:val="0"/>
                <w:sz w:val="24"/>
              </w:rPr>
              <w:t>5、土壤、地下水环境影响分析</w:t>
            </w:r>
          </w:p>
          <w:p w14:paraId="38A6D991">
            <w:pPr>
              <w:pStyle w:val="21"/>
              <w:adjustRightInd w:val="0"/>
              <w:snapToGrid w:val="0"/>
              <w:spacing w:before="0" w:beforeAutospacing="0" w:after="0" w:afterAutospacing="0" w:line="360" w:lineRule="auto"/>
              <w:ind w:firstLine="480" w:firstLineChars="200"/>
              <w:jc w:val="both"/>
              <w:rPr>
                <w:rFonts w:hint="eastAsia" w:ascii="Times New Roman" w:hAnsi="Times New Roman"/>
                <w:color w:val="auto"/>
                <w:kern w:val="2"/>
                <w:szCs w:val="24"/>
              </w:rPr>
            </w:pPr>
            <w:r>
              <w:rPr>
                <w:rFonts w:hint="eastAsia" w:ascii="Times New Roman" w:hAnsi="Times New Roman"/>
                <w:color w:val="auto"/>
                <w:kern w:val="2"/>
                <w:szCs w:val="24"/>
              </w:rPr>
              <w:t>本项目涉及的土壤及地下水污染源有两种类型：大气沉降途径影响及地面漫流途径影响。大气沉降途径影响污染源主要为颗粒物（漆雾）及有机废气，通过沉降作用影响本项目周边土壤环境，由于本项目周边区域已全部硬化或绿化，因此大气沉降对土壤及地下水环境影响不显著；地面漫流途径影响污染源主要是涂料存放处、危废间等易泄漏造成液体物料漫流的区域，污染源泄漏后易在地面形成漫流，从而入渗至土壤，造成污染。</w:t>
            </w:r>
          </w:p>
          <w:p w14:paraId="2514E493">
            <w:pPr>
              <w:spacing w:line="360" w:lineRule="auto"/>
              <w:ind w:firstLine="480" w:firstLineChars="200"/>
              <w:rPr>
                <w:rFonts w:hint="eastAsia"/>
                <w:color w:val="auto"/>
                <w:sz w:val="24"/>
              </w:rPr>
            </w:pPr>
            <w:r>
              <w:rPr>
                <w:rFonts w:hint="eastAsia"/>
                <w:color w:val="auto"/>
                <w:sz w:val="24"/>
              </w:rPr>
              <w:t>本项目从污染物的产生、入渗、扩散、应急响应进行控制，采取的环境保护措施主要为：</w:t>
            </w:r>
          </w:p>
          <w:p w14:paraId="1873BA05">
            <w:pPr>
              <w:spacing w:line="360" w:lineRule="auto"/>
              <w:ind w:firstLine="480" w:firstLineChars="200"/>
              <w:rPr>
                <w:rFonts w:hint="eastAsia"/>
                <w:color w:val="auto"/>
                <w:sz w:val="24"/>
              </w:rPr>
            </w:pPr>
            <w:r>
              <w:rPr>
                <w:rFonts w:hint="eastAsia"/>
                <w:color w:val="auto"/>
                <w:sz w:val="24"/>
              </w:rPr>
              <w:t>①控制项目污染物的排放。控制污染物排放的数量和浓度，使之符合排放标准和总量控制要求。</w:t>
            </w:r>
          </w:p>
          <w:p w14:paraId="064B1A0F">
            <w:pPr>
              <w:spacing w:line="360" w:lineRule="auto"/>
              <w:ind w:firstLine="480" w:firstLineChars="200"/>
              <w:rPr>
                <w:rFonts w:hint="eastAsia"/>
                <w:color w:val="auto"/>
                <w:sz w:val="24"/>
              </w:rPr>
            </w:pPr>
            <w:r>
              <w:rPr>
                <w:rFonts w:hint="eastAsia"/>
                <w:color w:val="auto"/>
                <w:sz w:val="24"/>
              </w:rPr>
              <w:t>②在今后的生产过程中，做好设备的维护、检修。同时，加强污染物产生环节的安全防护、报警措施，以便及时发现事故隐患，采取有效的应对措施。</w:t>
            </w:r>
          </w:p>
          <w:p w14:paraId="387489C3">
            <w:pPr>
              <w:spacing w:line="360" w:lineRule="auto"/>
              <w:ind w:firstLine="480" w:firstLineChars="200"/>
              <w:rPr>
                <w:rFonts w:hint="eastAsia"/>
                <w:color w:val="auto"/>
                <w:sz w:val="24"/>
              </w:rPr>
            </w:pPr>
            <w:r>
              <w:rPr>
                <w:rFonts w:hint="eastAsia"/>
                <w:color w:val="auto"/>
                <w:sz w:val="24"/>
              </w:rPr>
              <w:t>③厂区内全部采用水泥硬化，涉及物料储存的原料储存区、生产区、成品仓库等，污染防治措施均采取严格的防渗处理。生产过程中的各种物料及污染物均与天然土壤隔离，不会通过裸露区渗入到土壤中。</w:t>
            </w:r>
          </w:p>
          <w:p w14:paraId="313402FC">
            <w:pPr>
              <w:spacing w:line="360" w:lineRule="auto"/>
              <w:ind w:firstLine="480" w:firstLineChars="200"/>
              <w:rPr>
                <w:rFonts w:hint="eastAsia"/>
                <w:color w:val="auto"/>
                <w:sz w:val="24"/>
              </w:rPr>
            </w:pPr>
            <w:r>
              <w:rPr>
                <w:rFonts w:hint="eastAsia"/>
                <w:color w:val="auto"/>
                <w:sz w:val="24"/>
              </w:rPr>
              <w:t>根据本项目厂区可能泄漏至地面区域污染物的性质和生产单元的构筑方式，进行分区防渗，具体如下。</w:t>
            </w:r>
          </w:p>
          <w:p w14:paraId="3EB5F008">
            <w:pPr>
              <w:pStyle w:val="46"/>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eastAsia" w:ascii="Times New Roman" w:hAnsi="Arial Unicode MS" w:eastAsia="宋体" w:cs="Times New Roman"/>
                <w:b/>
                <w:color w:val="auto"/>
                <w:kern w:val="2"/>
                <w:sz w:val="24"/>
                <w:szCs w:val="24"/>
                <w:lang w:val="en-US" w:eastAsia="zh-CN" w:bidi="ar-SA"/>
              </w:rPr>
            </w:pPr>
            <w:r>
              <w:rPr>
                <w:rFonts w:hint="eastAsia" w:ascii="Times New Roman" w:hAnsi="Arial Unicode MS" w:eastAsia="宋体" w:cs="Times New Roman"/>
                <w:b/>
                <w:color w:val="auto"/>
                <w:kern w:val="2"/>
                <w:sz w:val="24"/>
                <w:szCs w:val="24"/>
                <w:lang w:val="en-US" w:eastAsia="zh-CN" w:bidi="ar-SA"/>
              </w:rPr>
              <w:t>防渗分区情况一览表</w:t>
            </w:r>
          </w:p>
          <w:tbl>
            <w:tblPr>
              <w:tblStyle w:val="25"/>
              <w:tblW w:w="86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0"/>
              <w:gridCol w:w="4069"/>
            </w:tblGrid>
            <w:tr w14:paraId="22137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0" w:type="dxa"/>
                  <w:vAlign w:val="center"/>
                </w:tcPr>
                <w:p w14:paraId="5AF31DA4">
                  <w:pPr>
                    <w:pStyle w:val="64"/>
                    <w:rPr>
                      <w:rFonts w:eastAsia="宋体" w:cs="Times New Roman"/>
                      <w:b/>
                      <w:bCs/>
                      <w:color w:val="auto"/>
                    </w:rPr>
                  </w:pPr>
                  <w:r>
                    <w:rPr>
                      <w:rFonts w:eastAsia="宋体" w:cs="Times New Roman"/>
                      <w:b/>
                      <w:bCs/>
                      <w:color w:val="auto"/>
                    </w:rPr>
                    <w:t>装置、设施</w:t>
                  </w:r>
                </w:p>
              </w:tc>
              <w:tc>
                <w:tcPr>
                  <w:tcW w:w="4069" w:type="dxa"/>
                  <w:vAlign w:val="center"/>
                </w:tcPr>
                <w:p w14:paraId="47292E56">
                  <w:pPr>
                    <w:pStyle w:val="64"/>
                    <w:rPr>
                      <w:rFonts w:eastAsia="宋体" w:cs="Times New Roman"/>
                      <w:b/>
                      <w:bCs/>
                      <w:color w:val="auto"/>
                    </w:rPr>
                  </w:pPr>
                  <w:r>
                    <w:rPr>
                      <w:rFonts w:eastAsia="宋体" w:cs="Times New Roman"/>
                      <w:b/>
                      <w:bCs/>
                      <w:color w:val="auto"/>
                    </w:rPr>
                    <w:t>防渗分区</w:t>
                  </w:r>
                </w:p>
              </w:tc>
            </w:tr>
            <w:tr w14:paraId="3E004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0" w:type="dxa"/>
                  <w:vAlign w:val="center"/>
                </w:tcPr>
                <w:p w14:paraId="1BC2C224">
                  <w:pPr>
                    <w:pStyle w:val="64"/>
                    <w:rPr>
                      <w:rFonts w:hint="default" w:eastAsia="宋体" w:cs="Times New Roman"/>
                      <w:color w:val="auto"/>
                      <w:lang w:val="en-US" w:eastAsia="zh-CN"/>
                    </w:rPr>
                  </w:pPr>
                  <w:r>
                    <w:rPr>
                      <w:rFonts w:hint="eastAsia" w:eastAsia="宋体" w:cs="Times New Roman"/>
                      <w:color w:val="auto"/>
                    </w:rPr>
                    <w:t>危废暂存间、喷漆房</w:t>
                  </w:r>
                  <w:r>
                    <w:rPr>
                      <w:rFonts w:hint="eastAsia" w:eastAsia="宋体" w:cs="Times New Roman"/>
                      <w:color w:val="auto"/>
                      <w:lang w:eastAsia="zh-CN"/>
                    </w:rPr>
                    <w:t>、</w:t>
                  </w:r>
                  <w:r>
                    <w:rPr>
                      <w:rFonts w:hint="eastAsia" w:eastAsia="宋体" w:cs="Times New Roman"/>
                      <w:b/>
                      <w:bCs/>
                      <w:color w:val="auto"/>
                      <w:u w:val="single"/>
                      <w:lang w:val="en-US" w:eastAsia="zh-CN"/>
                    </w:rPr>
                    <w:t>库房</w:t>
                  </w:r>
                </w:p>
              </w:tc>
              <w:tc>
                <w:tcPr>
                  <w:tcW w:w="4069" w:type="dxa"/>
                  <w:vAlign w:val="center"/>
                </w:tcPr>
                <w:p w14:paraId="524801C6">
                  <w:pPr>
                    <w:pStyle w:val="64"/>
                    <w:rPr>
                      <w:rFonts w:eastAsia="宋体" w:cs="Times New Roman"/>
                      <w:color w:val="auto"/>
                    </w:rPr>
                  </w:pPr>
                  <w:r>
                    <w:rPr>
                      <w:rFonts w:eastAsia="宋体" w:cs="Times New Roman"/>
                      <w:color w:val="auto"/>
                    </w:rPr>
                    <w:t>重点防渗区</w:t>
                  </w:r>
                </w:p>
              </w:tc>
            </w:tr>
            <w:tr w14:paraId="25F4D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60" w:type="dxa"/>
                  <w:vAlign w:val="center"/>
                </w:tcPr>
                <w:p w14:paraId="4756D2CB">
                  <w:pPr>
                    <w:pStyle w:val="64"/>
                    <w:rPr>
                      <w:rFonts w:eastAsia="宋体" w:cs="Times New Roman"/>
                      <w:color w:val="auto"/>
                    </w:rPr>
                  </w:pPr>
                  <w:r>
                    <w:rPr>
                      <w:rFonts w:hint="eastAsia" w:eastAsia="宋体" w:cs="Times New Roman"/>
                      <w:color w:val="auto"/>
                    </w:rPr>
                    <w:t>其他生产区域</w:t>
                  </w:r>
                </w:p>
              </w:tc>
              <w:tc>
                <w:tcPr>
                  <w:tcW w:w="4069" w:type="dxa"/>
                  <w:vAlign w:val="center"/>
                </w:tcPr>
                <w:p w14:paraId="65D91342">
                  <w:pPr>
                    <w:pStyle w:val="64"/>
                    <w:rPr>
                      <w:rFonts w:eastAsia="宋体" w:cs="Times New Roman"/>
                      <w:color w:val="auto"/>
                    </w:rPr>
                  </w:pPr>
                  <w:r>
                    <w:rPr>
                      <w:rFonts w:eastAsia="宋体" w:cs="Times New Roman"/>
                      <w:color w:val="auto"/>
                    </w:rPr>
                    <w:t>一般防渗区</w:t>
                  </w:r>
                </w:p>
              </w:tc>
            </w:tr>
            <w:tr w14:paraId="2AD23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0" w:type="dxa"/>
                  <w:vAlign w:val="center"/>
                </w:tcPr>
                <w:p w14:paraId="25D1D178">
                  <w:pPr>
                    <w:pStyle w:val="64"/>
                    <w:rPr>
                      <w:rFonts w:eastAsia="宋体" w:cs="Times New Roman"/>
                      <w:color w:val="auto"/>
                    </w:rPr>
                  </w:pPr>
                  <w:r>
                    <w:rPr>
                      <w:rFonts w:eastAsia="宋体" w:cs="Times New Roman"/>
                      <w:color w:val="auto"/>
                    </w:rPr>
                    <w:t>厂址内其他区域</w:t>
                  </w:r>
                </w:p>
              </w:tc>
              <w:tc>
                <w:tcPr>
                  <w:tcW w:w="4069" w:type="dxa"/>
                  <w:vAlign w:val="center"/>
                </w:tcPr>
                <w:p w14:paraId="61C7E4FE">
                  <w:pPr>
                    <w:pStyle w:val="64"/>
                    <w:rPr>
                      <w:rFonts w:eastAsia="宋体" w:cs="Times New Roman"/>
                      <w:color w:val="auto"/>
                    </w:rPr>
                  </w:pPr>
                  <w:r>
                    <w:rPr>
                      <w:rFonts w:eastAsia="宋体" w:cs="Times New Roman"/>
                      <w:color w:val="auto"/>
                    </w:rPr>
                    <w:t>简单防渗区</w:t>
                  </w:r>
                </w:p>
              </w:tc>
            </w:tr>
          </w:tbl>
          <w:p w14:paraId="0DA30997">
            <w:pPr>
              <w:pStyle w:val="46"/>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eastAsia" w:ascii="Times New Roman" w:hAnsi="Arial Unicode MS" w:eastAsia="宋体" w:cs="Times New Roman"/>
                <w:b/>
                <w:color w:val="auto"/>
                <w:kern w:val="2"/>
                <w:sz w:val="24"/>
                <w:szCs w:val="24"/>
                <w:lang w:val="en-US" w:eastAsia="zh-CN" w:bidi="ar-SA"/>
              </w:rPr>
            </w:pPr>
            <w:r>
              <w:rPr>
                <w:rFonts w:hint="eastAsia" w:ascii="Times New Roman" w:hAnsi="Arial Unicode MS" w:eastAsia="宋体" w:cs="Times New Roman"/>
                <w:b/>
                <w:color w:val="auto"/>
                <w:kern w:val="2"/>
                <w:sz w:val="24"/>
                <w:szCs w:val="24"/>
                <w:lang w:val="en-US" w:eastAsia="zh-CN" w:bidi="ar-SA"/>
              </w:rPr>
              <w:t>分区防渗措施一览表</w:t>
            </w:r>
          </w:p>
          <w:tbl>
            <w:tblPr>
              <w:tblStyle w:val="25"/>
              <w:tblW w:w="8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1"/>
              <w:gridCol w:w="1352"/>
              <w:gridCol w:w="3931"/>
              <w:gridCol w:w="1714"/>
            </w:tblGrid>
            <w:tr w14:paraId="4602B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1" w:type="dxa"/>
                  <w:vAlign w:val="center"/>
                </w:tcPr>
                <w:p w14:paraId="61405BD2">
                  <w:pPr>
                    <w:pStyle w:val="64"/>
                    <w:rPr>
                      <w:rFonts w:eastAsia="宋体" w:cs="Times New Roman"/>
                      <w:b/>
                      <w:bCs/>
                      <w:color w:val="auto"/>
                    </w:rPr>
                  </w:pPr>
                  <w:r>
                    <w:rPr>
                      <w:rFonts w:eastAsia="宋体" w:cs="Times New Roman"/>
                      <w:b/>
                      <w:bCs/>
                      <w:color w:val="auto"/>
                    </w:rPr>
                    <w:t>装置、设施</w:t>
                  </w:r>
                </w:p>
              </w:tc>
              <w:tc>
                <w:tcPr>
                  <w:tcW w:w="1352" w:type="dxa"/>
                  <w:vAlign w:val="center"/>
                </w:tcPr>
                <w:p w14:paraId="38C6221D">
                  <w:pPr>
                    <w:pStyle w:val="64"/>
                    <w:rPr>
                      <w:rFonts w:eastAsia="宋体" w:cs="Times New Roman"/>
                      <w:b/>
                      <w:bCs/>
                      <w:color w:val="auto"/>
                    </w:rPr>
                  </w:pPr>
                  <w:r>
                    <w:rPr>
                      <w:rFonts w:eastAsia="宋体" w:cs="Times New Roman"/>
                      <w:b/>
                      <w:bCs/>
                      <w:color w:val="auto"/>
                    </w:rPr>
                    <w:t>防渗分区</w:t>
                  </w:r>
                </w:p>
              </w:tc>
              <w:tc>
                <w:tcPr>
                  <w:tcW w:w="3931" w:type="dxa"/>
                  <w:vAlign w:val="center"/>
                </w:tcPr>
                <w:p w14:paraId="1438975A">
                  <w:pPr>
                    <w:pStyle w:val="64"/>
                    <w:rPr>
                      <w:rFonts w:eastAsia="宋体" w:cs="Times New Roman"/>
                      <w:b/>
                      <w:bCs/>
                      <w:color w:val="auto"/>
                    </w:rPr>
                  </w:pPr>
                  <w:r>
                    <w:rPr>
                      <w:rFonts w:eastAsia="宋体" w:cs="Times New Roman"/>
                      <w:b/>
                      <w:bCs/>
                      <w:color w:val="auto"/>
                    </w:rPr>
                    <w:t>建议防渗措施</w:t>
                  </w:r>
                </w:p>
              </w:tc>
              <w:tc>
                <w:tcPr>
                  <w:tcW w:w="1714" w:type="dxa"/>
                  <w:vAlign w:val="center"/>
                </w:tcPr>
                <w:p w14:paraId="66BC86E0">
                  <w:pPr>
                    <w:pStyle w:val="64"/>
                    <w:rPr>
                      <w:rFonts w:eastAsia="宋体" w:cs="Times New Roman"/>
                      <w:b/>
                      <w:bCs/>
                      <w:color w:val="auto"/>
                    </w:rPr>
                  </w:pPr>
                  <w:r>
                    <w:rPr>
                      <w:rFonts w:eastAsia="宋体" w:cs="Times New Roman"/>
                      <w:b/>
                      <w:bCs/>
                      <w:color w:val="auto"/>
                    </w:rPr>
                    <w:t>防渗要求</w:t>
                  </w:r>
                </w:p>
              </w:tc>
            </w:tr>
            <w:tr w14:paraId="50F16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631" w:type="dxa"/>
                  <w:vAlign w:val="center"/>
                </w:tcPr>
                <w:p w14:paraId="13D5112F">
                  <w:pPr>
                    <w:pStyle w:val="64"/>
                    <w:rPr>
                      <w:rFonts w:hint="default" w:eastAsia="宋体" w:cs="Times New Roman"/>
                      <w:color w:val="auto"/>
                      <w:lang w:val="en-US" w:eastAsia="zh-CN"/>
                    </w:rPr>
                  </w:pPr>
                  <w:r>
                    <w:rPr>
                      <w:rFonts w:hint="eastAsia" w:eastAsia="宋体" w:cs="Times New Roman"/>
                      <w:color w:val="auto"/>
                    </w:rPr>
                    <w:t>危废暂存间、喷漆房</w:t>
                  </w:r>
                  <w:r>
                    <w:rPr>
                      <w:rFonts w:hint="eastAsia" w:eastAsia="宋体" w:cs="Times New Roman"/>
                      <w:color w:val="auto"/>
                      <w:lang w:eastAsia="zh-CN"/>
                    </w:rPr>
                    <w:t>、</w:t>
                  </w:r>
                  <w:r>
                    <w:rPr>
                      <w:rFonts w:hint="eastAsia" w:eastAsia="宋体" w:cs="Times New Roman"/>
                      <w:b/>
                      <w:bCs/>
                      <w:color w:val="auto"/>
                      <w:u w:val="single"/>
                      <w:lang w:val="en-US" w:eastAsia="zh-CN"/>
                    </w:rPr>
                    <w:t>库房</w:t>
                  </w:r>
                </w:p>
              </w:tc>
              <w:tc>
                <w:tcPr>
                  <w:tcW w:w="1352" w:type="dxa"/>
                  <w:vAlign w:val="center"/>
                </w:tcPr>
                <w:p w14:paraId="01286CAA">
                  <w:pPr>
                    <w:pStyle w:val="64"/>
                    <w:rPr>
                      <w:rFonts w:eastAsia="宋体" w:cs="Times New Roman"/>
                      <w:color w:val="auto"/>
                    </w:rPr>
                  </w:pPr>
                  <w:r>
                    <w:rPr>
                      <w:rFonts w:eastAsia="宋体" w:cs="Times New Roman"/>
                      <w:color w:val="auto"/>
                    </w:rPr>
                    <w:t>重点防渗区</w:t>
                  </w:r>
                </w:p>
              </w:tc>
              <w:tc>
                <w:tcPr>
                  <w:tcW w:w="3931" w:type="dxa"/>
                  <w:vAlign w:val="center"/>
                </w:tcPr>
                <w:p w14:paraId="5D897EA6">
                  <w:pPr>
                    <w:pStyle w:val="64"/>
                    <w:rPr>
                      <w:rFonts w:eastAsia="宋体" w:cs="Times New Roman"/>
                      <w:color w:val="auto"/>
                    </w:rPr>
                  </w:pPr>
                  <w:r>
                    <w:rPr>
                      <w:rFonts w:eastAsia="宋体" w:cs="Times New Roman"/>
                      <w:color w:val="auto"/>
                    </w:rPr>
                    <w:t>该区域防渗设计要求</w:t>
                  </w:r>
                  <w:r>
                    <w:rPr>
                      <w:rFonts w:hint="eastAsia" w:eastAsia="宋体" w:cs="Times New Roman"/>
                      <w:color w:val="auto"/>
                    </w:rPr>
                    <w:t>按照</w:t>
                  </w:r>
                  <w:r>
                    <w:rPr>
                      <w:rFonts w:eastAsia="宋体" w:cs="Times New Roman"/>
                      <w:color w:val="auto"/>
                    </w:rPr>
                    <w:t>《危险废物贮存污染控制标准》（GB18597-20</w:t>
                  </w:r>
                  <w:r>
                    <w:rPr>
                      <w:rFonts w:hint="eastAsia" w:eastAsia="宋体" w:cs="Times New Roman"/>
                      <w:color w:val="auto"/>
                    </w:rPr>
                    <w:t>23</w:t>
                  </w:r>
                  <w:r>
                    <w:rPr>
                      <w:rFonts w:eastAsia="宋体" w:cs="Times New Roman"/>
                      <w:color w:val="auto"/>
                    </w:rPr>
                    <w:t>）</w:t>
                  </w:r>
                  <w:r>
                    <w:rPr>
                      <w:rFonts w:hint="eastAsia" w:eastAsia="宋体" w:cs="Times New Roman"/>
                      <w:color w:val="auto"/>
                    </w:rPr>
                    <w:t>要求</w:t>
                  </w:r>
                  <w:r>
                    <w:rPr>
                      <w:rFonts w:eastAsia="宋体" w:cs="Times New Roman"/>
                      <w:color w:val="auto"/>
                    </w:rPr>
                    <w:t>，地坪混凝土防渗层抗渗等级不应小于P8，其厚度不宜小于150mm，防渗层性能应与6m厚粘土层(渗透系数≤10</w:t>
                  </w:r>
                  <w:r>
                    <w:rPr>
                      <w:rFonts w:eastAsia="宋体" w:cs="Times New Roman"/>
                      <w:color w:val="auto"/>
                      <w:vertAlign w:val="superscript"/>
                    </w:rPr>
                    <w:t>-7</w:t>
                  </w:r>
                  <w:r>
                    <w:rPr>
                      <w:rFonts w:eastAsia="宋体" w:cs="Times New Roman"/>
                      <w:color w:val="auto"/>
                    </w:rPr>
                    <w:t>cm/s)等效。</w:t>
                  </w:r>
                </w:p>
              </w:tc>
              <w:tc>
                <w:tcPr>
                  <w:tcW w:w="1714" w:type="dxa"/>
                  <w:vAlign w:val="center"/>
                </w:tcPr>
                <w:p w14:paraId="67E9DF20">
                  <w:pPr>
                    <w:pStyle w:val="64"/>
                    <w:rPr>
                      <w:rFonts w:eastAsia="宋体" w:cs="Times New Roman"/>
                      <w:color w:val="auto"/>
                    </w:rPr>
                  </w:pPr>
                  <w:r>
                    <w:rPr>
                      <w:rFonts w:eastAsia="宋体" w:cs="Times New Roman"/>
                      <w:color w:val="auto"/>
                    </w:rPr>
                    <w:t>等效黏土防渗层M</w:t>
                  </w:r>
                  <w:r>
                    <w:rPr>
                      <w:rFonts w:hint="eastAsia" w:eastAsia="宋体" w:cs="Times New Roman"/>
                      <w:color w:val="auto"/>
                    </w:rPr>
                    <w:t>b</w:t>
                  </w:r>
                  <w:r>
                    <w:rPr>
                      <w:rFonts w:eastAsia="宋体" w:cs="Times New Roman"/>
                      <w:color w:val="auto"/>
                    </w:rPr>
                    <w:t>≥</w:t>
                  </w:r>
                  <w:r>
                    <w:rPr>
                      <w:rFonts w:hint="eastAsia" w:eastAsia="宋体" w:cs="Times New Roman"/>
                      <w:color w:val="auto"/>
                    </w:rPr>
                    <w:t>6.0</w:t>
                  </w:r>
                  <w:r>
                    <w:rPr>
                      <w:rFonts w:eastAsia="宋体" w:cs="Times New Roman"/>
                      <w:color w:val="auto"/>
                    </w:rPr>
                    <w:t>m，k≤1×10</w:t>
                  </w:r>
                  <w:r>
                    <w:rPr>
                      <w:rFonts w:eastAsia="宋体" w:cs="Times New Roman"/>
                      <w:color w:val="auto"/>
                      <w:vertAlign w:val="superscript"/>
                    </w:rPr>
                    <w:t>-7</w:t>
                  </w:r>
                  <w:r>
                    <w:rPr>
                      <w:rFonts w:eastAsia="宋体" w:cs="Times New Roman"/>
                      <w:color w:val="auto"/>
                    </w:rPr>
                    <w:t>cm/s</w:t>
                  </w:r>
                  <w:r>
                    <w:rPr>
                      <w:rFonts w:hint="eastAsia" w:eastAsia="宋体" w:cs="Times New Roman"/>
                      <w:color w:val="auto"/>
                      <w:lang w:eastAsia="zh-CN"/>
                    </w:rPr>
                    <w:t>，</w:t>
                  </w:r>
                  <w:r>
                    <w:rPr>
                      <w:rFonts w:eastAsia="宋体" w:cs="Times New Roman"/>
                      <w:color w:val="auto"/>
                    </w:rPr>
                    <w:t>参照GB18</w:t>
                  </w:r>
                  <w:r>
                    <w:rPr>
                      <w:rFonts w:hint="eastAsia" w:eastAsia="宋体" w:cs="Times New Roman"/>
                      <w:color w:val="auto"/>
                    </w:rPr>
                    <w:t>598</w:t>
                  </w:r>
                  <w:r>
                    <w:rPr>
                      <w:rFonts w:eastAsia="宋体" w:cs="Times New Roman"/>
                      <w:color w:val="auto"/>
                    </w:rPr>
                    <w:t>执行</w:t>
                  </w:r>
                </w:p>
              </w:tc>
            </w:tr>
            <w:tr w14:paraId="658A6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1" w:type="dxa"/>
                  <w:vAlign w:val="center"/>
                </w:tcPr>
                <w:p w14:paraId="460233E6">
                  <w:pPr>
                    <w:pStyle w:val="64"/>
                    <w:rPr>
                      <w:rFonts w:eastAsia="宋体" w:cs="Times New Roman"/>
                      <w:color w:val="auto"/>
                    </w:rPr>
                  </w:pPr>
                  <w:r>
                    <w:rPr>
                      <w:rFonts w:hint="eastAsia" w:eastAsia="宋体" w:cs="Times New Roman"/>
                      <w:color w:val="auto"/>
                    </w:rPr>
                    <w:t>其他生产区域</w:t>
                  </w:r>
                </w:p>
              </w:tc>
              <w:tc>
                <w:tcPr>
                  <w:tcW w:w="1352" w:type="dxa"/>
                  <w:vAlign w:val="center"/>
                </w:tcPr>
                <w:p w14:paraId="08FE0941">
                  <w:pPr>
                    <w:pStyle w:val="64"/>
                    <w:jc w:val="both"/>
                    <w:rPr>
                      <w:rFonts w:eastAsia="宋体" w:cs="Times New Roman"/>
                      <w:color w:val="auto"/>
                    </w:rPr>
                  </w:pPr>
                  <w:r>
                    <w:rPr>
                      <w:rFonts w:eastAsia="宋体" w:cs="Times New Roman"/>
                      <w:color w:val="auto"/>
                    </w:rPr>
                    <w:t>一般防渗区</w:t>
                  </w:r>
                </w:p>
              </w:tc>
              <w:tc>
                <w:tcPr>
                  <w:tcW w:w="3931" w:type="dxa"/>
                  <w:vAlign w:val="center"/>
                </w:tcPr>
                <w:p w14:paraId="34C36267">
                  <w:pPr>
                    <w:pStyle w:val="64"/>
                    <w:rPr>
                      <w:rFonts w:eastAsia="宋体" w:cs="Times New Roman"/>
                      <w:color w:val="auto"/>
                    </w:rPr>
                  </w:pPr>
                  <w:r>
                    <w:rPr>
                      <w:rFonts w:hint="eastAsia" w:eastAsia="宋体" w:cs="Times New Roman"/>
                      <w:color w:val="auto"/>
                    </w:rPr>
                    <w:t>采用混凝土铺设</w:t>
                  </w:r>
                </w:p>
              </w:tc>
              <w:tc>
                <w:tcPr>
                  <w:tcW w:w="1714" w:type="dxa"/>
                  <w:vAlign w:val="center"/>
                </w:tcPr>
                <w:p w14:paraId="2732E2D9">
                  <w:pPr>
                    <w:pStyle w:val="64"/>
                    <w:rPr>
                      <w:rFonts w:eastAsia="宋体" w:cs="Times New Roman"/>
                      <w:color w:val="auto"/>
                    </w:rPr>
                  </w:pPr>
                  <w:r>
                    <w:rPr>
                      <w:rFonts w:hint="eastAsia" w:eastAsia="宋体" w:cs="Times New Roman"/>
                      <w:color w:val="auto"/>
                    </w:rPr>
                    <w:t>等效粘土防渗层Mb≧1.5m，K≦1×10</w:t>
                  </w:r>
                  <w:r>
                    <w:rPr>
                      <w:rFonts w:hint="eastAsia" w:eastAsia="宋体" w:cs="Times New Roman"/>
                      <w:color w:val="auto"/>
                      <w:vertAlign w:val="superscript"/>
                    </w:rPr>
                    <w:t>-7</w:t>
                  </w:r>
                  <w:r>
                    <w:rPr>
                      <w:rFonts w:hint="eastAsia" w:eastAsia="宋体" w:cs="Times New Roman"/>
                      <w:color w:val="auto"/>
                    </w:rPr>
                    <w:t>cm/s，参照GB16889执行</w:t>
                  </w:r>
                </w:p>
              </w:tc>
            </w:tr>
            <w:tr w14:paraId="708A9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631" w:type="dxa"/>
                  <w:vAlign w:val="center"/>
                </w:tcPr>
                <w:p w14:paraId="1126AD93">
                  <w:pPr>
                    <w:pStyle w:val="64"/>
                    <w:rPr>
                      <w:rFonts w:eastAsia="宋体" w:cs="Times New Roman"/>
                      <w:color w:val="auto"/>
                    </w:rPr>
                  </w:pPr>
                  <w:r>
                    <w:rPr>
                      <w:rFonts w:eastAsia="宋体" w:cs="Times New Roman"/>
                      <w:color w:val="auto"/>
                    </w:rPr>
                    <w:t>厂址内其他区域</w:t>
                  </w:r>
                </w:p>
              </w:tc>
              <w:tc>
                <w:tcPr>
                  <w:tcW w:w="1352" w:type="dxa"/>
                  <w:vAlign w:val="center"/>
                </w:tcPr>
                <w:p w14:paraId="6E8DD345">
                  <w:pPr>
                    <w:pStyle w:val="64"/>
                    <w:rPr>
                      <w:rFonts w:eastAsia="宋体" w:cs="Times New Roman"/>
                      <w:color w:val="auto"/>
                    </w:rPr>
                  </w:pPr>
                  <w:r>
                    <w:rPr>
                      <w:rFonts w:hint="eastAsia" w:eastAsia="宋体" w:cs="Times New Roman"/>
                      <w:color w:val="auto"/>
                      <w:lang w:val="en-US" w:eastAsia="zh-CN"/>
                    </w:rPr>
                    <w:t>简单</w:t>
                  </w:r>
                  <w:r>
                    <w:rPr>
                      <w:rFonts w:eastAsia="宋体" w:cs="Times New Roman"/>
                      <w:color w:val="auto"/>
                    </w:rPr>
                    <w:t>防渗区</w:t>
                  </w:r>
                </w:p>
              </w:tc>
              <w:tc>
                <w:tcPr>
                  <w:tcW w:w="3931" w:type="dxa"/>
                  <w:vAlign w:val="center"/>
                </w:tcPr>
                <w:p w14:paraId="406B5F29">
                  <w:pPr>
                    <w:pStyle w:val="64"/>
                    <w:rPr>
                      <w:rFonts w:eastAsia="宋体" w:cs="Times New Roman"/>
                      <w:color w:val="auto"/>
                    </w:rPr>
                  </w:pPr>
                  <w:r>
                    <w:rPr>
                      <w:rFonts w:hint="eastAsia" w:eastAsia="宋体" w:cs="Times New Roman"/>
                      <w:color w:val="auto"/>
                    </w:rPr>
                    <w:t>采用混凝土铺设</w:t>
                  </w:r>
                </w:p>
              </w:tc>
              <w:tc>
                <w:tcPr>
                  <w:tcW w:w="1714" w:type="dxa"/>
                  <w:vAlign w:val="center"/>
                </w:tcPr>
                <w:p w14:paraId="735C5107">
                  <w:pPr>
                    <w:pStyle w:val="64"/>
                    <w:rPr>
                      <w:rFonts w:eastAsia="宋体" w:cs="Times New Roman"/>
                      <w:color w:val="auto"/>
                    </w:rPr>
                  </w:pPr>
                  <w:r>
                    <w:rPr>
                      <w:rFonts w:hint="eastAsia" w:eastAsia="宋体" w:cs="Times New Roman"/>
                      <w:color w:val="auto"/>
                    </w:rPr>
                    <w:t>一般地面硬化</w:t>
                  </w:r>
                </w:p>
              </w:tc>
            </w:tr>
          </w:tbl>
          <w:p w14:paraId="3C69BE8D">
            <w:pPr>
              <w:spacing w:line="360" w:lineRule="auto"/>
              <w:rPr>
                <w:rFonts w:hint="eastAsia"/>
                <w:b/>
                <w:bCs/>
                <w:color w:val="auto"/>
                <w:kern w:val="0"/>
                <w:sz w:val="24"/>
              </w:rPr>
            </w:pPr>
            <w:r>
              <w:rPr>
                <w:rFonts w:hint="eastAsia"/>
                <w:b/>
                <w:bCs/>
                <w:color w:val="auto"/>
                <w:kern w:val="0"/>
                <w:sz w:val="24"/>
              </w:rPr>
              <w:t>6、生态</w:t>
            </w:r>
          </w:p>
          <w:p w14:paraId="57AE0BD1">
            <w:pPr>
              <w:spacing w:line="360" w:lineRule="auto"/>
              <w:ind w:firstLine="480" w:firstLineChars="200"/>
              <w:rPr>
                <w:color w:val="auto"/>
                <w:sz w:val="24"/>
              </w:rPr>
            </w:pPr>
            <w:r>
              <w:rPr>
                <w:color w:val="auto"/>
                <w:sz w:val="24"/>
              </w:rPr>
              <w:t>根据《建设项目环境影响报告表编制技术指南》（污染影响类）（试行），产业园区外建设项目新增用地且用地范围内含有生态环境保护目标时，应明确保护措施。</w:t>
            </w:r>
          </w:p>
          <w:p w14:paraId="45CE524F">
            <w:pPr>
              <w:spacing w:line="360" w:lineRule="auto"/>
              <w:ind w:firstLine="480" w:firstLineChars="200"/>
              <w:rPr>
                <w:color w:val="auto"/>
                <w:sz w:val="24"/>
              </w:rPr>
            </w:pPr>
            <w:r>
              <w:rPr>
                <w:color w:val="auto"/>
                <w:sz w:val="24"/>
              </w:rPr>
              <w:t>本项目位于</w:t>
            </w:r>
            <w:r>
              <w:rPr>
                <w:rFonts w:hint="eastAsia"/>
                <w:color w:val="auto"/>
                <w:sz w:val="24"/>
              </w:rPr>
              <w:t>清丰</w:t>
            </w:r>
            <w:r>
              <w:rPr>
                <w:color w:val="auto"/>
                <w:sz w:val="24"/>
              </w:rPr>
              <w:t>县</w:t>
            </w:r>
            <w:r>
              <w:rPr>
                <w:rFonts w:hint="eastAsia"/>
                <w:color w:val="auto"/>
                <w:sz w:val="24"/>
              </w:rPr>
              <w:t>先进制造业开发区</w:t>
            </w:r>
            <w:r>
              <w:rPr>
                <w:color w:val="auto"/>
                <w:sz w:val="24"/>
              </w:rPr>
              <w:t>内，因此无需</w:t>
            </w:r>
            <w:r>
              <w:rPr>
                <w:rFonts w:hint="eastAsia"/>
                <w:color w:val="auto"/>
                <w:sz w:val="24"/>
              </w:rPr>
              <w:t>设置</w:t>
            </w:r>
            <w:r>
              <w:rPr>
                <w:color w:val="auto"/>
                <w:sz w:val="24"/>
              </w:rPr>
              <w:t>生态环境保护措施</w:t>
            </w:r>
            <w:r>
              <w:rPr>
                <w:rFonts w:hint="eastAsia"/>
                <w:color w:val="auto"/>
                <w:sz w:val="24"/>
              </w:rPr>
              <w:t>。</w:t>
            </w:r>
          </w:p>
          <w:p w14:paraId="4C48DC6E">
            <w:pPr>
              <w:spacing w:line="360" w:lineRule="auto"/>
              <w:rPr>
                <w:b/>
                <w:bCs/>
                <w:color w:val="auto"/>
                <w:kern w:val="0"/>
                <w:sz w:val="24"/>
              </w:rPr>
            </w:pPr>
            <w:r>
              <w:rPr>
                <w:rFonts w:hint="eastAsia"/>
                <w:b/>
                <w:bCs/>
                <w:color w:val="auto"/>
                <w:kern w:val="0"/>
                <w:sz w:val="24"/>
              </w:rPr>
              <w:t>7、环境风险分析</w:t>
            </w:r>
          </w:p>
          <w:p w14:paraId="113D2B77">
            <w:pPr>
              <w:pStyle w:val="10"/>
              <w:snapToGrid/>
              <w:spacing w:before="0" w:after="0" w:line="360" w:lineRule="auto"/>
              <w:ind w:firstLine="482"/>
              <w:rPr>
                <w:color w:val="auto"/>
                <w:kern w:val="2"/>
                <w:sz w:val="24"/>
                <w:szCs w:val="24"/>
              </w:rPr>
            </w:pPr>
            <w:r>
              <w:rPr>
                <w:color w:val="auto"/>
                <w:kern w:val="2"/>
                <w:sz w:val="24"/>
                <w:szCs w:val="24"/>
              </w:rPr>
              <w:t>根据《建设项目环境影响报告表编制技术指南》（污染影响类）（试行），应明确有毒有害和易燃易爆等危险物质和风险源分布情况及可能影响途径，并提出相应环境风险防范措施。</w:t>
            </w:r>
          </w:p>
          <w:p w14:paraId="7267CA5C">
            <w:pPr>
              <w:pStyle w:val="10"/>
              <w:widowControl w:val="0"/>
              <w:snapToGrid/>
              <w:spacing w:before="0" w:after="0" w:line="360" w:lineRule="auto"/>
              <w:ind w:firstLine="480" w:firstLineChars="200"/>
              <w:jc w:val="left"/>
              <w:rPr>
                <w:color w:val="auto"/>
                <w:kern w:val="2"/>
                <w:sz w:val="24"/>
                <w:szCs w:val="24"/>
              </w:rPr>
            </w:pPr>
            <w:r>
              <w:rPr>
                <w:rFonts w:hint="eastAsia"/>
                <w:color w:val="auto"/>
                <w:kern w:val="2"/>
                <w:sz w:val="24"/>
                <w:szCs w:val="24"/>
              </w:rPr>
              <w:t>（1）本项目</w:t>
            </w:r>
            <w:r>
              <w:rPr>
                <w:color w:val="auto"/>
                <w:kern w:val="2"/>
                <w:sz w:val="24"/>
                <w:szCs w:val="24"/>
              </w:rPr>
              <w:t>主要危险物质及分布情况</w:t>
            </w:r>
          </w:p>
          <w:p w14:paraId="320323C5">
            <w:pPr>
              <w:pStyle w:val="10"/>
              <w:widowControl w:val="0"/>
              <w:snapToGrid/>
              <w:spacing w:before="0" w:after="0" w:line="360" w:lineRule="auto"/>
              <w:ind w:firstLine="480" w:firstLineChars="200"/>
              <w:rPr>
                <w:color w:val="auto"/>
                <w:kern w:val="2"/>
                <w:sz w:val="24"/>
                <w:szCs w:val="24"/>
              </w:rPr>
            </w:pPr>
            <w:r>
              <w:rPr>
                <w:color w:val="auto"/>
                <w:kern w:val="2"/>
                <w:sz w:val="24"/>
                <w:szCs w:val="24"/>
              </w:rPr>
              <w:t>根据建设项目危险物质数量和分布情况、生产工艺特点，风险物质识别包括：主要原材料及辅助材料、燃料、中间产品、最终产品以</w:t>
            </w:r>
            <w:r>
              <w:rPr>
                <w:rFonts w:hint="eastAsia" w:ascii="宋体" w:hAnsi="宋体" w:cs="宋体"/>
                <w:color w:val="auto"/>
                <w:kern w:val="2"/>
                <w:sz w:val="24"/>
                <w:szCs w:val="24"/>
              </w:rPr>
              <w:t>及“三废”、</w:t>
            </w:r>
            <w:r>
              <w:rPr>
                <w:color w:val="auto"/>
                <w:kern w:val="2"/>
                <w:sz w:val="24"/>
                <w:szCs w:val="24"/>
              </w:rPr>
              <w:t>土壤中污染物等。对照《建设项目环境风险评价技术导则》</w:t>
            </w:r>
            <w:r>
              <w:rPr>
                <w:rFonts w:hint="eastAsia"/>
                <w:color w:val="auto"/>
                <w:kern w:val="2"/>
                <w:sz w:val="24"/>
                <w:szCs w:val="24"/>
              </w:rPr>
              <w:t>（</w:t>
            </w:r>
            <w:r>
              <w:rPr>
                <w:color w:val="auto"/>
                <w:kern w:val="2"/>
                <w:sz w:val="24"/>
                <w:szCs w:val="24"/>
              </w:rPr>
              <w:t>HJ 169</w:t>
            </w:r>
            <w:r>
              <w:rPr>
                <w:rFonts w:hint="eastAsia"/>
                <w:color w:val="auto"/>
                <w:kern w:val="2"/>
                <w:sz w:val="24"/>
                <w:szCs w:val="24"/>
              </w:rPr>
              <w:t>-</w:t>
            </w:r>
            <w:r>
              <w:rPr>
                <w:color w:val="auto"/>
                <w:kern w:val="2"/>
                <w:sz w:val="24"/>
                <w:szCs w:val="24"/>
              </w:rPr>
              <w:t>2018</w:t>
            </w:r>
            <w:r>
              <w:rPr>
                <w:rFonts w:hint="eastAsia"/>
                <w:color w:val="auto"/>
                <w:kern w:val="2"/>
                <w:sz w:val="24"/>
                <w:szCs w:val="24"/>
              </w:rPr>
              <w:t>）</w:t>
            </w:r>
            <w:r>
              <w:rPr>
                <w:color w:val="auto"/>
                <w:kern w:val="2"/>
                <w:sz w:val="24"/>
                <w:szCs w:val="24"/>
              </w:rPr>
              <w:t>附录B，生产过程中所涉及的主要危险物质为</w:t>
            </w:r>
            <w:r>
              <w:rPr>
                <w:rFonts w:hint="eastAsia"/>
                <w:color w:val="auto"/>
                <w:kern w:val="2"/>
                <w:sz w:val="24"/>
                <w:szCs w:val="24"/>
              </w:rPr>
              <w:t>油漆</w:t>
            </w:r>
            <w:r>
              <w:rPr>
                <w:color w:val="auto"/>
                <w:kern w:val="2"/>
                <w:sz w:val="24"/>
                <w:szCs w:val="24"/>
              </w:rPr>
              <w:t>。</w:t>
            </w:r>
          </w:p>
          <w:p w14:paraId="29E407B7">
            <w:pPr>
              <w:spacing w:line="360" w:lineRule="auto"/>
              <w:ind w:firstLine="480"/>
              <w:rPr>
                <w:color w:val="auto"/>
                <w:sz w:val="24"/>
              </w:rPr>
            </w:pPr>
            <w:r>
              <w:rPr>
                <w:color w:val="auto"/>
                <w:sz w:val="24"/>
              </w:rPr>
              <w:t>本项目涉及的危险物质存储量及Q值见下表。</w:t>
            </w:r>
          </w:p>
          <w:p w14:paraId="07340CF8">
            <w:pPr>
              <w:pStyle w:val="46"/>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eastAsia" w:ascii="Times New Roman" w:hAnsi="Arial Unicode MS" w:eastAsia="宋体" w:cs="Times New Roman"/>
                <w:b/>
                <w:color w:val="auto"/>
                <w:kern w:val="2"/>
                <w:sz w:val="24"/>
                <w:szCs w:val="24"/>
                <w:lang w:val="en-US" w:eastAsia="zh-CN" w:bidi="ar-SA"/>
              </w:rPr>
            </w:pPr>
            <w:r>
              <w:rPr>
                <w:rFonts w:hint="eastAsia" w:ascii="Times New Roman" w:hAnsi="Arial Unicode MS" w:eastAsia="宋体" w:cs="Times New Roman"/>
                <w:b/>
                <w:color w:val="auto"/>
                <w:kern w:val="2"/>
                <w:sz w:val="24"/>
                <w:szCs w:val="24"/>
                <w:lang w:val="en-US" w:eastAsia="zh-CN" w:bidi="ar-SA"/>
              </w:rPr>
              <w:t>危险物质存储及分布一览表</w:t>
            </w:r>
          </w:p>
          <w:tbl>
            <w:tblPr>
              <w:tblStyle w:val="25"/>
              <w:tblW w:w="848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05"/>
              <w:gridCol w:w="1689"/>
              <w:gridCol w:w="1622"/>
              <w:gridCol w:w="1301"/>
              <w:gridCol w:w="1839"/>
              <w:gridCol w:w="1225"/>
            </w:tblGrid>
            <w:tr w14:paraId="6C48FD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 w:hRule="atLeast"/>
              </w:trPr>
              <w:tc>
                <w:tcPr>
                  <w:tcW w:w="805" w:type="dxa"/>
                  <w:vAlign w:val="center"/>
                </w:tcPr>
                <w:p w14:paraId="11F0FA3F">
                  <w:pPr>
                    <w:pStyle w:val="57"/>
                    <w:rPr>
                      <w:rFonts w:ascii="Times New Roman" w:hAnsi="Times New Roman" w:cs="Times New Roman"/>
                      <w:b/>
                      <w:bCs/>
                      <w:color w:val="auto"/>
                      <w:szCs w:val="21"/>
                      <w:u w:val="single"/>
                    </w:rPr>
                  </w:pPr>
                  <w:r>
                    <w:rPr>
                      <w:rFonts w:ascii="Times New Roman" w:hAnsi="Times New Roman" w:cs="Times New Roman"/>
                      <w:b/>
                      <w:bCs/>
                      <w:color w:val="auto"/>
                      <w:szCs w:val="21"/>
                      <w:u w:val="single"/>
                    </w:rPr>
                    <w:t>序号</w:t>
                  </w:r>
                </w:p>
              </w:tc>
              <w:tc>
                <w:tcPr>
                  <w:tcW w:w="1689" w:type="dxa"/>
                  <w:vAlign w:val="center"/>
                </w:tcPr>
                <w:p w14:paraId="292C9F7F">
                  <w:pPr>
                    <w:pStyle w:val="57"/>
                    <w:rPr>
                      <w:rFonts w:ascii="Times New Roman" w:hAnsi="Times New Roman" w:cs="Times New Roman"/>
                      <w:b/>
                      <w:bCs/>
                      <w:color w:val="auto"/>
                      <w:szCs w:val="21"/>
                      <w:u w:val="single"/>
                    </w:rPr>
                  </w:pPr>
                  <w:r>
                    <w:rPr>
                      <w:rFonts w:ascii="Times New Roman" w:hAnsi="Times New Roman" w:cs="Times New Roman"/>
                      <w:b/>
                      <w:bCs/>
                      <w:color w:val="auto"/>
                      <w:szCs w:val="21"/>
                      <w:u w:val="single"/>
                    </w:rPr>
                    <w:t>物质名称</w:t>
                  </w:r>
                </w:p>
              </w:tc>
              <w:tc>
                <w:tcPr>
                  <w:tcW w:w="1622" w:type="dxa"/>
                  <w:vAlign w:val="center"/>
                </w:tcPr>
                <w:p w14:paraId="7558507E">
                  <w:pPr>
                    <w:pStyle w:val="57"/>
                    <w:rPr>
                      <w:rFonts w:ascii="Times New Roman" w:hAnsi="Times New Roman" w:cs="Times New Roman"/>
                      <w:b/>
                      <w:bCs/>
                      <w:color w:val="auto"/>
                      <w:szCs w:val="21"/>
                      <w:u w:val="single"/>
                    </w:rPr>
                  </w:pPr>
                  <w:r>
                    <w:rPr>
                      <w:rFonts w:ascii="Times New Roman" w:hAnsi="Times New Roman" w:cs="Times New Roman"/>
                      <w:b/>
                      <w:bCs/>
                      <w:color w:val="auto"/>
                      <w:szCs w:val="21"/>
                      <w:u w:val="single"/>
                    </w:rPr>
                    <w:t>CAS号</w:t>
                  </w:r>
                </w:p>
              </w:tc>
              <w:tc>
                <w:tcPr>
                  <w:tcW w:w="1301" w:type="dxa"/>
                  <w:vAlign w:val="center"/>
                </w:tcPr>
                <w:p w14:paraId="44768BB8">
                  <w:pPr>
                    <w:pStyle w:val="57"/>
                    <w:rPr>
                      <w:rFonts w:ascii="Times New Roman" w:hAnsi="Times New Roman" w:cs="Times New Roman"/>
                      <w:b/>
                      <w:bCs/>
                      <w:color w:val="auto"/>
                      <w:szCs w:val="21"/>
                      <w:u w:val="single"/>
                    </w:rPr>
                  </w:pPr>
                  <w:r>
                    <w:rPr>
                      <w:rFonts w:ascii="Times New Roman" w:hAnsi="Times New Roman" w:cs="Times New Roman"/>
                      <w:b/>
                      <w:bCs/>
                      <w:color w:val="auto"/>
                      <w:szCs w:val="21"/>
                      <w:u w:val="single"/>
                    </w:rPr>
                    <w:t>临界量（t）</w:t>
                  </w:r>
                </w:p>
              </w:tc>
              <w:tc>
                <w:tcPr>
                  <w:tcW w:w="1839" w:type="dxa"/>
                  <w:vAlign w:val="center"/>
                </w:tcPr>
                <w:p w14:paraId="79978D11">
                  <w:pPr>
                    <w:pStyle w:val="57"/>
                    <w:rPr>
                      <w:rFonts w:ascii="Times New Roman" w:hAnsi="Times New Roman" w:cs="Times New Roman"/>
                      <w:b/>
                      <w:bCs/>
                      <w:color w:val="auto"/>
                      <w:szCs w:val="21"/>
                      <w:u w:val="single"/>
                    </w:rPr>
                  </w:pPr>
                  <w:r>
                    <w:rPr>
                      <w:rFonts w:ascii="Times New Roman" w:hAnsi="Times New Roman" w:cs="Times New Roman"/>
                      <w:b/>
                      <w:bCs/>
                      <w:color w:val="auto"/>
                      <w:szCs w:val="21"/>
                      <w:u w:val="single"/>
                    </w:rPr>
                    <w:t>最大存在</w:t>
                  </w:r>
                  <w:r>
                    <w:rPr>
                      <w:rFonts w:ascii="Times New Roman" w:hAnsi="Times New Roman" w:cs="Times New Roman"/>
                      <w:b/>
                      <w:bCs/>
                      <w:color w:val="auto"/>
                      <w:spacing w:val="-1"/>
                      <w:szCs w:val="21"/>
                      <w:u w:val="single"/>
                    </w:rPr>
                    <w:t>量*（t）</w:t>
                  </w:r>
                </w:p>
              </w:tc>
              <w:tc>
                <w:tcPr>
                  <w:tcW w:w="1225" w:type="dxa"/>
                  <w:vAlign w:val="center"/>
                </w:tcPr>
                <w:p w14:paraId="5F6266C3">
                  <w:pPr>
                    <w:pStyle w:val="57"/>
                    <w:rPr>
                      <w:rFonts w:ascii="Times New Roman" w:hAnsi="Times New Roman" w:cs="Times New Roman"/>
                      <w:b/>
                      <w:bCs/>
                      <w:color w:val="auto"/>
                      <w:szCs w:val="21"/>
                      <w:u w:val="single"/>
                    </w:rPr>
                  </w:pPr>
                  <w:r>
                    <w:rPr>
                      <w:rFonts w:ascii="Times New Roman" w:hAnsi="Times New Roman" w:cs="Times New Roman"/>
                      <w:b/>
                      <w:bCs/>
                      <w:color w:val="auto"/>
                      <w:szCs w:val="21"/>
                      <w:u w:val="single"/>
                    </w:rPr>
                    <w:t>Q</w:t>
                  </w:r>
                </w:p>
              </w:tc>
            </w:tr>
            <w:tr w14:paraId="2C0696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805" w:type="dxa"/>
                  <w:tcBorders>
                    <w:bottom w:val="single" w:color="auto" w:sz="4" w:space="0"/>
                  </w:tcBorders>
                  <w:vAlign w:val="center"/>
                </w:tcPr>
                <w:p w14:paraId="484408A1">
                  <w:pPr>
                    <w:pStyle w:val="57"/>
                    <w:rPr>
                      <w:rFonts w:ascii="Times New Roman" w:hAnsi="Times New Roman" w:cs="Times New Roman"/>
                      <w:b/>
                      <w:bCs/>
                      <w:color w:val="auto"/>
                      <w:szCs w:val="21"/>
                      <w:u w:val="single"/>
                    </w:rPr>
                  </w:pPr>
                  <w:r>
                    <w:rPr>
                      <w:rFonts w:ascii="Times New Roman" w:hAnsi="Times New Roman" w:cs="Times New Roman"/>
                      <w:b/>
                      <w:bCs/>
                      <w:color w:val="auto"/>
                      <w:szCs w:val="21"/>
                      <w:u w:val="single"/>
                    </w:rPr>
                    <w:t>1</w:t>
                  </w:r>
                </w:p>
              </w:tc>
              <w:tc>
                <w:tcPr>
                  <w:tcW w:w="1689" w:type="dxa"/>
                  <w:tcBorders>
                    <w:bottom w:val="single" w:color="auto" w:sz="4" w:space="0"/>
                  </w:tcBorders>
                  <w:vAlign w:val="center"/>
                </w:tcPr>
                <w:p w14:paraId="397D46A0">
                  <w:pPr>
                    <w:snapToGrid w:val="0"/>
                    <w:jc w:val="center"/>
                    <w:rPr>
                      <w:rFonts w:hint="eastAsia" w:eastAsia="宋体"/>
                      <w:b/>
                      <w:bCs/>
                      <w:color w:val="auto"/>
                      <w:szCs w:val="21"/>
                      <w:u w:val="single"/>
                      <w:lang w:val="en-US" w:eastAsia="zh-CN"/>
                    </w:rPr>
                  </w:pPr>
                  <w:r>
                    <w:rPr>
                      <w:b/>
                      <w:bCs/>
                      <w:color w:val="auto"/>
                      <w:szCs w:val="21"/>
                      <w:u w:val="single"/>
                    </w:rPr>
                    <w:t>甲苯</w:t>
                  </w:r>
                </w:p>
              </w:tc>
              <w:tc>
                <w:tcPr>
                  <w:tcW w:w="1622" w:type="dxa"/>
                  <w:tcBorders>
                    <w:bottom w:val="single" w:color="auto" w:sz="4" w:space="0"/>
                  </w:tcBorders>
                  <w:vAlign w:val="center"/>
                </w:tcPr>
                <w:p w14:paraId="0DADCE3C">
                  <w:pPr>
                    <w:snapToGrid w:val="0"/>
                    <w:jc w:val="center"/>
                    <w:rPr>
                      <w:b/>
                      <w:bCs/>
                      <w:color w:val="auto"/>
                      <w:szCs w:val="21"/>
                      <w:u w:val="single"/>
                    </w:rPr>
                  </w:pPr>
                  <w:r>
                    <w:rPr>
                      <w:b/>
                      <w:bCs/>
                      <w:color w:val="auto"/>
                      <w:szCs w:val="21"/>
                      <w:u w:val="single"/>
                    </w:rPr>
                    <w:t>108-88-3</w:t>
                  </w:r>
                </w:p>
              </w:tc>
              <w:tc>
                <w:tcPr>
                  <w:tcW w:w="1301" w:type="dxa"/>
                  <w:tcBorders>
                    <w:bottom w:val="single" w:color="auto" w:sz="4" w:space="0"/>
                  </w:tcBorders>
                  <w:vAlign w:val="center"/>
                </w:tcPr>
                <w:p w14:paraId="5D52DE37">
                  <w:pPr>
                    <w:snapToGrid w:val="0"/>
                    <w:jc w:val="center"/>
                    <w:rPr>
                      <w:b/>
                      <w:bCs/>
                      <w:color w:val="auto"/>
                      <w:szCs w:val="21"/>
                      <w:u w:val="single"/>
                    </w:rPr>
                  </w:pPr>
                  <w:r>
                    <w:rPr>
                      <w:b/>
                      <w:bCs/>
                      <w:color w:val="auto"/>
                      <w:szCs w:val="21"/>
                      <w:u w:val="single"/>
                    </w:rPr>
                    <w:t>10</w:t>
                  </w:r>
                </w:p>
              </w:tc>
              <w:tc>
                <w:tcPr>
                  <w:tcW w:w="1839" w:type="dxa"/>
                  <w:tcBorders>
                    <w:bottom w:val="single" w:color="auto" w:sz="4" w:space="0"/>
                  </w:tcBorders>
                  <w:vAlign w:val="center"/>
                </w:tcPr>
                <w:p w14:paraId="210C206C">
                  <w:pPr>
                    <w:pStyle w:val="57"/>
                    <w:rPr>
                      <w:rFonts w:hint="default" w:ascii="Times New Roman" w:hAnsi="Times New Roman" w:eastAsia="宋体" w:cs="Times New Roman"/>
                      <w:b/>
                      <w:bCs/>
                      <w:color w:val="auto"/>
                      <w:szCs w:val="21"/>
                      <w:u w:val="single"/>
                      <w:lang w:val="en-US" w:eastAsia="zh-CN"/>
                    </w:rPr>
                  </w:pPr>
                  <w:r>
                    <w:rPr>
                      <w:rFonts w:hint="eastAsia" w:ascii="Times New Roman" w:hAnsi="Times New Roman" w:cs="Times New Roman"/>
                      <w:b/>
                      <w:bCs/>
                      <w:color w:val="auto"/>
                      <w:szCs w:val="21"/>
                      <w:u w:val="single"/>
                      <w:lang w:val="en-US" w:eastAsia="zh-CN"/>
                    </w:rPr>
                    <w:t>0.1562</w:t>
                  </w:r>
                </w:p>
              </w:tc>
              <w:tc>
                <w:tcPr>
                  <w:tcW w:w="1225" w:type="dxa"/>
                  <w:tcBorders>
                    <w:bottom w:val="single" w:color="auto" w:sz="4" w:space="0"/>
                  </w:tcBorders>
                  <w:vAlign w:val="center"/>
                </w:tcPr>
                <w:p w14:paraId="466FB919">
                  <w:pPr>
                    <w:pStyle w:val="57"/>
                    <w:rPr>
                      <w:rFonts w:hint="default" w:ascii="Times New Roman" w:hAnsi="Times New Roman" w:eastAsia="宋体" w:cs="Times New Roman"/>
                      <w:b/>
                      <w:bCs/>
                      <w:color w:val="auto"/>
                      <w:szCs w:val="21"/>
                      <w:u w:val="single"/>
                      <w:lang w:val="en-US" w:eastAsia="zh-CN"/>
                    </w:rPr>
                  </w:pPr>
                  <w:r>
                    <w:rPr>
                      <w:rFonts w:hint="eastAsia" w:ascii="Times New Roman" w:hAnsi="Times New Roman" w:cs="Times New Roman"/>
                      <w:b/>
                      <w:bCs/>
                      <w:color w:val="auto"/>
                      <w:szCs w:val="21"/>
                      <w:u w:val="single"/>
                      <w:lang w:val="en-US" w:eastAsia="zh-CN"/>
                    </w:rPr>
                    <w:t>0.01562</w:t>
                  </w:r>
                </w:p>
              </w:tc>
            </w:tr>
            <w:tr w14:paraId="077AF7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805" w:type="dxa"/>
                  <w:tcBorders>
                    <w:top w:val="single" w:color="auto" w:sz="4" w:space="0"/>
                  </w:tcBorders>
                  <w:vAlign w:val="center"/>
                </w:tcPr>
                <w:p w14:paraId="435CF2FF">
                  <w:pPr>
                    <w:pStyle w:val="57"/>
                    <w:rPr>
                      <w:rFonts w:ascii="Times New Roman" w:hAnsi="Times New Roman" w:cs="Times New Roman"/>
                      <w:b/>
                      <w:bCs/>
                      <w:color w:val="auto"/>
                      <w:szCs w:val="21"/>
                      <w:u w:val="single"/>
                    </w:rPr>
                  </w:pPr>
                  <w:r>
                    <w:rPr>
                      <w:rFonts w:hint="eastAsia" w:ascii="Times New Roman" w:hAnsi="Times New Roman" w:cs="Times New Roman"/>
                      <w:b/>
                      <w:bCs/>
                      <w:color w:val="auto"/>
                      <w:szCs w:val="21"/>
                      <w:u w:val="single"/>
                    </w:rPr>
                    <w:t>2</w:t>
                  </w:r>
                </w:p>
              </w:tc>
              <w:tc>
                <w:tcPr>
                  <w:tcW w:w="1689" w:type="dxa"/>
                  <w:tcBorders>
                    <w:top w:val="single" w:color="auto" w:sz="4" w:space="0"/>
                  </w:tcBorders>
                  <w:vAlign w:val="center"/>
                </w:tcPr>
                <w:p w14:paraId="5C442666">
                  <w:pPr>
                    <w:snapToGrid w:val="0"/>
                    <w:jc w:val="center"/>
                    <w:rPr>
                      <w:b/>
                      <w:bCs/>
                      <w:color w:val="auto"/>
                      <w:szCs w:val="21"/>
                      <w:u w:val="single"/>
                    </w:rPr>
                  </w:pPr>
                  <w:r>
                    <w:rPr>
                      <w:b/>
                      <w:bCs/>
                      <w:color w:val="auto"/>
                      <w:szCs w:val="21"/>
                      <w:u w:val="single"/>
                    </w:rPr>
                    <w:t>二甲苯</w:t>
                  </w:r>
                </w:p>
              </w:tc>
              <w:tc>
                <w:tcPr>
                  <w:tcW w:w="1622" w:type="dxa"/>
                  <w:tcBorders>
                    <w:top w:val="single" w:color="auto" w:sz="4" w:space="0"/>
                  </w:tcBorders>
                  <w:vAlign w:val="center"/>
                </w:tcPr>
                <w:p w14:paraId="7CA1349E">
                  <w:pPr>
                    <w:snapToGrid w:val="0"/>
                    <w:jc w:val="center"/>
                    <w:rPr>
                      <w:b/>
                      <w:bCs/>
                      <w:color w:val="auto"/>
                      <w:szCs w:val="21"/>
                      <w:u w:val="single"/>
                    </w:rPr>
                  </w:pPr>
                  <w:r>
                    <w:rPr>
                      <w:b/>
                      <w:bCs/>
                      <w:color w:val="auto"/>
                      <w:szCs w:val="21"/>
                      <w:u w:val="single"/>
                    </w:rPr>
                    <w:t>1330-20-7</w:t>
                  </w:r>
                </w:p>
              </w:tc>
              <w:tc>
                <w:tcPr>
                  <w:tcW w:w="1301" w:type="dxa"/>
                  <w:tcBorders>
                    <w:top w:val="single" w:color="auto" w:sz="4" w:space="0"/>
                  </w:tcBorders>
                  <w:vAlign w:val="center"/>
                </w:tcPr>
                <w:p w14:paraId="5A35518A">
                  <w:pPr>
                    <w:snapToGrid w:val="0"/>
                    <w:jc w:val="center"/>
                    <w:rPr>
                      <w:b/>
                      <w:bCs/>
                      <w:color w:val="auto"/>
                      <w:szCs w:val="21"/>
                      <w:u w:val="single"/>
                    </w:rPr>
                  </w:pPr>
                  <w:r>
                    <w:rPr>
                      <w:b/>
                      <w:bCs/>
                      <w:color w:val="auto"/>
                      <w:szCs w:val="21"/>
                      <w:u w:val="single"/>
                    </w:rPr>
                    <w:t>10</w:t>
                  </w:r>
                </w:p>
              </w:tc>
              <w:tc>
                <w:tcPr>
                  <w:tcW w:w="1839" w:type="dxa"/>
                  <w:tcBorders>
                    <w:top w:val="single" w:color="auto" w:sz="4" w:space="0"/>
                  </w:tcBorders>
                  <w:vAlign w:val="center"/>
                </w:tcPr>
                <w:p w14:paraId="27612615">
                  <w:pPr>
                    <w:pStyle w:val="57"/>
                    <w:rPr>
                      <w:rFonts w:hint="default" w:ascii="Times New Roman" w:hAnsi="Times New Roman" w:eastAsia="宋体" w:cs="Times New Roman"/>
                      <w:b/>
                      <w:bCs/>
                      <w:color w:val="auto"/>
                      <w:szCs w:val="21"/>
                      <w:u w:val="single"/>
                      <w:lang w:val="en-US" w:eastAsia="zh-CN"/>
                    </w:rPr>
                  </w:pPr>
                  <w:r>
                    <w:rPr>
                      <w:rFonts w:hint="eastAsia" w:ascii="Times New Roman" w:hAnsi="Times New Roman" w:cs="Times New Roman"/>
                      <w:b/>
                      <w:bCs/>
                      <w:color w:val="auto"/>
                      <w:szCs w:val="21"/>
                      <w:u w:val="single"/>
                      <w:lang w:val="en-US" w:eastAsia="zh-CN"/>
                    </w:rPr>
                    <w:t>0.1562</w:t>
                  </w:r>
                </w:p>
              </w:tc>
              <w:tc>
                <w:tcPr>
                  <w:tcW w:w="1225" w:type="dxa"/>
                  <w:tcBorders>
                    <w:top w:val="single" w:color="auto" w:sz="4" w:space="0"/>
                  </w:tcBorders>
                  <w:vAlign w:val="center"/>
                </w:tcPr>
                <w:p w14:paraId="5701932F">
                  <w:pPr>
                    <w:pStyle w:val="57"/>
                    <w:rPr>
                      <w:rFonts w:hint="default" w:ascii="Times New Roman" w:hAnsi="Times New Roman" w:eastAsia="宋体" w:cs="Times New Roman"/>
                      <w:b/>
                      <w:bCs/>
                      <w:color w:val="auto"/>
                      <w:szCs w:val="21"/>
                      <w:u w:val="single"/>
                      <w:lang w:val="en-US" w:eastAsia="zh-CN"/>
                    </w:rPr>
                  </w:pPr>
                  <w:r>
                    <w:rPr>
                      <w:rFonts w:hint="eastAsia" w:ascii="Times New Roman" w:hAnsi="Times New Roman" w:cs="Times New Roman"/>
                      <w:b/>
                      <w:bCs/>
                      <w:color w:val="auto"/>
                      <w:szCs w:val="21"/>
                      <w:u w:val="single"/>
                      <w:lang w:val="en-US" w:eastAsia="zh-CN"/>
                    </w:rPr>
                    <w:t>0.01562</w:t>
                  </w:r>
                </w:p>
              </w:tc>
            </w:tr>
            <w:tr w14:paraId="6B6303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 w:hRule="atLeast"/>
              </w:trPr>
              <w:tc>
                <w:tcPr>
                  <w:tcW w:w="805" w:type="dxa"/>
                  <w:tcBorders>
                    <w:top w:val="single" w:color="auto" w:sz="4" w:space="0"/>
                  </w:tcBorders>
                  <w:vAlign w:val="center"/>
                </w:tcPr>
                <w:p w14:paraId="4B1D6598">
                  <w:pPr>
                    <w:pStyle w:val="57"/>
                    <w:rPr>
                      <w:rFonts w:hint="eastAsia" w:ascii="Times New Roman" w:hAnsi="Times New Roman" w:eastAsia="宋体" w:cs="Times New Roman"/>
                      <w:b/>
                      <w:bCs/>
                      <w:color w:val="auto"/>
                      <w:szCs w:val="21"/>
                      <w:u w:val="single"/>
                      <w:lang w:val="en-US" w:eastAsia="zh-CN"/>
                    </w:rPr>
                  </w:pPr>
                  <w:r>
                    <w:rPr>
                      <w:rFonts w:hint="eastAsia" w:ascii="Times New Roman" w:hAnsi="Times New Roman" w:cs="Times New Roman"/>
                      <w:b/>
                      <w:bCs/>
                      <w:color w:val="auto"/>
                      <w:szCs w:val="21"/>
                      <w:u w:val="single"/>
                      <w:lang w:val="en-US" w:eastAsia="zh-CN"/>
                    </w:rPr>
                    <w:t>3</w:t>
                  </w:r>
                </w:p>
              </w:tc>
              <w:tc>
                <w:tcPr>
                  <w:tcW w:w="1689" w:type="dxa"/>
                  <w:tcBorders>
                    <w:top w:val="single" w:color="auto" w:sz="4" w:space="0"/>
                  </w:tcBorders>
                  <w:vAlign w:val="center"/>
                </w:tcPr>
                <w:p w14:paraId="12095F66">
                  <w:pPr>
                    <w:snapToGrid w:val="0"/>
                    <w:jc w:val="center"/>
                    <w:rPr>
                      <w:rFonts w:hint="default" w:eastAsia="宋体"/>
                      <w:b/>
                      <w:bCs/>
                      <w:color w:val="auto"/>
                      <w:szCs w:val="21"/>
                      <w:u w:val="single"/>
                      <w:lang w:val="en-US" w:eastAsia="zh-CN"/>
                    </w:rPr>
                  </w:pPr>
                  <w:r>
                    <w:rPr>
                      <w:rFonts w:hint="eastAsia"/>
                      <w:b/>
                      <w:bCs/>
                      <w:color w:val="auto"/>
                      <w:szCs w:val="21"/>
                      <w:u w:val="single"/>
                      <w:lang w:val="en-US" w:eastAsia="zh-CN"/>
                    </w:rPr>
                    <w:t>废机油、废液压油</w:t>
                  </w:r>
                </w:p>
              </w:tc>
              <w:tc>
                <w:tcPr>
                  <w:tcW w:w="1622" w:type="dxa"/>
                  <w:tcBorders>
                    <w:top w:val="single" w:color="auto" w:sz="4" w:space="0"/>
                  </w:tcBorders>
                  <w:vAlign w:val="center"/>
                </w:tcPr>
                <w:p w14:paraId="26CD211C">
                  <w:pPr>
                    <w:snapToGrid w:val="0"/>
                    <w:jc w:val="center"/>
                    <w:rPr>
                      <w:rFonts w:hint="eastAsia" w:eastAsia="宋体"/>
                      <w:b/>
                      <w:bCs/>
                      <w:color w:val="auto"/>
                      <w:szCs w:val="21"/>
                      <w:u w:val="single"/>
                      <w:lang w:val="en-US" w:eastAsia="zh-CN"/>
                    </w:rPr>
                  </w:pPr>
                  <w:r>
                    <w:rPr>
                      <w:rFonts w:hint="eastAsia"/>
                      <w:b/>
                      <w:bCs/>
                      <w:color w:val="auto"/>
                      <w:szCs w:val="21"/>
                      <w:u w:val="single"/>
                      <w:lang w:val="en-US" w:eastAsia="zh-CN"/>
                    </w:rPr>
                    <w:t>/</w:t>
                  </w:r>
                </w:p>
              </w:tc>
              <w:tc>
                <w:tcPr>
                  <w:tcW w:w="1301" w:type="dxa"/>
                  <w:tcBorders>
                    <w:top w:val="single" w:color="auto" w:sz="4" w:space="0"/>
                  </w:tcBorders>
                  <w:vAlign w:val="center"/>
                </w:tcPr>
                <w:p w14:paraId="744BF9EC">
                  <w:pPr>
                    <w:snapToGrid w:val="0"/>
                    <w:jc w:val="center"/>
                    <w:rPr>
                      <w:rFonts w:hint="default" w:eastAsia="宋体"/>
                      <w:b/>
                      <w:bCs/>
                      <w:color w:val="auto"/>
                      <w:szCs w:val="21"/>
                      <w:u w:val="single"/>
                      <w:lang w:val="en-US" w:eastAsia="zh-CN"/>
                    </w:rPr>
                  </w:pPr>
                  <w:r>
                    <w:rPr>
                      <w:rFonts w:hint="eastAsia"/>
                      <w:b/>
                      <w:bCs/>
                      <w:color w:val="auto"/>
                      <w:szCs w:val="21"/>
                      <w:u w:val="single"/>
                      <w:lang w:val="en-US" w:eastAsia="zh-CN"/>
                    </w:rPr>
                    <w:t>2500</w:t>
                  </w:r>
                </w:p>
              </w:tc>
              <w:tc>
                <w:tcPr>
                  <w:tcW w:w="1839" w:type="dxa"/>
                  <w:tcBorders>
                    <w:top w:val="single" w:color="auto" w:sz="4" w:space="0"/>
                  </w:tcBorders>
                  <w:vAlign w:val="center"/>
                </w:tcPr>
                <w:p w14:paraId="792506D4">
                  <w:pPr>
                    <w:pStyle w:val="57"/>
                    <w:rPr>
                      <w:rFonts w:hint="default" w:ascii="Times New Roman" w:hAnsi="Times New Roman" w:eastAsia="宋体" w:cs="Times New Roman"/>
                      <w:b/>
                      <w:bCs/>
                      <w:color w:val="auto"/>
                      <w:szCs w:val="21"/>
                      <w:u w:val="single"/>
                      <w:lang w:val="en-US" w:eastAsia="zh-CN"/>
                    </w:rPr>
                  </w:pPr>
                  <w:r>
                    <w:rPr>
                      <w:rFonts w:hint="eastAsia" w:ascii="Times New Roman" w:hAnsi="Times New Roman" w:cs="Times New Roman"/>
                      <w:b/>
                      <w:bCs/>
                      <w:color w:val="auto"/>
                      <w:szCs w:val="21"/>
                      <w:u w:val="single"/>
                      <w:lang w:val="en-US" w:eastAsia="zh-CN"/>
                    </w:rPr>
                    <w:t>0.45</w:t>
                  </w:r>
                </w:p>
              </w:tc>
              <w:tc>
                <w:tcPr>
                  <w:tcW w:w="1225" w:type="dxa"/>
                  <w:tcBorders>
                    <w:top w:val="single" w:color="auto" w:sz="4" w:space="0"/>
                  </w:tcBorders>
                  <w:vAlign w:val="center"/>
                </w:tcPr>
                <w:p w14:paraId="2AE2C96B">
                  <w:pPr>
                    <w:pStyle w:val="57"/>
                    <w:rPr>
                      <w:rFonts w:hint="default" w:ascii="Times New Roman" w:hAnsi="Times New Roman" w:eastAsia="宋体" w:cs="Times New Roman"/>
                      <w:b/>
                      <w:bCs/>
                      <w:color w:val="auto"/>
                      <w:szCs w:val="21"/>
                      <w:u w:val="single"/>
                      <w:lang w:val="en-US" w:eastAsia="zh-CN"/>
                    </w:rPr>
                  </w:pPr>
                  <w:r>
                    <w:rPr>
                      <w:rFonts w:hint="eastAsia" w:ascii="Times New Roman" w:hAnsi="Times New Roman" w:cs="Times New Roman"/>
                      <w:b/>
                      <w:bCs/>
                      <w:color w:val="auto"/>
                      <w:szCs w:val="21"/>
                      <w:u w:val="single"/>
                      <w:lang w:val="en-US" w:eastAsia="zh-CN"/>
                    </w:rPr>
                    <w:t>0.00018</w:t>
                  </w:r>
                </w:p>
              </w:tc>
            </w:tr>
            <w:tr w14:paraId="5CB94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256" w:type="dxa"/>
                  <w:gridSpan w:val="5"/>
                  <w:vAlign w:val="center"/>
                </w:tcPr>
                <w:p w14:paraId="64B0CFE5">
                  <w:pPr>
                    <w:pStyle w:val="57"/>
                    <w:rPr>
                      <w:rFonts w:ascii="Times New Roman" w:hAnsi="Times New Roman" w:cs="Times New Roman"/>
                      <w:b/>
                      <w:bCs/>
                      <w:color w:val="auto"/>
                      <w:szCs w:val="21"/>
                      <w:u w:val="single"/>
                    </w:rPr>
                  </w:pPr>
                  <w:r>
                    <w:rPr>
                      <w:rFonts w:ascii="Times New Roman" w:hAnsi="Times New Roman" w:cs="Times New Roman"/>
                      <w:b/>
                      <w:bCs/>
                      <w:color w:val="auto"/>
                      <w:szCs w:val="21"/>
                      <w:u w:val="single"/>
                    </w:rPr>
                    <w:t>合计</w:t>
                  </w:r>
                </w:p>
              </w:tc>
              <w:tc>
                <w:tcPr>
                  <w:tcW w:w="1225" w:type="dxa"/>
                  <w:vAlign w:val="center"/>
                </w:tcPr>
                <w:p w14:paraId="46B9D302">
                  <w:pPr>
                    <w:pStyle w:val="57"/>
                    <w:rPr>
                      <w:rFonts w:hint="default" w:ascii="Times New Roman" w:hAnsi="Times New Roman" w:eastAsia="宋体" w:cs="Times New Roman"/>
                      <w:b/>
                      <w:bCs/>
                      <w:color w:val="auto"/>
                      <w:szCs w:val="21"/>
                      <w:u w:val="single"/>
                      <w:lang w:val="en-US" w:eastAsia="zh-CN"/>
                    </w:rPr>
                  </w:pPr>
                  <w:r>
                    <w:rPr>
                      <w:rFonts w:hint="eastAsia" w:ascii="Times New Roman" w:hAnsi="Times New Roman" w:cs="Times New Roman"/>
                      <w:b/>
                      <w:bCs/>
                      <w:color w:val="auto"/>
                      <w:szCs w:val="21"/>
                      <w:u w:val="single"/>
                      <w:lang w:val="en-US" w:eastAsia="zh-CN"/>
                    </w:rPr>
                    <w:t>0.03142</w:t>
                  </w:r>
                </w:p>
              </w:tc>
            </w:tr>
            <w:tr w14:paraId="576284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8481" w:type="dxa"/>
                  <w:gridSpan w:val="6"/>
                  <w:vAlign w:val="center"/>
                </w:tcPr>
                <w:p w14:paraId="12858088">
                  <w:pPr>
                    <w:pStyle w:val="57"/>
                    <w:jc w:val="both"/>
                    <w:rPr>
                      <w:rFonts w:ascii="Times New Roman" w:hAnsi="Times New Roman" w:cs="Times New Roman"/>
                      <w:b/>
                      <w:bCs/>
                      <w:color w:val="auto"/>
                      <w:szCs w:val="21"/>
                      <w:u w:val="single"/>
                    </w:rPr>
                  </w:pPr>
                  <w:r>
                    <w:rPr>
                      <w:rFonts w:ascii="Times New Roman" w:hAnsi="Times New Roman" w:cs="Times New Roman"/>
                      <w:b/>
                      <w:bCs/>
                      <w:color w:val="auto"/>
                      <w:szCs w:val="21"/>
                      <w:u w:val="single"/>
                    </w:rPr>
                    <w:t>*最大存在量：按照油漆成分折算而来</w:t>
                  </w:r>
                  <w:r>
                    <w:rPr>
                      <w:rFonts w:hint="eastAsia" w:ascii="Times New Roman" w:hAnsi="Times New Roman" w:cs="Times New Roman"/>
                      <w:b/>
                      <w:bCs/>
                      <w:color w:val="auto"/>
                      <w:szCs w:val="21"/>
                      <w:u w:val="single"/>
                    </w:rPr>
                    <w:t>，油漆最大储存量为0.</w:t>
                  </w:r>
                  <w:r>
                    <w:rPr>
                      <w:rFonts w:hint="eastAsia" w:ascii="Times New Roman" w:hAnsi="Times New Roman" w:cs="Times New Roman"/>
                      <w:b/>
                      <w:bCs/>
                      <w:color w:val="auto"/>
                      <w:szCs w:val="21"/>
                      <w:u w:val="single"/>
                      <w:lang w:val="en-US" w:eastAsia="zh-CN"/>
                    </w:rPr>
                    <w:t>1</w:t>
                  </w:r>
                  <w:r>
                    <w:rPr>
                      <w:rFonts w:hint="eastAsia" w:ascii="Times New Roman" w:hAnsi="Times New Roman" w:cs="Times New Roman"/>
                      <w:b/>
                      <w:bCs/>
                      <w:color w:val="auto"/>
                      <w:szCs w:val="21"/>
                      <w:u w:val="single"/>
                    </w:rPr>
                    <w:t>t，甲苯、二甲苯均按</w:t>
                  </w:r>
                  <w:r>
                    <w:rPr>
                      <w:rFonts w:hint="eastAsia" w:ascii="Times New Roman" w:hAnsi="Times New Roman" w:cs="Times New Roman"/>
                      <w:b/>
                      <w:bCs/>
                      <w:color w:val="auto"/>
                      <w:szCs w:val="21"/>
                      <w:u w:val="single"/>
                      <w:lang w:val="en-US" w:eastAsia="zh-CN"/>
                    </w:rPr>
                    <w:t>6.2</w:t>
                  </w:r>
                  <w:r>
                    <w:rPr>
                      <w:rFonts w:hint="eastAsia" w:ascii="Times New Roman" w:hAnsi="Times New Roman" w:cs="Times New Roman"/>
                      <w:b/>
                      <w:bCs/>
                      <w:color w:val="auto"/>
                      <w:szCs w:val="21"/>
                      <w:u w:val="single"/>
                    </w:rPr>
                    <w:t>%计，</w:t>
                  </w:r>
                  <w:r>
                    <w:rPr>
                      <w:rFonts w:hint="eastAsia" w:ascii="Times New Roman" w:hAnsi="Times New Roman" w:cs="Times New Roman"/>
                      <w:b/>
                      <w:bCs/>
                      <w:color w:val="auto"/>
                      <w:szCs w:val="21"/>
                      <w:u w:val="single"/>
                      <w:lang w:val="en-US" w:eastAsia="zh-CN"/>
                    </w:rPr>
                    <w:t>稀释剂最大储存量为0.5t，</w:t>
                  </w:r>
                  <w:r>
                    <w:rPr>
                      <w:rFonts w:hint="eastAsia" w:ascii="Times New Roman" w:hAnsi="Times New Roman" w:cs="Times New Roman"/>
                      <w:b/>
                      <w:bCs/>
                      <w:color w:val="auto"/>
                      <w:szCs w:val="21"/>
                      <w:u w:val="single"/>
                    </w:rPr>
                    <w:t>甲苯、二甲苯均按</w:t>
                  </w:r>
                  <w:r>
                    <w:rPr>
                      <w:rFonts w:hint="eastAsia" w:ascii="Times New Roman" w:hAnsi="Times New Roman" w:cs="Times New Roman"/>
                      <w:b/>
                      <w:bCs/>
                      <w:color w:val="auto"/>
                      <w:szCs w:val="21"/>
                      <w:u w:val="single"/>
                      <w:lang w:val="en-US" w:eastAsia="zh-CN"/>
                    </w:rPr>
                    <w:t>30</w:t>
                  </w:r>
                  <w:r>
                    <w:rPr>
                      <w:rFonts w:hint="eastAsia" w:ascii="Times New Roman" w:hAnsi="Times New Roman" w:cs="Times New Roman"/>
                      <w:b/>
                      <w:bCs/>
                      <w:color w:val="auto"/>
                      <w:szCs w:val="21"/>
                      <w:u w:val="single"/>
                    </w:rPr>
                    <w:t>%计，则甲苯最大储存量：</w:t>
                  </w:r>
                  <w:r>
                    <w:rPr>
                      <w:rFonts w:hint="eastAsia" w:ascii="Times New Roman" w:hAnsi="Times New Roman" w:cs="Times New Roman"/>
                      <w:b/>
                      <w:bCs/>
                      <w:color w:val="auto"/>
                      <w:szCs w:val="21"/>
                      <w:u w:val="single"/>
                      <w:lang w:val="en-US" w:eastAsia="zh-CN"/>
                    </w:rPr>
                    <w:t>0.1562t</w:t>
                  </w:r>
                  <w:r>
                    <w:rPr>
                      <w:rFonts w:hint="eastAsia" w:ascii="Times New Roman" w:hAnsi="Times New Roman" w:cs="Times New Roman"/>
                      <w:b/>
                      <w:bCs/>
                      <w:color w:val="auto"/>
                      <w:szCs w:val="21"/>
                      <w:u w:val="single"/>
                    </w:rPr>
                    <w:t>；二甲苯最大储存量</w:t>
                  </w:r>
                  <w:r>
                    <w:rPr>
                      <w:rFonts w:hint="eastAsia" w:ascii="Times New Roman" w:hAnsi="Times New Roman" w:cs="Times New Roman"/>
                      <w:b/>
                      <w:bCs/>
                      <w:color w:val="auto"/>
                      <w:szCs w:val="21"/>
                      <w:u w:val="single"/>
                      <w:lang w:val="en-US" w:eastAsia="zh-CN"/>
                    </w:rPr>
                    <w:t>0.1562</w:t>
                  </w:r>
                  <w:r>
                    <w:rPr>
                      <w:rFonts w:hint="eastAsia" w:ascii="Times New Roman" w:hAnsi="Times New Roman" w:cs="Times New Roman"/>
                      <w:b/>
                      <w:bCs/>
                      <w:color w:val="auto"/>
                      <w:szCs w:val="21"/>
                      <w:u w:val="single"/>
                    </w:rPr>
                    <w:t>t。</w:t>
                  </w:r>
                </w:p>
              </w:tc>
            </w:tr>
          </w:tbl>
          <w:p w14:paraId="1B0F758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napToGrid w:val="0"/>
                <w:color w:val="auto"/>
                <w:sz w:val="24"/>
              </w:rPr>
            </w:pPr>
            <w:r>
              <w:rPr>
                <w:rFonts w:hint="eastAsia"/>
                <w:snapToGrid w:val="0"/>
                <w:color w:val="auto"/>
                <w:sz w:val="24"/>
              </w:rPr>
              <w:t>（2）</w:t>
            </w:r>
            <w:r>
              <w:rPr>
                <w:snapToGrid w:val="0"/>
                <w:color w:val="auto"/>
                <w:sz w:val="24"/>
              </w:rPr>
              <w:t>可能影响环境的途径</w:t>
            </w:r>
          </w:p>
          <w:p w14:paraId="609E9B6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napToGrid w:val="0"/>
                <w:color w:val="auto"/>
                <w:sz w:val="24"/>
              </w:rPr>
            </w:pPr>
            <w:r>
              <w:rPr>
                <w:snapToGrid w:val="0"/>
                <w:color w:val="auto"/>
                <w:sz w:val="24"/>
              </w:rPr>
              <w:fldChar w:fldCharType="begin"/>
            </w:r>
            <w:r>
              <w:rPr>
                <w:snapToGrid w:val="0"/>
                <w:color w:val="auto"/>
                <w:sz w:val="24"/>
              </w:rPr>
              <w:instrText xml:space="preserve"> = 1 \* GB3 \* MERGEFORMAT </w:instrText>
            </w:r>
            <w:r>
              <w:rPr>
                <w:snapToGrid w:val="0"/>
                <w:color w:val="auto"/>
                <w:sz w:val="24"/>
              </w:rPr>
              <w:fldChar w:fldCharType="separate"/>
            </w:r>
            <w:r>
              <w:rPr>
                <w:snapToGrid w:val="0"/>
                <w:color w:val="auto"/>
                <w:sz w:val="24"/>
              </w:rPr>
              <w:t>①</w:t>
            </w:r>
            <w:r>
              <w:rPr>
                <w:snapToGrid w:val="0"/>
                <w:color w:val="auto"/>
                <w:sz w:val="24"/>
              </w:rPr>
              <w:fldChar w:fldCharType="end"/>
            </w:r>
            <w:r>
              <w:rPr>
                <w:snapToGrid w:val="0"/>
                <w:color w:val="auto"/>
                <w:sz w:val="24"/>
              </w:rPr>
              <w:t>大气环境</w:t>
            </w:r>
          </w:p>
          <w:p w14:paraId="01286EB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napToGrid w:val="0"/>
                <w:color w:val="auto"/>
                <w:sz w:val="24"/>
              </w:rPr>
            </w:pPr>
            <w:r>
              <w:rPr>
                <w:snapToGrid w:val="0"/>
                <w:color w:val="auto"/>
                <w:sz w:val="24"/>
              </w:rPr>
              <w:t>漆料储存、使用过程中发生</w:t>
            </w:r>
            <w:r>
              <w:rPr>
                <w:rFonts w:hint="eastAsia"/>
                <w:snapToGrid w:val="0"/>
                <w:color w:val="auto"/>
                <w:sz w:val="24"/>
                <w:lang w:val="en-US" w:eastAsia="zh-CN"/>
              </w:rPr>
              <w:t>因</w:t>
            </w:r>
            <w:r>
              <w:rPr>
                <w:rFonts w:hint="eastAsia"/>
                <w:b/>
                <w:bCs/>
                <w:snapToGrid w:val="0"/>
                <w:color w:val="auto"/>
                <w:sz w:val="24"/>
                <w:u w:val="single"/>
                <w:lang w:val="en-US" w:eastAsia="zh-CN"/>
              </w:rPr>
              <w:t>木材着火而引发</w:t>
            </w:r>
            <w:r>
              <w:rPr>
                <w:b/>
                <w:bCs/>
                <w:snapToGrid w:val="0"/>
                <w:color w:val="auto"/>
                <w:sz w:val="24"/>
                <w:u w:val="single"/>
              </w:rPr>
              <w:t>漆料</w:t>
            </w:r>
            <w:r>
              <w:rPr>
                <w:rFonts w:hint="eastAsia"/>
                <w:b/>
                <w:bCs/>
                <w:snapToGrid w:val="0"/>
                <w:color w:val="auto"/>
                <w:sz w:val="24"/>
                <w:u w:val="single"/>
                <w:lang w:val="en-US" w:eastAsia="zh-CN"/>
              </w:rPr>
              <w:t>燃烧</w:t>
            </w:r>
            <w:r>
              <w:rPr>
                <w:snapToGrid w:val="0"/>
                <w:color w:val="auto"/>
                <w:sz w:val="24"/>
              </w:rPr>
              <w:t>，导致漆料中甲苯、二甲苯等挥发性有机物挥发到大气中，将对大气环境造成一定的污染。项目发生火灾时或爆炸时，因油性漆、水性漆燃烧不完全，伴生/次生CO等燃烧废气，会对大气环境产生一定的影响</w:t>
            </w:r>
          </w:p>
          <w:p w14:paraId="187B9A8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napToGrid w:val="0"/>
                <w:color w:val="auto"/>
                <w:sz w:val="24"/>
              </w:rPr>
            </w:pPr>
            <w:r>
              <w:rPr>
                <w:snapToGrid w:val="0"/>
                <w:color w:val="auto"/>
                <w:sz w:val="24"/>
              </w:rPr>
              <w:fldChar w:fldCharType="begin"/>
            </w:r>
            <w:r>
              <w:rPr>
                <w:snapToGrid w:val="0"/>
                <w:color w:val="auto"/>
                <w:sz w:val="24"/>
              </w:rPr>
              <w:instrText xml:space="preserve"> = 2 \* GB3 \* MERGEFORMAT </w:instrText>
            </w:r>
            <w:r>
              <w:rPr>
                <w:snapToGrid w:val="0"/>
                <w:color w:val="auto"/>
                <w:sz w:val="24"/>
              </w:rPr>
              <w:fldChar w:fldCharType="separate"/>
            </w:r>
            <w:r>
              <w:rPr>
                <w:snapToGrid w:val="0"/>
                <w:color w:val="auto"/>
                <w:sz w:val="24"/>
              </w:rPr>
              <w:t>②</w:t>
            </w:r>
            <w:r>
              <w:rPr>
                <w:snapToGrid w:val="0"/>
                <w:color w:val="auto"/>
                <w:sz w:val="24"/>
              </w:rPr>
              <w:fldChar w:fldCharType="end"/>
            </w:r>
            <w:r>
              <w:rPr>
                <w:snapToGrid w:val="0"/>
                <w:color w:val="auto"/>
                <w:sz w:val="24"/>
              </w:rPr>
              <w:t>地表水影响</w:t>
            </w:r>
          </w:p>
          <w:p w14:paraId="1715084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napToGrid w:val="0"/>
                <w:color w:val="auto"/>
                <w:sz w:val="24"/>
              </w:rPr>
            </w:pPr>
            <w:r>
              <w:rPr>
                <w:snapToGrid w:val="0"/>
                <w:color w:val="auto"/>
                <w:sz w:val="24"/>
              </w:rPr>
              <w:t>泄漏的漆料或消防废水一旦进入地表河流，将造成地表河流的污染。影响小到几公里大到几十公里。污染首先将地表河流的景观破坏，产生严重的刺鼻气味；其次，由于有机烃类难溶于水，大部分上浮在水层表面，形成一层漆膜使空气与水隔离，造成水中溶解氧降低，逐渐形成死水，致使水中生物死亡；再次，漆料一旦进入水环境，由于可生化性较差，造成被污染水体长时间得不到净化，完全恢复需要十几年，甚至几十年的时间。</w:t>
            </w:r>
          </w:p>
          <w:p w14:paraId="2A1E642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napToGrid w:val="0"/>
                <w:color w:val="auto"/>
                <w:sz w:val="24"/>
              </w:rPr>
            </w:pPr>
            <w:r>
              <w:rPr>
                <w:snapToGrid w:val="0"/>
                <w:color w:val="auto"/>
                <w:sz w:val="24"/>
              </w:rPr>
              <w:fldChar w:fldCharType="begin"/>
            </w:r>
            <w:r>
              <w:rPr>
                <w:snapToGrid w:val="0"/>
                <w:color w:val="auto"/>
                <w:sz w:val="24"/>
              </w:rPr>
              <w:instrText xml:space="preserve"> = 3 \* GB3 \* MERGEFORMAT </w:instrText>
            </w:r>
            <w:r>
              <w:rPr>
                <w:snapToGrid w:val="0"/>
                <w:color w:val="auto"/>
                <w:sz w:val="24"/>
              </w:rPr>
              <w:fldChar w:fldCharType="separate"/>
            </w:r>
            <w:r>
              <w:rPr>
                <w:snapToGrid w:val="0"/>
                <w:color w:val="auto"/>
                <w:sz w:val="24"/>
              </w:rPr>
              <w:t>③</w:t>
            </w:r>
            <w:r>
              <w:rPr>
                <w:snapToGrid w:val="0"/>
                <w:color w:val="auto"/>
                <w:sz w:val="24"/>
              </w:rPr>
              <w:fldChar w:fldCharType="end"/>
            </w:r>
            <w:r>
              <w:rPr>
                <w:snapToGrid w:val="0"/>
                <w:color w:val="auto"/>
                <w:sz w:val="24"/>
              </w:rPr>
              <w:t>地下水影响</w:t>
            </w:r>
          </w:p>
          <w:p w14:paraId="69E2069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napToGrid w:val="0"/>
                <w:color w:val="auto"/>
                <w:sz w:val="24"/>
              </w:rPr>
            </w:pPr>
            <w:r>
              <w:rPr>
                <w:snapToGrid w:val="0"/>
                <w:color w:val="auto"/>
                <w:sz w:val="24"/>
              </w:rPr>
              <w:t>泄漏的漆料或消防水一旦透过包气带进入地下水，将造成地下水污染。</w:t>
            </w:r>
          </w:p>
          <w:p w14:paraId="375CD581">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b/>
                <w:bCs/>
                <w:snapToGrid w:val="0"/>
                <w:color w:val="auto"/>
                <w:kern w:val="0"/>
                <w:sz w:val="24"/>
                <w:u w:val="single"/>
                <w:lang w:val="en-US" w:eastAsia="zh-CN"/>
              </w:rPr>
            </w:pPr>
            <w:r>
              <w:rPr>
                <w:rFonts w:hint="eastAsia"/>
                <w:b/>
                <w:bCs/>
                <w:snapToGrid w:val="0"/>
                <w:color w:val="auto"/>
                <w:kern w:val="0"/>
                <w:sz w:val="24"/>
                <w:u w:val="single"/>
                <w:lang w:val="en-US" w:eastAsia="zh-CN"/>
              </w:rPr>
              <w:t>④土壤环境</w:t>
            </w:r>
          </w:p>
          <w:p w14:paraId="3B013838">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b/>
                <w:bCs/>
                <w:snapToGrid w:val="0"/>
                <w:color w:val="auto"/>
                <w:kern w:val="0"/>
                <w:sz w:val="24"/>
                <w:u w:val="single"/>
                <w:lang w:val="en-US" w:eastAsia="zh-CN"/>
              </w:rPr>
            </w:pPr>
            <w:r>
              <w:rPr>
                <w:rFonts w:hint="eastAsia"/>
                <w:b/>
                <w:bCs/>
                <w:snapToGrid w:val="0"/>
                <w:color w:val="auto"/>
                <w:kern w:val="0"/>
                <w:sz w:val="24"/>
                <w:u w:val="single"/>
                <w:lang w:val="en-US" w:eastAsia="zh-CN"/>
              </w:rPr>
              <w:t>本项目使用废机油、废液压油桶装形式暂存于危废间。在日常营运过程中，由于包装容器损坏以及操作不当会引起风险物质泄漏事故，泄漏物汇集流入周边水体，对水体造成污染；如遇火源引发火灾甚至爆炸事故，其扑救过程中产生的消防废水会通过污水或雨水管网对水体造成污染。工作人员应每天定时巡查，及时发现泄漏事故，如发生泄漏情况，应及时进行堵漏措施，用砂土或其他不燃材料吸附或吸收，并清理泄漏物。由于本项目废机油、废液压油暂存量较少，且危废间铺有环氧地坪漆，发生泄漏事故后及时清理，对土壤环境基本不会产生影响。</w:t>
            </w:r>
          </w:p>
          <w:p w14:paraId="7AB5DE0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napToGrid w:val="0"/>
                <w:color w:val="auto"/>
                <w:sz w:val="24"/>
              </w:rPr>
            </w:pPr>
            <w:r>
              <w:rPr>
                <w:rFonts w:hint="eastAsia"/>
                <w:snapToGrid w:val="0"/>
                <w:color w:val="auto"/>
                <w:sz w:val="24"/>
              </w:rPr>
              <w:t>（3）</w:t>
            </w:r>
            <w:r>
              <w:rPr>
                <w:snapToGrid w:val="0"/>
                <w:color w:val="auto"/>
                <w:sz w:val="24"/>
              </w:rPr>
              <w:t>环境风险防范措施及应急要求</w:t>
            </w:r>
          </w:p>
          <w:p w14:paraId="429C663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napToGrid w:val="0"/>
                <w:color w:val="auto"/>
                <w:sz w:val="24"/>
              </w:rPr>
            </w:pPr>
            <w:r>
              <w:rPr>
                <w:rFonts w:hint="eastAsia"/>
                <w:snapToGrid w:val="0"/>
                <w:color w:val="auto"/>
                <w:sz w:val="24"/>
              </w:rPr>
              <w:fldChar w:fldCharType="begin"/>
            </w:r>
            <w:r>
              <w:rPr>
                <w:rFonts w:hint="eastAsia"/>
                <w:snapToGrid w:val="0"/>
                <w:color w:val="auto"/>
                <w:sz w:val="24"/>
              </w:rPr>
              <w:instrText xml:space="preserve"> = 1 \* GB3 \* MERGEFORMAT </w:instrText>
            </w:r>
            <w:r>
              <w:rPr>
                <w:rFonts w:hint="eastAsia"/>
                <w:snapToGrid w:val="0"/>
                <w:color w:val="auto"/>
                <w:sz w:val="24"/>
              </w:rPr>
              <w:fldChar w:fldCharType="separate"/>
            </w:r>
            <w:r>
              <w:rPr>
                <w:snapToGrid w:val="0"/>
                <w:color w:val="auto"/>
              </w:rPr>
              <w:t>①</w:t>
            </w:r>
            <w:r>
              <w:rPr>
                <w:rFonts w:hint="eastAsia"/>
                <w:snapToGrid w:val="0"/>
                <w:color w:val="auto"/>
                <w:sz w:val="24"/>
              </w:rPr>
              <w:fldChar w:fldCharType="end"/>
            </w:r>
            <w:r>
              <w:rPr>
                <w:rFonts w:hint="eastAsia"/>
                <w:snapToGrid w:val="0"/>
                <w:color w:val="auto"/>
                <w:sz w:val="24"/>
              </w:rPr>
              <w:t>在喷漆室醒目部位是否设置“防火、防静电”等安全警示铭牌；</w:t>
            </w:r>
          </w:p>
          <w:p w14:paraId="1BF0903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napToGrid w:val="0"/>
                <w:color w:val="auto"/>
                <w:sz w:val="24"/>
              </w:rPr>
            </w:pPr>
            <w:r>
              <w:rPr>
                <w:rFonts w:hint="eastAsia"/>
                <w:snapToGrid w:val="0"/>
                <w:color w:val="auto"/>
                <w:sz w:val="24"/>
              </w:rPr>
              <w:fldChar w:fldCharType="begin"/>
            </w:r>
            <w:r>
              <w:rPr>
                <w:rFonts w:hint="eastAsia"/>
                <w:snapToGrid w:val="0"/>
                <w:color w:val="auto"/>
                <w:sz w:val="24"/>
              </w:rPr>
              <w:instrText xml:space="preserve"> = 2 \* GB3 \* MERGEFORMAT </w:instrText>
            </w:r>
            <w:r>
              <w:rPr>
                <w:rFonts w:hint="eastAsia"/>
                <w:snapToGrid w:val="0"/>
                <w:color w:val="auto"/>
                <w:sz w:val="24"/>
              </w:rPr>
              <w:fldChar w:fldCharType="separate"/>
            </w:r>
            <w:r>
              <w:rPr>
                <w:snapToGrid w:val="0"/>
                <w:color w:val="auto"/>
              </w:rPr>
              <w:t>②</w:t>
            </w:r>
            <w:r>
              <w:rPr>
                <w:rFonts w:hint="eastAsia"/>
                <w:snapToGrid w:val="0"/>
                <w:color w:val="auto"/>
                <w:sz w:val="24"/>
              </w:rPr>
              <w:fldChar w:fldCharType="end"/>
            </w:r>
            <w:r>
              <w:rPr>
                <w:rFonts w:hint="eastAsia"/>
                <w:snapToGrid w:val="0"/>
                <w:color w:val="auto"/>
                <w:sz w:val="24"/>
              </w:rPr>
              <w:t>喷漆室的构造均应采用不燃或阻燃的材料；</w:t>
            </w:r>
          </w:p>
          <w:p w14:paraId="0AEA6AE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napToGrid w:val="0"/>
                <w:color w:val="auto"/>
                <w:sz w:val="24"/>
              </w:rPr>
            </w:pPr>
            <w:r>
              <w:rPr>
                <w:rFonts w:hint="eastAsia"/>
                <w:snapToGrid w:val="0"/>
                <w:color w:val="auto"/>
                <w:sz w:val="24"/>
              </w:rPr>
              <w:fldChar w:fldCharType="begin"/>
            </w:r>
            <w:r>
              <w:rPr>
                <w:rFonts w:hint="eastAsia"/>
                <w:snapToGrid w:val="0"/>
                <w:color w:val="auto"/>
                <w:sz w:val="24"/>
              </w:rPr>
              <w:instrText xml:space="preserve"> = 3 \* GB3 \* MERGEFORMAT </w:instrText>
            </w:r>
            <w:r>
              <w:rPr>
                <w:rFonts w:hint="eastAsia"/>
                <w:snapToGrid w:val="0"/>
                <w:color w:val="auto"/>
                <w:sz w:val="24"/>
              </w:rPr>
              <w:fldChar w:fldCharType="separate"/>
            </w:r>
            <w:r>
              <w:rPr>
                <w:snapToGrid w:val="0"/>
                <w:color w:val="auto"/>
              </w:rPr>
              <w:t>③</w:t>
            </w:r>
            <w:r>
              <w:rPr>
                <w:rFonts w:hint="eastAsia"/>
                <w:snapToGrid w:val="0"/>
                <w:color w:val="auto"/>
                <w:sz w:val="24"/>
              </w:rPr>
              <w:fldChar w:fldCharType="end"/>
            </w:r>
            <w:r>
              <w:rPr>
                <w:rFonts w:hint="eastAsia"/>
                <w:snapToGrid w:val="0"/>
                <w:color w:val="auto"/>
                <w:sz w:val="24"/>
              </w:rPr>
              <w:t>根据喷漆室的种类，在满负荷生产的工作状态下，用气体浓度检测仪进行测试检测。喷漆室内有机溶剂蒸气安全浓度，手工喷漆室有机溶剂蒸汽安全浓度小于爆炸下限1/8；</w:t>
            </w:r>
          </w:p>
          <w:p w14:paraId="1649744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napToGrid w:val="0"/>
                <w:color w:val="auto"/>
                <w:sz w:val="24"/>
              </w:rPr>
            </w:pPr>
            <w:r>
              <w:rPr>
                <w:rFonts w:hint="eastAsia"/>
                <w:snapToGrid w:val="0"/>
                <w:color w:val="auto"/>
                <w:sz w:val="24"/>
              </w:rPr>
              <w:fldChar w:fldCharType="begin"/>
            </w:r>
            <w:r>
              <w:rPr>
                <w:rFonts w:hint="eastAsia"/>
                <w:snapToGrid w:val="0"/>
                <w:color w:val="auto"/>
                <w:sz w:val="24"/>
              </w:rPr>
              <w:instrText xml:space="preserve"> = 4 \* GB3 \* MERGEFORMAT </w:instrText>
            </w:r>
            <w:r>
              <w:rPr>
                <w:rFonts w:hint="eastAsia"/>
                <w:snapToGrid w:val="0"/>
                <w:color w:val="auto"/>
                <w:sz w:val="24"/>
              </w:rPr>
              <w:fldChar w:fldCharType="separate"/>
            </w:r>
            <w:r>
              <w:rPr>
                <w:snapToGrid w:val="0"/>
                <w:color w:val="auto"/>
              </w:rPr>
              <w:t>④</w:t>
            </w:r>
            <w:r>
              <w:rPr>
                <w:rFonts w:hint="eastAsia"/>
                <w:snapToGrid w:val="0"/>
                <w:color w:val="auto"/>
                <w:sz w:val="24"/>
              </w:rPr>
              <w:fldChar w:fldCharType="end"/>
            </w:r>
            <w:r>
              <w:rPr>
                <w:rFonts w:hint="eastAsia"/>
                <w:snapToGrid w:val="0"/>
                <w:color w:val="auto"/>
                <w:sz w:val="24"/>
              </w:rPr>
              <w:t>检查风机及其电机是否有防爆标志、产品防爆合格证和防爆产品编号，自动喷漆区段的任何人员出入门打开时，自动喷漆设备应停止工作；</w:t>
            </w:r>
          </w:p>
          <w:p w14:paraId="39656F3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napToGrid w:val="0"/>
                <w:color w:val="auto"/>
                <w:sz w:val="24"/>
              </w:rPr>
            </w:pPr>
            <w:r>
              <w:rPr>
                <w:rFonts w:hint="eastAsia"/>
                <w:snapToGrid w:val="0"/>
                <w:color w:val="auto"/>
                <w:sz w:val="24"/>
              </w:rPr>
              <w:fldChar w:fldCharType="begin"/>
            </w:r>
            <w:r>
              <w:rPr>
                <w:rFonts w:hint="eastAsia"/>
                <w:snapToGrid w:val="0"/>
                <w:color w:val="auto"/>
                <w:sz w:val="24"/>
              </w:rPr>
              <w:instrText xml:space="preserve"> = 5 \* GB3 \* MERGEFORMAT </w:instrText>
            </w:r>
            <w:r>
              <w:rPr>
                <w:rFonts w:hint="eastAsia"/>
                <w:snapToGrid w:val="0"/>
                <w:color w:val="auto"/>
                <w:sz w:val="24"/>
              </w:rPr>
              <w:fldChar w:fldCharType="separate"/>
            </w:r>
            <w:r>
              <w:rPr>
                <w:snapToGrid w:val="0"/>
                <w:color w:val="auto"/>
              </w:rPr>
              <w:t>⑤</w:t>
            </w:r>
            <w:r>
              <w:rPr>
                <w:rFonts w:hint="eastAsia"/>
                <w:snapToGrid w:val="0"/>
                <w:color w:val="auto"/>
                <w:sz w:val="24"/>
              </w:rPr>
              <w:fldChar w:fldCharType="end"/>
            </w:r>
            <w:r>
              <w:rPr>
                <w:rFonts w:hint="eastAsia"/>
                <w:snapToGrid w:val="0"/>
                <w:color w:val="auto"/>
                <w:sz w:val="24"/>
              </w:rPr>
              <w:t>木器涂装作业应休闲选择危害小的工艺和设备，积极采用无毒或低毒原辅料；</w:t>
            </w:r>
          </w:p>
          <w:p w14:paraId="0D257E4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napToGrid w:val="0"/>
                <w:color w:val="auto"/>
                <w:sz w:val="24"/>
              </w:rPr>
            </w:pPr>
            <w:r>
              <w:rPr>
                <w:rFonts w:hint="eastAsia"/>
                <w:snapToGrid w:val="0"/>
                <w:color w:val="auto"/>
                <w:sz w:val="24"/>
              </w:rPr>
              <w:fldChar w:fldCharType="begin"/>
            </w:r>
            <w:r>
              <w:rPr>
                <w:rFonts w:hint="eastAsia"/>
                <w:snapToGrid w:val="0"/>
                <w:color w:val="auto"/>
                <w:sz w:val="24"/>
              </w:rPr>
              <w:instrText xml:space="preserve"> = 6 \* GB3 \* MERGEFORMAT </w:instrText>
            </w:r>
            <w:r>
              <w:rPr>
                <w:rFonts w:hint="eastAsia"/>
                <w:snapToGrid w:val="0"/>
                <w:color w:val="auto"/>
                <w:sz w:val="24"/>
              </w:rPr>
              <w:fldChar w:fldCharType="separate"/>
            </w:r>
            <w:r>
              <w:rPr>
                <w:snapToGrid w:val="0"/>
                <w:color w:val="auto"/>
              </w:rPr>
              <w:t>⑥</w:t>
            </w:r>
            <w:r>
              <w:rPr>
                <w:rFonts w:hint="eastAsia"/>
                <w:snapToGrid w:val="0"/>
                <w:color w:val="auto"/>
                <w:sz w:val="24"/>
              </w:rPr>
              <w:fldChar w:fldCharType="end"/>
            </w:r>
            <w:r>
              <w:rPr>
                <w:rFonts w:hint="eastAsia"/>
                <w:snapToGrid w:val="0"/>
                <w:color w:val="auto"/>
                <w:sz w:val="24"/>
              </w:rPr>
              <w:t>作业场所设置通风。排毒、除尘、屏蔽等预防火灾、爆炸、粉尘、毒物、噪声等危害的防护措施；</w:t>
            </w:r>
          </w:p>
          <w:p w14:paraId="6F6FE5A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napToGrid w:val="0"/>
                <w:color w:val="auto"/>
                <w:sz w:val="24"/>
              </w:rPr>
            </w:pPr>
            <w:r>
              <w:rPr>
                <w:rFonts w:hint="eastAsia"/>
                <w:snapToGrid w:val="0"/>
                <w:color w:val="auto"/>
                <w:sz w:val="24"/>
              </w:rPr>
              <w:fldChar w:fldCharType="begin"/>
            </w:r>
            <w:r>
              <w:rPr>
                <w:rFonts w:hint="eastAsia"/>
                <w:snapToGrid w:val="0"/>
                <w:color w:val="auto"/>
                <w:sz w:val="24"/>
              </w:rPr>
              <w:instrText xml:space="preserve"> = 7 \* GB3 \* MERGEFORMAT </w:instrText>
            </w:r>
            <w:r>
              <w:rPr>
                <w:rFonts w:hint="eastAsia"/>
                <w:snapToGrid w:val="0"/>
                <w:color w:val="auto"/>
                <w:sz w:val="24"/>
              </w:rPr>
              <w:fldChar w:fldCharType="separate"/>
            </w:r>
            <w:r>
              <w:rPr>
                <w:snapToGrid w:val="0"/>
                <w:color w:val="auto"/>
              </w:rPr>
              <w:t>⑦</w:t>
            </w:r>
            <w:r>
              <w:rPr>
                <w:rFonts w:hint="eastAsia"/>
                <w:snapToGrid w:val="0"/>
                <w:color w:val="auto"/>
                <w:sz w:val="24"/>
              </w:rPr>
              <w:fldChar w:fldCharType="end"/>
            </w:r>
            <w:r>
              <w:rPr>
                <w:rFonts w:hint="eastAsia"/>
                <w:snapToGrid w:val="0"/>
                <w:color w:val="auto"/>
                <w:sz w:val="24"/>
              </w:rPr>
              <w:t>木器涂装的生产区、材料堆放、库房、生活区应分开布局，应设置防火分区，耐火等级和防火间距；</w:t>
            </w:r>
          </w:p>
          <w:p w14:paraId="31ABE6C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napToGrid w:val="0"/>
                <w:color w:val="auto"/>
                <w:sz w:val="24"/>
              </w:rPr>
            </w:pPr>
            <w:r>
              <w:rPr>
                <w:rFonts w:hint="eastAsia"/>
                <w:snapToGrid w:val="0"/>
                <w:color w:val="auto"/>
                <w:sz w:val="24"/>
              </w:rPr>
              <w:fldChar w:fldCharType="begin"/>
            </w:r>
            <w:r>
              <w:rPr>
                <w:rFonts w:hint="eastAsia"/>
                <w:snapToGrid w:val="0"/>
                <w:color w:val="auto"/>
                <w:sz w:val="24"/>
              </w:rPr>
              <w:instrText xml:space="preserve"> = 8 \* GB3 \* MERGEFORMAT </w:instrText>
            </w:r>
            <w:r>
              <w:rPr>
                <w:rFonts w:hint="eastAsia"/>
                <w:snapToGrid w:val="0"/>
                <w:color w:val="auto"/>
                <w:sz w:val="24"/>
              </w:rPr>
              <w:fldChar w:fldCharType="separate"/>
            </w:r>
            <w:r>
              <w:rPr>
                <w:snapToGrid w:val="0"/>
                <w:color w:val="auto"/>
              </w:rPr>
              <w:t>⑧</w:t>
            </w:r>
            <w:r>
              <w:rPr>
                <w:rFonts w:hint="eastAsia"/>
                <w:snapToGrid w:val="0"/>
                <w:color w:val="auto"/>
                <w:sz w:val="24"/>
              </w:rPr>
              <w:fldChar w:fldCharType="end"/>
            </w:r>
            <w:r>
              <w:rPr>
                <w:rFonts w:hint="eastAsia"/>
                <w:snapToGrid w:val="0"/>
                <w:color w:val="auto"/>
                <w:sz w:val="24"/>
              </w:rPr>
              <w:t>产生粉尘、毒物危害的生产区宜集中布置在产区全年最小频率风向的上风侧，且地市开阔，通风条件良好的场所，对于多层厂房，产生有害气体的场所宜布置在建筑物的上层；</w:t>
            </w:r>
          </w:p>
          <w:p w14:paraId="0F806D7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napToGrid w:val="0"/>
                <w:color w:val="auto"/>
                <w:sz w:val="24"/>
              </w:rPr>
            </w:pPr>
            <w:r>
              <w:rPr>
                <w:rFonts w:hint="eastAsia"/>
                <w:snapToGrid w:val="0"/>
                <w:color w:val="auto"/>
                <w:sz w:val="24"/>
              </w:rPr>
              <w:fldChar w:fldCharType="begin"/>
            </w:r>
            <w:r>
              <w:rPr>
                <w:rFonts w:hint="eastAsia"/>
                <w:snapToGrid w:val="0"/>
                <w:color w:val="auto"/>
                <w:sz w:val="24"/>
              </w:rPr>
              <w:instrText xml:space="preserve"> = 9 \* GB3 \* MERGEFORMAT </w:instrText>
            </w:r>
            <w:r>
              <w:rPr>
                <w:rFonts w:hint="eastAsia"/>
                <w:snapToGrid w:val="0"/>
                <w:color w:val="auto"/>
                <w:sz w:val="24"/>
              </w:rPr>
              <w:fldChar w:fldCharType="separate"/>
            </w:r>
            <w:r>
              <w:rPr>
                <w:snapToGrid w:val="0"/>
                <w:color w:val="auto"/>
              </w:rPr>
              <w:t>⑨</w:t>
            </w:r>
            <w:r>
              <w:rPr>
                <w:rFonts w:hint="eastAsia"/>
                <w:snapToGrid w:val="0"/>
                <w:color w:val="auto"/>
                <w:sz w:val="24"/>
              </w:rPr>
              <w:fldChar w:fldCharType="end"/>
            </w:r>
            <w:r>
              <w:rPr>
                <w:rFonts w:hint="eastAsia"/>
                <w:snapToGrid w:val="0"/>
                <w:color w:val="auto"/>
                <w:sz w:val="24"/>
              </w:rPr>
              <w:t>作业场所禁止吸烟和使用明火；</w:t>
            </w:r>
          </w:p>
          <w:p w14:paraId="04ECBD9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napToGrid w:val="0"/>
                <w:color w:val="auto"/>
                <w:sz w:val="24"/>
              </w:rPr>
            </w:pPr>
            <w:r>
              <w:rPr>
                <w:rFonts w:hint="eastAsia"/>
                <w:snapToGrid w:val="0"/>
                <w:color w:val="auto"/>
                <w:sz w:val="24"/>
              </w:rPr>
              <w:fldChar w:fldCharType="begin"/>
            </w:r>
            <w:r>
              <w:rPr>
                <w:rFonts w:hint="eastAsia"/>
                <w:snapToGrid w:val="0"/>
                <w:color w:val="auto"/>
                <w:sz w:val="24"/>
              </w:rPr>
              <w:instrText xml:space="preserve"> = 10 \* GB3 \* MERGEFORMAT </w:instrText>
            </w:r>
            <w:r>
              <w:rPr>
                <w:rFonts w:hint="eastAsia"/>
                <w:snapToGrid w:val="0"/>
                <w:color w:val="auto"/>
                <w:sz w:val="24"/>
              </w:rPr>
              <w:fldChar w:fldCharType="separate"/>
            </w:r>
            <w:r>
              <w:rPr>
                <w:snapToGrid w:val="0"/>
                <w:color w:val="auto"/>
              </w:rPr>
              <w:t>⑩</w:t>
            </w:r>
            <w:r>
              <w:rPr>
                <w:rFonts w:hint="eastAsia"/>
                <w:snapToGrid w:val="0"/>
                <w:color w:val="auto"/>
                <w:sz w:val="24"/>
              </w:rPr>
              <w:fldChar w:fldCharType="end"/>
            </w:r>
            <w:r>
              <w:rPr>
                <w:rFonts w:hint="eastAsia"/>
                <w:snapToGrid w:val="0"/>
                <w:color w:val="auto"/>
                <w:sz w:val="24"/>
              </w:rPr>
              <w:t>电气设备的接口应定期清理以防木屑粉尘堆积引起事故。</w:t>
            </w:r>
          </w:p>
          <w:p w14:paraId="12B3CE1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napToGrid w:val="0"/>
                <w:color w:val="auto"/>
                <w:kern w:val="0"/>
                <w:sz w:val="24"/>
              </w:rPr>
            </w:pPr>
            <w:r>
              <w:rPr>
                <w:rFonts w:hint="eastAsia"/>
                <w:snapToGrid w:val="0"/>
                <w:color w:val="auto"/>
                <w:kern w:val="0"/>
                <w:sz w:val="24"/>
              </w:rPr>
              <w:t>若项目处理废气的抽风系统、吸附系统发生故障，会造成车间粉尘、喷漆有机废气无法及时抽出车间，进而影响车间的操作人员的健康，同时会造成工艺废气直排入环境中，造成大气污染。故建设单位应认真做好设备的保养，定期维护、保修工作，使处理设施达到预期效果。为确保不发生事故性废气排放，建设单位应采取一定的事故性防范保护措施：</w:t>
            </w:r>
          </w:p>
          <w:p w14:paraId="02903D9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napToGrid w:val="0"/>
                <w:color w:val="auto"/>
                <w:sz w:val="24"/>
              </w:rPr>
            </w:pPr>
            <w:r>
              <w:rPr>
                <w:rFonts w:hint="eastAsia"/>
                <w:snapToGrid w:val="0"/>
                <w:color w:val="auto"/>
                <w:sz w:val="24"/>
              </w:rPr>
              <w:t>A、各生产环节严格执行生产管理的有关规定，加强设备的检修及保养，提高管理人员素质，并设置机器事故应急措施及管理制度，确保设备长期处于良好状态，使设备达到预期的处理效果。</w:t>
            </w:r>
          </w:p>
          <w:p w14:paraId="674F813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napToGrid w:val="0"/>
                <w:color w:val="auto"/>
                <w:sz w:val="24"/>
              </w:rPr>
            </w:pPr>
            <w:r>
              <w:rPr>
                <w:rFonts w:hint="eastAsia"/>
                <w:snapToGrid w:val="0"/>
                <w:color w:val="auto"/>
                <w:sz w:val="24"/>
              </w:rPr>
              <w:t>B、现场作业人员定时记录废气处理状况，如对废气处理设施中的催化燃烧系统、抽风系统等设备进行点检工作，并派专人巡视，遇不良工作状况立即停止车间相关一旦造成事故风险作业，维修正常后再开始作业，杜绝事故性废气直排，并及时呈报单位主管。待检修完毕再通知生产车间相关工序。</w:t>
            </w:r>
          </w:p>
          <w:p w14:paraId="6669379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napToGrid w:val="0"/>
                <w:color w:val="auto"/>
                <w:sz w:val="24"/>
              </w:rPr>
            </w:pPr>
            <w:r>
              <w:rPr>
                <w:rFonts w:hint="eastAsia"/>
                <w:snapToGrid w:val="0"/>
                <w:color w:val="auto"/>
                <w:sz w:val="24"/>
                <w:lang w:val="en-US" w:eastAsia="zh-CN"/>
              </w:rPr>
              <w:t>C、</w:t>
            </w:r>
            <w:r>
              <w:rPr>
                <w:rFonts w:hint="eastAsia"/>
                <w:snapToGrid w:val="0"/>
                <w:color w:val="auto"/>
                <w:sz w:val="24"/>
              </w:rPr>
              <w:t>制定运行操作规程，并严格执行。操作人员必须经培训合格后上岗。加强对燃气管道巡视检查，发现问题及时解决。</w:t>
            </w:r>
          </w:p>
          <w:p w14:paraId="1A3C5A3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rPr>
            </w:pPr>
            <w:r>
              <w:rPr>
                <w:rFonts w:hint="eastAsia"/>
                <w:snapToGrid w:val="0"/>
                <w:color w:val="auto"/>
                <w:sz w:val="24"/>
                <w:lang w:val="en-US" w:eastAsia="zh-CN"/>
              </w:rPr>
              <w:t>D、</w:t>
            </w:r>
            <w:r>
              <w:rPr>
                <w:rFonts w:hint="eastAsia"/>
                <w:snapToGrid w:val="0"/>
                <w:color w:val="auto"/>
                <w:sz w:val="24"/>
              </w:rPr>
              <w:t>加强公司的防火安全工作，保护生产设备、公司财产及工作人员生命安全，保障各项工作的有序进行；采取必要的措施，保证车间内干燥、阴凉、通风；各部门、办公室、厂房的消防设施（如消防水箱、消防水龙头、水管、水带、水枪）和消防器材要保证完好有效，此外，还应给各要害区域配置相应种类和数量的消防器材。上述的消防设备及器材不得借故移作他用。</w:t>
            </w:r>
          </w:p>
          <w:p w14:paraId="6542B85F">
            <w:pPr>
              <w:spacing w:line="360" w:lineRule="auto"/>
              <w:rPr>
                <w:b/>
                <w:bCs/>
                <w:color w:val="auto"/>
                <w:sz w:val="24"/>
              </w:rPr>
            </w:pPr>
            <w:r>
              <w:rPr>
                <w:b/>
                <w:bCs/>
                <w:color w:val="auto"/>
                <w:sz w:val="24"/>
              </w:rPr>
              <w:t>8、设施投资估算及验收一览表</w:t>
            </w:r>
          </w:p>
          <w:p w14:paraId="7DB3F3CB">
            <w:pPr>
              <w:snapToGrid w:val="0"/>
              <w:spacing w:line="360" w:lineRule="auto"/>
              <w:ind w:firstLine="480" w:firstLineChars="200"/>
              <w:rPr>
                <w:color w:val="auto"/>
                <w:sz w:val="24"/>
              </w:rPr>
            </w:pPr>
            <w:r>
              <w:rPr>
                <w:color w:val="auto"/>
                <w:sz w:val="24"/>
              </w:rPr>
              <w:t>本项目环保工程投资</w:t>
            </w:r>
            <w:r>
              <w:rPr>
                <w:rFonts w:hint="eastAsia"/>
                <w:b/>
                <w:bCs/>
                <w:color w:val="auto"/>
                <w:sz w:val="24"/>
                <w:u w:val="single"/>
                <w:lang w:val="en-US" w:eastAsia="zh-CN"/>
              </w:rPr>
              <w:t>5</w:t>
            </w:r>
            <w:r>
              <w:rPr>
                <w:rFonts w:hint="eastAsia"/>
                <w:b/>
                <w:bCs/>
                <w:color w:val="auto"/>
                <w:sz w:val="24"/>
                <w:u w:val="single"/>
              </w:rPr>
              <w:t>8.2</w:t>
            </w:r>
            <w:r>
              <w:rPr>
                <w:color w:val="auto"/>
                <w:sz w:val="24"/>
              </w:rPr>
              <w:t>万元，占总投资的</w:t>
            </w:r>
            <w:r>
              <w:rPr>
                <w:rFonts w:hint="eastAsia"/>
                <w:b/>
                <w:bCs/>
                <w:color w:val="auto"/>
                <w:sz w:val="24"/>
                <w:u w:val="single"/>
                <w:lang w:val="en-US" w:eastAsia="zh-CN"/>
              </w:rPr>
              <w:t>11.64</w:t>
            </w:r>
            <w:r>
              <w:rPr>
                <w:color w:val="auto"/>
                <w:sz w:val="24"/>
              </w:rPr>
              <w:t>%，项目环保投资一览表见</w:t>
            </w:r>
            <w:r>
              <w:rPr>
                <w:rFonts w:hint="eastAsia"/>
                <w:color w:val="auto"/>
                <w:sz w:val="24"/>
              </w:rPr>
              <w:t>下</w:t>
            </w:r>
            <w:r>
              <w:rPr>
                <w:color w:val="auto"/>
                <w:sz w:val="24"/>
              </w:rPr>
              <w:t>表，污染防治措</w:t>
            </w:r>
            <w:r>
              <w:rPr>
                <w:rFonts w:hint="eastAsia" w:ascii="宋体" w:hAnsi="宋体" w:cs="宋体"/>
                <w:color w:val="auto"/>
                <w:sz w:val="24"/>
              </w:rPr>
              <w:t>施及“三同时”验收</w:t>
            </w:r>
            <w:r>
              <w:rPr>
                <w:color w:val="auto"/>
                <w:sz w:val="24"/>
              </w:rPr>
              <w:t>内容汇总见</w:t>
            </w:r>
            <w:r>
              <w:rPr>
                <w:rFonts w:hint="eastAsia"/>
                <w:color w:val="auto"/>
                <w:sz w:val="24"/>
              </w:rPr>
              <w:t>下</w:t>
            </w:r>
            <w:r>
              <w:rPr>
                <w:color w:val="auto"/>
                <w:sz w:val="24"/>
              </w:rPr>
              <w:t>表。</w:t>
            </w:r>
          </w:p>
          <w:p w14:paraId="15317C70">
            <w:pPr>
              <w:pStyle w:val="46"/>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eastAsia" w:ascii="Times New Roman" w:hAnsi="Arial Unicode MS" w:eastAsia="宋体" w:cs="Times New Roman"/>
                <w:b/>
                <w:color w:val="auto"/>
                <w:kern w:val="2"/>
                <w:sz w:val="24"/>
                <w:szCs w:val="24"/>
                <w:lang w:val="en-US" w:eastAsia="zh-CN" w:bidi="ar-SA"/>
              </w:rPr>
            </w:pPr>
            <w:r>
              <w:rPr>
                <w:rFonts w:hint="eastAsia" w:ascii="Times New Roman" w:hAnsi="Arial Unicode MS" w:eastAsia="宋体" w:cs="Times New Roman"/>
                <w:b/>
                <w:color w:val="auto"/>
                <w:kern w:val="2"/>
                <w:sz w:val="24"/>
                <w:szCs w:val="24"/>
                <w:lang w:val="en-US" w:eastAsia="zh-CN" w:bidi="ar-SA"/>
              </w:rPr>
              <w:t>项目环保投资一览表</w:t>
            </w:r>
          </w:p>
          <w:tbl>
            <w:tblPr>
              <w:tblStyle w:val="25"/>
              <w:tblW w:w="86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98"/>
              <w:gridCol w:w="2301"/>
              <w:gridCol w:w="3380"/>
              <w:gridCol w:w="1234"/>
              <w:gridCol w:w="1215"/>
            </w:tblGrid>
            <w:tr w14:paraId="3D81A1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799" w:type="dxa"/>
                  <w:gridSpan w:val="2"/>
                  <w:vAlign w:val="center"/>
                </w:tcPr>
                <w:p w14:paraId="18D646C4">
                  <w:pPr>
                    <w:jc w:val="center"/>
                    <w:rPr>
                      <w:b/>
                      <w:bCs/>
                      <w:color w:val="auto"/>
                      <w:szCs w:val="21"/>
                    </w:rPr>
                  </w:pPr>
                  <w:r>
                    <w:rPr>
                      <w:b/>
                      <w:bCs/>
                      <w:color w:val="auto"/>
                      <w:szCs w:val="21"/>
                    </w:rPr>
                    <w:t>污染物</w:t>
                  </w:r>
                </w:p>
              </w:tc>
              <w:tc>
                <w:tcPr>
                  <w:tcW w:w="3380" w:type="dxa"/>
                  <w:tcMar>
                    <w:top w:w="0" w:type="dxa"/>
                    <w:left w:w="28" w:type="dxa"/>
                    <w:bottom w:w="0" w:type="dxa"/>
                    <w:right w:w="28" w:type="dxa"/>
                  </w:tcMar>
                  <w:vAlign w:val="center"/>
                </w:tcPr>
                <w:p w14:paraId="0B2927D4">
                  <w:pPr>
                    <w:jc w:val="center"/>
                    <w:rPr>
                      <w:b/>
                      <w:bCs/>
                      <w:color w:val="auto"/>
                      <w:szCs w:val="21"/>
                    </w:rPr>
                  </w:pPr>
                  <w:r>
                    <w:rPr>
                      <w:b/>
                      <w:bCs/>
                      <w:color w:val="auto"/>
                      <w:szCs w:val="21"/>
                    </w:rPr>
                    <w:t>环保措施</w:t>
                  </w:r>
                </w:p>
              </w:tc>
              <w:tc>
                <w:tcPr>
                  <w:tcW w:w="1234" w:type="dxa"/>
                  <w:tcMar>
                    <w:top w:w="0" w:type="dxa"/>
                    <w:left w:w="28" w:type="dxa"/>
                    <w:bottom w:w="0" w:type="dxa"/>
                    <w:right w:w="28" w:type="dxa"/>
                  </w:tcMar>
                  <w:vAlign w:val="center"/>
                </w:tcPr>
                <w:p w14:paraId="59175D96">
                  <w:pPr>
                    <w:jc w:val="center"/>
                    <w:rPr>
                      <w:b/>
                      <w:bCs/>
                      <w:color w:val="auto"/>
                      <w:szCs w:val="21"/>
                    </w:rPr>
                  </w:pPr>
                  <w:r>
                    <w:rPr>
                      <w:b/>
                      <w:bCs/>
                      <w:color w:val="auto"/>
                      <w:szCs w:val="21"/>
                    </w:rPr>
                    <w:t>数量</w:t>
                  </w:r>
                </w:p>
              </w:tc>
              <w:tc>
                <w:tcPr>
                  <w:tcW w:w="1215" w:type="dxa"/>
                  <w:tcMar>
                    <w:top w:w="0" w:type="dxa"/>
                    <w:left w:w="28" w:type="dxa"/>
                    <w:bottom w:w="0" w:type="dxa"/>
                    <w:right w:w="28" w:type="dxa"/>
                  </w:tcMar>
                  <w:vAlign w:val="center"/>
                </w:tcPr>
                <w:p w14:paraId="6739F9CD">
                  <w:pPr>
                    <w:jc w:val="center"/>
                    <w:rPr>
                      <w:b/>
                      <w:bCs/>
                      <w:color w:val="auto"/>
                      <w:szCs w:val="21"/>
                    </w:rPr>
                  </w:pPr>
                  <w:r>
                    <w:rPr>
                      <w:b/>
                      <w:bCs/>
                      <w:color w:val="auto"/>
                      <w:szCs w:val="21"/>
                    </w:rPr>
                    <w:t>环保投资（万元）</w:t>
                  </w:r>
                </w:p>
              </w:tc>
            </w:tr>
            <w:tr w14:paraId="71E41D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7" w:hRule="atLeast"/>
                <w:jc w:val="center"/>
              </w:trPr>
              <w:tc>
                <w:tcPr>
                  <w:tcW w:w="498" w:type="dxa"/>
                  <w:vMerge w:val="restart"/>
                  <w:vAlign w:val="center"/>
                </w:tcPr>
                <w:p w14:paraId="789ABF71">
                  <w:pPr>
                    <w:jc w:val="center"/>
                    <w:rPr>
                      <w:color w:val="auto"/>
                      <w:szCs w:val="21"/>
                    </w:rPr>
                  </w:pPr>
                  <w:r>
                    <w:rPr>
                      <w:color w:val="auto"/>
                      <w:szCs w:val="21"/>
                    </w:rPr>
                    <w:t>废气</w:t>
                  </w:r>
                </w:p>
              </w:tc>
              <w:tc>
                <w:tcPr>
                  <w:tcW w:w="2301" w:type="dxa"/>
                  <w:vAlign w:val="center"/>
                </w:tcPr>
                <w:p w14:paraId="22901C98">
                  <w:pPr>
                    <w:jc w:val="center"/>
                    <w:rPr>
                      <w:color w:val="auto"/>
                      <w:szCs w:val="21"/>
                    </w:rPr>
                  </w:pPr>
                  <w:r>
                    <w:rPr>
                      <w:rFonts w:hint="eastAsia"/>
                      <w:color w:val="auto"/>
                      <w:szCs w:val="21"/>
                    </w:rPr>
                    <w:t>一车间木工、砂光、打磨</w:t>
                  </w:r>
                  <w:r>
                    <w:rPr>
                      <w:rFonts w:hint="eastAsia"/>
                      <w:color w:val="auto"/>
                      <w:szCs w:val="21"/>
                      <w:lang w:eastAsia="zh-CN"/>
                    </w:rPr>
                    <w:t>、油磨</w:t>
                  </w:r>
                  <w:r>
                    <w:rPr>
                      <w:rFonts w:hint="eastAsia"/>
                      <w:color w:val="auto"/>
                      <w:szCs w:val="21"/>
                    </w:rPr>
                    <w:t>粉尘</w:t>
                  </w:r>
                </w:p>
              </w:tc>
              <w:tc>
                <w:tcPr>
                  <w:tcW w:w="3380" w:type="dxa"/>
                  <w:tcMar>
                    <w:top w:w="0" w:type="dxa"/>
                    <w:left w:w="28" w:type="dxa"/>
                    <w:bottom w:w="0" w:type="dxa"/>
                    <w:right w:w="28" w:type="dxa"/>
                  </w:tcMar>
                  <w:vAlign w:val="center"/>
                </w:tcPr>
                <w:p w14:paraId="2F31520F">
                  <w:pPr>
                    <w:jc w:val="center"/>
                    <w:rPr>
                      <w:color w:val="auto"/>
                      <w:szCs w:val="21"/>
                    </w:rPr>
                  </w:pPr>
                  <w:r>
                    <w:rPr>
                      <w:rFonts w:hint="eastAsia"/>
                      <w:color w:val="auto"/>
                      <w:szCs w:val="21"/>
                    </w:rPr>
                    <w:t>集气管道</w:t>
                  </w:r>
                  <w:r>
                    <w:rPr>
                      <w:color w:val="auto"/>
                      <w:szCs w:val="21"/>
                    </w:rPr>
                    <w:t>+</w:t>
                  </w:r>
                  <w:r>
                    <w:rPr>
                      <w:rFonts w:hint="eastAsia"/>
                      <w:color w:val="auto"/>
                      <w:szCs w:val="21"/>
                    </w:rPr>
                    <w:t>袋式除尘</w:t>
                  </w:r>
                  <w:r>
                    <w:rPr>
                      <w:color w:val="auto"/>
                      <w:szCs w:val="21"/>
                    </w:rPr>
                    <w:t>+15m排气筒</w:t>
                  </w:r>
                </w:p>
              </w:tc>
              <w:tc>
                <w:tcPr>
                  <w:tcW w:w="1234" w:type="dxa"/>
                  <w:tcMar>
                    <w:top w:w="0" w:type="dxa"/>
                    <w:left w:w="28" w:type="dxa"/>
                    <w:bottom w:w="0" w:type="dxa"/>
                    <w:right w:w="28" w:type="dxa"/>
                  </w:tcMar>
                  <w:vAlign w:val="center"/>
                </w:tcPr>
                <w:p w14:paraId="49EDA998">
                  <w:pPr>
                    <w:jc w:val="center"/>
                    <w:rPr>
                      <w:color w:val="auto"/>
                      <w:szCs w:val="21"/>
                    </w:rPr>
                  </w:pPr>
                  <w:r>
                    <w:rPr>
                      <w:color w:val="auto"/>
                      <w:szCs w:val="21"/>
                    </w:rPr>
                    <w:t>1套</w:t>
                  </w:r>
                </w:p>
              </w:tc>
              <w:tc>
                <w:tcPr>
                  <w:tcW w:w="1215" w:type="dxa"/>
                  <w:tcMar>
                    <w:top w:w="0" w:type="dxa"/>
                    <w:left w:w="28" w:type="dxa"/>
                    <w:bottom w:w="0" w:type="dxa"/>
                    <w:right w:w="28" w:type="dxa"/>
                  </w:tcMar>
                  <w:vAlign w:val="center"/>
                </w:tcPr>
                <w:p w14:paraId="1EAA1036">
                  <w:pPr>
                    <w:jc w:val="center"/>
                    <w:rPr>
                      <w:color w:val="auto"/>
                      <w:szCs w:val="21"/>
                    </w:rPr>
                  </w:pPr>
                  <w:r>
                    <w:rPr>
                      <w:rFonts w:hint="eastAsia"/>
                      <w:color w:val="auto"/>
                      <w:szCs w:val="21"/>
                    </w:rPr>
                    <w:t>5</w:t>
                  </w:r>
                </w:p>
              </w:tc>
            </w:tr>
            <w:tr w14:paraId="51F0BB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6" w:hRule="atLeast"/>
                <w:jc w:val="center"/>
              </w:trPr>
              <w:tc>
                <w:tcPr>
                  <w:tcW w:w="498" w:type="dxa"/>
                  <w:vMerge w:val="continue"/>
                  <w:vAlign w:val="center"/>
                </w:tcPr>
                <w:p w14:paraId="2E239B35">
                  <w:pPr>
                    <w:jc w:val="center"/>
                    <w:rPr>
                      <w:color w:val="auto"/>
                      <w:szCs w:val="21"/>
                    </w:rPr>
                  </w:pPr>
                </w:p>
              </w:tc>
              <w:tc>
                <w:tcPr>
                  <w:tcW w:w="2301" w:type="dxa"/>
                  <w:vAlign w:val="center"/>
                </w:tcPr>
                <w:p w14:paraId="4893BDE9">
                  <w:pPr>
                    <w:jc w:val="center"/>
                    <w:rPr>
                      <w:color w:val="auto"/>
                      <w:szCs w:val="21"/>
                    </w:rPr>
                  </w:pPr>
                  <w:r>
                    <w:rPr>
                      <w:rFonts w:hint="eastAsia"/>
                      <w:color w:val="auto"/>
                      <w:szCs w:val="21"/>
                    </w:rPr>
                    <w:t>二车间砂光粉尘</w:t>
                  </w:r>
                </w:p>
              </w:tc>
              <w:tc>
                <w:tcPr>
                  <w:tcW w:w="3380" w:type="dxa"/>
                  <w:tcMar>
                    <w:top w:w="0" w:type="dxa"/>
                    <w:left w:w="28" w:type="dxa"/>
                    <w:bottom w:w="0" w:type="dxa"/>
                    <w:right w:w="28" w:type="dxa"/>
                  </w:tcMar>
                  <w:vAlign w:val="center"/>
                </w:tcPr>
                <w:p w14:paraId="139F225C">
                  <w:pPr>
                    <w:jc w:val="center"/>
                    <w:rPr>
                      <w:color w:val="auto"/>
                      <w:szCs w:val="21"/>
                    </w:rPr>
                  </w:pPr>
                  <w:r>
                    <w:rPr>
                      <w:rFonts w:hint="eastAsia"/>
                      <w:color w:val="auto"/>
                      <w:szCs w:val="21"/>
                    </w:rPr>
                    <w:t>集气管道</w:t>
                  </w:r>
                  <w:r>
                    <w:rPr>
                      <w:color w:val="auto"/>
                      <w:szCs w:val="21"/>
                    </w:rPr>
                    <w:t>+</w:t>
                  </w:r>
                  <w:r>
                    <w:rPr>
                      <w:rFonts w:hint="eastAsia"/>
                      <w:color w:val="auto"/>
                      <w:szCs w:val="21"/>
                    </w:rPr>
                    <w:t>袋式除尘</w:t>
                  </w:r>
                  <w:r>
                    <w:rPr>
                      <w:color w:val="auto"/>
                      <w:szCs w:val="21"/>
                    </w:rPr>
                    <w:t>+15m排气筒</w:t>
                  </w:r>
                </w:p>
              </w:tc>
              <w:tc>
                <w:tcPr>
                  <w:tcW w:w="1234" w:type="dxa"/>
                  <w:tcMar>
                    <w:top w:w="0" w:type="dxa"/>
                    <w:left w:w="28" w:type="dxa"/>
                    <w:bottom w:w="0" w:type="dxa"/>
                    <w:right w:w="28" w:type="dxa"/>
                  </w:tcMar>
                  <w:vAlign w:val="center"/>
                </w:tcPr>
                <w:p w14:paraId="68028185">
                  <w:pPr>
                    <w:jc w:val="center"/>
                    <w:rPr>
                      <w:color w:val="auto"/>
                      <w:szCs w:val="21"/>
                    </w:rPr>
                  </w:pPr>
                  <w:r>
                    <w:rPr>
                      <w:color w:val="auto"/>
                      <w:szCs w:val="21"/>
                    </w:rPr>
                    <w:t>1套</w:t>
                  </w:r>
                </w:p>
              </w:tc>
              <w:tc>
                <w:tcPr>
                  <w:tcW w:w="1215" w:type="dxa"/>
                  <w:tcMar>
                    <w:top w:w="0" w:type="dxa"/>
                    <w:left w:w="28" w:type="dxa"/>
                    <w:bottom w:w="0" w:type="dxa"/>
                    <w:right w:w="28" w:type="dxa"/>
                  </w:tcMar>
                  <w:vAlign w:val="center"/>
                </w:tcPr>
                <w:p w14:paraId="381241AD">
                  <w:pPr>
                    <w:jc w:val="center"/>
                    <w:rPr>
                      <w:color w:val="auto"/>
                      <w:szCs w:val="21"/>
                    </w:rPr>
                  </w:pPr>
                  <w:r>
                    <w:rPr>
                      <w:rFonts w:hint="eastAsia"/>
                      <w:color w:val="auto"/>
                      <w:szCs w:val="21"/>
                    </w:rPr>
                    <w:t>5</w:t>
                  </w:r>
                </w:p>
              </w:tc>
            </w:tr>
            <w:tr w14:paraId="5A1FFE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6" w:hRule="atLeast"/>
                <w:jc w:val="center"/>
              </w:trPr>
              <w:tc>
                <w:tcPr>
                  <w:tcW w:w="498" w:type="dxa"/>
                  <w:vMerge w:val="continue"/>
                  <w:vAlign w:val="center"/>
                </w:tcPr>
                <w:p w14:paraId="6C6A9066">
                  <w:pPr>
                    <w:jc w:val="center"/>
                    <w:rPr>
                      <w:color w:val="auto"/>
                      <w:szCs w:val="21"/>
                    </w:rPr>
                  </w:pPr>
                </w:p>
              </w:tc>
              <w:tc>
                <w:tcPr>
                  <w:tcW w:w="2301" w:type="dxa"/>
                  <w:vAlign w:val="center"/>
                </w:tcPr>
                <w:p w14:paraId="72D2A2BF">
                  <w:pPr>
                    <w:jc w:val="center"/>
                    <w:rPr>
                      <w:rFonts w:hint="eastAsia"/>
                      <w:bCs/>
                      <w:color w:val="auto"/>
                      <w:szCs w:val="21"/>
                    </w:rPr>
                  </w:pPr>
                  <w:r>
                    <w:rPr>
                      <w:rFonts w:hint="eastAsia"/>
                      <w:color w:val="auto"/>
                      <w:szCs w:val="21"/>
                    </w:rPr>
                    <w:t>三车间砂光粉尘</w:t>
                  </w:r>
                </w:p>
              </w:tc>
              <w:tc>
                <w:tcPr>
                  <w:tcW w:w="3380" w:type="dxa"/>
                  <w:tcMar>
                    <w:top w:w="0" w:type="dxa"/>
                    <w:left w:w="28" w:type="dxa"/>
                    <w:bottom w:w="0" w:type="dxa"/>
                    <w:right w:w="28" w:type="dxa"/>
                  </w:tcMar>
                  <w:vAlign w:val="center"/>
                </w:tcPr>
                <w:p w14:paraId="0988543A">
                  <w:pPr>
                    <w:jc w:val="center"/>
                    <w:rPr>
                      <w:rFonts w:hint="eastAsia" w:ascii="宋体" w:hAnsi="宋体"/>
                      <w:bCs/>
                      <w:color w:val="auto"/>
                      <w:szCs w:val="21"/>
                    </w:rPr>
                  </w:pPr>
                  <w:r>
                    <w:rPr>
                      <w:rFonts w:hint="eastAsia"/>
                      <w:color w:val="auto"/>
                      <w:szCs w:val="21"/>
                    </w:rPr>
                    <w:t>集气管道</w:t>
                  </w:r>
                  <w:r>
                    <w:rPr>
                      <w:color w:val="auto"/>
                      <w:szCs w:val="21"/>
                    </w:rPr>
                    <w:t>+</w:t>
                  </w:r>
                  <w:r>
                    <w:rPr>
                      <w:rFonts w:hint="eastAsia"/>
                      <w:color w:val="auto"/>
                      <w:szCs w:val="21"/>
                    </w:rPr>
                    <w:t>袋式除尘</w:t>
                  </w:r>
                  <w:r>
                    <w:rPr>
                      <w:color w:val="auto"/>
                      <w:szCs w:val="21"/>
                    </w:rPr>
                    <w:t>+15m排气筒</w:t>
                  </w:r>
                </w:p>
              </w:tc>
              <w:tc>
                <w:tcPr>
                  <w:tcW w:w="1234" w:type="dxa"/>
                  <w:tcMar>
                    <w:top w:w="0" w:type="dxa"/>
                    <w:left w:w="28" w:type="dxa"/>
                    <w:bottom w:w="0" w:type="dxa"/>
                    <w:right w:w="28" w:type="dxa"/>
                  </w:tcMar>
                  <w:vAlign w:val="center"/>
                </w:tcPr>
                <w:p w14:paraId="412ACC85">
                  <w:pPr>
                    <w:jc w:val="center"/>
                    <w:rPr>
                      <w:color w:val="auto"/>
                      <w:szCs w:val="21"/>
                    </w:rPr>
                  </w:pPr>
                  <w:r>
                    <w:rPr>
                      <w:color w:val="auto"/>
                      <w:szCs w:val="21"/>
                    </w:rPr>
                    <w:t>1套</w:t>
                  </w:r>
                </w:p>
              </w:tc>
              <w:tc>
                <w:tcPr>
                  <w:tcW w:w="1215" w:type="dxa"/>
                  <w:tcMar>
                    <w:top w:w="0" w:type="dxa"/>
                    <w:left w:w="28" w:type="dxa"/>
                    <w:bottom w:w="0" w:type="dxa"/>
                    <w:right w:w="28" w:type="dxa"/>
                  </w:tcMar>
                  <w:vAlign w:val="center"/>
                </w:tcPr>
                <w:p w14:paraId="23F4469F">
                  <w:pPr>
                    <w:jc w:val="center"/>
                    <w:rPr>
                      <w:rFonts w:hint="eastAsia"/>
                      <w:color w:val="auto"/>
                      <w:szCs w:val="21"/>
                    </w:rPr>
                  </w:pPr>
                  <w:r>
                    <w:rPr>
                      <w:rFonts w:hint="eastAsia"/>
                      <w:color w:val="auto"/>
                      <w:szCs w:val="21"/>
                    </w:rPr>
                    <w:t>5</w:t>
                  </w:r>
                </w:p>
              </w:tc>
            </w:tr>
            <w:tr w14:paraId="371C67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6" w:hRule="atLeast"/>
                <w:jc w:val="center"/>
              </w:trPr>
              <w:tc>
                <w:tcPr>
                  <w:tcW w:w="498" w:type="dxa"/>
                  <w:vMerge w:val="continue"/>
                  <w:vAlign w:val="center"/>
                </w:tcPr>
                <w:p w14:paraId="0FB99005">
                  <w:pPr>
                    <w:jc w:val="center"/>
                    <w:rPr>
                      <w:color w:val="auto"/>
                      <w:szCs w:val="21"/>
                    </w:rPr>
                  </w:pPr>
                </w:p>
              </w:tc>
              <w:tc>
                <w:tcPr>
                  <w:tcW w:w="2301" w:type="dxa"/>
                  <w:vAlign w:val="center"/>
                </w:tcPr>
                <w:p w14:paraId="7AB1D29F">
                  <w:pPr>
                    <w:jc w:val="center"/>
                    <w:rPr>
                      <w:color w:val="auto"/>
                      <w:szCs w:val="21"/>
                    </w:rPr>
                  </w:pPr>
                  <w:r>
                    <w:rPr>
                      <w:rFonts w:hint="eastAsia"/>
                      <w:color w:val="auto"/>
                      <w:szCs w:val="21"/>
                    </w:rPr>
                    <w:t>涂胶、</w:t>
                  </w:r>
                  <w:r>
                    <w:rPr>
                      <w:rFonts w:hint="eastAsia"/>
                      <w:color w:val="auto"/>
                      <w:szCs w:val="21"/>
                      <w:lang w:val="en-US" w:eastAsia="zh-CN"/>
                    </w:rPr>
                    <w:t>冷压、</w:t>
                  </w:r>
                  <w:r>
                    <w:rPr>
                      <w:rFonts w:hint="eastAsia"/>
                      <w:color w:val="auto"/>
                      <w:szCs w:val="21"/>
                    </w:rPr>
                    <w:t>热压、</w:t>
                  </w:r>
                  <w:r>
                    <w:rPr>
                      <w:rFonts w:hint="eastAsia"/>
                      <w:color w:val="auto"/>
                      <w:szCs w:val="21"/>
                      <w:lang w:val="en-US" w:eastAsia="zh-CN"/>
                    </w:rPr>
                    <w:t>调漆、</w:t>
                  </w:r>
                  <w:r>
                    <w:rPr>
                      <w:rFonts w:hint="eastAsia"/>
                      <w:color w:val="auto"/>
                      <w:szCs w:val="21"/>
                    </w:rPr>
                    <w:t>喷漆、晾干</w:t>
                  </w:r>
                  <w:r>
                    <w:rPr>
                      <w:rFonts w:hint="eastAsia"/>
                      <w:color w:val="auto"/>
                      <w:szCs w:val="21"/>
                      <w:lang w:eastAsia="zh-CN"/>
                    </w:rPr>
                    <w:t>、修色、危废暂存</w:t>
                  </w:r>
                  <w:r>
                    <w:rPr>
                      <w:rFonts w:hint="eastAsia"/>
                      <w:color w:val="auto"/>
                      <w:szCs w:val="21"/>
                    </w:rPr>
                    <w:t>废气</w:t>
                  </w:r>
                </w:p>
              </w:tc>
              <w:tc>
                <w:tcPr>
                  <w:tcW w:w="3380" w:type="dxa"/>
                  <w:tcMar>
                    <w:top w:w="0" w:type="dxa"/>
                    <w:left w:w="28" w:type="dxa"/>
                    <w:bottom w:w="0" w:type="dxa"/>
                    <w:right w:w="28" w:type="dxa"/>
                  </w:tcMar>
                  <w:vAlign w:val="center"/>
                </w:tcPr>
                <w:p w14:paraId="2AF72A77">
                  <w:pPr>
                    <w:jc w:val="center"/>
                    <w:rPr>
                      <w:color w:val="auto"/>
                      <w:szCs w:val="21"/>
                    </w:rPr>
                  </w:pPr>
                  <w:r>
                    <w:rPr>
                      <w:rFonts w:hint="eastAsia"/>
                      <w:color w:val="auto"/>
                      <w:szCs w:val="21"/>
                    </w:rPr>
                    <w:t>密闭喷漆房（过滤棉）、集气罩</w:t>
                  </w:r>
                  <w:r>
                    <w:rPr>
                      <w:color w:val="auto"/>
                      <w:szCs w:val="21"/>
                    </w:rPr>
                    <w:t>+</w:t>
                  </w:r>
                  <w:r>
                    <w:rPr>
                      <w:rFonts w:hint="eastAsia"/>
                      <w:color w:val="auto"/>
                      <w:szCs w:val="21"/>
                    </w:rPr>
                    <w:t>“活性炭吸附</w:t>
                  </w:r>
                  <w:r>
                    <w:rPr>
                      <w:rFonts w:hint="eastAsia"/>
                      <w:color w:val="auto"/>
                      <w:szCs w:val="21"/>
                      <w:lang w:eastAsia="zh-CN"/>
                    </w:rPr>
                    <w:t>、</w:t>
                  </w:r>
                  <w:r>
                    <w:rPr>
                      <w:rFonts w:hint="eastAsia"/>
                      <w:color w:val="auto"/>
                      <w:szCs w:val="21"/>
                    </w:rPr>
                    <w:t>脱附+</w:t>
                  </w:r>
                  <w:r>
                    <w:rPr>
                      <w:rFonts w:hint="eastAsia"/>
                      <w:color w:val="auto"/>
                      <w:szCs w:val="21"/>
                      <w:lang w:val="en-US" w:eastAsia="zh-CN"/>
                    </w:rPr>
                    <w:t>催化燃烧</w:t>
                  </w:r>
                  <w:r>
                    <w:rPr>
                      <w:rFonts w:hint="eastAsia"/>
                      <w:color w:val="auto"/>
                      <w:szCs w:val="21"/>
                    </w:rPr>
                    <w:t>”</w:t>
                  </w:r>
                  <w:r>
                    <w:rPr>
                      <w:color w:val="auto"/>
                      <w:szCs w:val="21"/>
                    </w:rPr>
                    <w:t>+15m排气筒</w:t>
                  </w:r>
                </w:p>
              </w:tc>
              <w:tc>
                <w:tcPr>
                  <w:tcW w:w="1234" w:type="dxa"/>
                  <w:tcMar>
                    <w:top w:w="0" w:type="dxa"/>
                    <w:left w:w="28" w:type="dxa"/>
                    <w:bottom w:w="0" w:type="dxa"/>
                    <w:right w:w="28" w:type="dxa"/>
                  </w:tcMar>
                  <w:vAlign w:val="center"/>
                </w:tcPr>
                <w:p w14:paraId="702E0C94">
                  <w:pPr>
                    <w:jc w:val="center"/>
                    <w:rPr>
                      <w:color w:val="auto"/>
                      <w:szCs w:val="21"/>
                    </w:rPr>
                  </w:pPr>
                  <w:r>
                    <w:rPr>
                      <w:color w:val="auto"/>
                      <w:szCs w:val="21"/>
                    </w:rPr>
                    <w:t>1套</w:t>
                  </w:r>
                </w:p>
              </w:tc>
              <w:tc>
                <w:tcPr>
                  <w:tcW w:w="1215" w:type="dxa"/>
                  <w:tcMar>
                    <w:top w:w="0" w:type="dxa"/>
                    <w:left w:w="28" w:type="dxa"/>
                    <w:bottom w:w="0" w:type="dxa"/>
                    <w:right w:w="28" w:type="dxa"/>
                  </w:tcMar>
                  <w:vAlign w:val="center"/>
                </w:tcPr>
                <w:p w14:paraId="7DEC25A7">
                  <w:pPr>
                    <w:jc w:val="center"/>
                    <w:rPr>
                      <w:rFonts w:hint="default" w:eastAsia="宋体"/>
                      <w:color w:val="auto"/>
                      <w:szCs w:val="21"/>
                      <w:lang w:val="en-US" w:eastAsia="zh-CN"/>
                    </w:rPr>
                  </w:pPr>
                  <w:r>
                    <w:rPr>
                      <w:rFonts w:hint="eastAsia"/>
                      <w:b/>
                      <w:bCs/>
                      <w:color w:val="auto"/>
                      <w:szCs w:val="21"/>
                      <w:u w:val="single"/>
                      <w:lang w:val="en-US" w:eastAsia="zh-CN"/>
                    </w:rPr>
                    <w:t>40</w:t>
                  </w:r>
                </w:p>
              </w:tc>
            </w:tr>
            <w:tr w14:paraId="4B3EE0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0" w:hRule="atLeast"/>
                <w:jc w:val="center"/>
              </w:trPr>
              <w:tc>
                <w:tcPr>
                  <w:tcW w:w="498" w:type="dxa"/>
                  <w:vMerge w:val="restart"/>
                  <w:vAlign w:val="center"/>
                </w:tcPr>
                <w:p w14:paraId="2E91A6C5">
                  <w:pPr>
                    <w:jc w:val="center"/>
                    <w:rPr>
                      <w:color w:val="auto"/>
                      <w:szCs w:val="21"/>
                    </w:rPr>
                  </w:pPr>
                  <w:r>
                    <w:rPr>
                      <w:color w:val="auto"/>
                      <w:szCs w:val="21"/>
                    </w:rPr>
                    <w:t>废水</w:t>
                  </w:r>
                </w:p>
              </w:tc>
              <w:tc>
                <w:tcPr>
                  <w:tcW w:w="2301" w:type="dxa"/>
                  <w:tcBorders>
                    <w:bottom w:val="single" w:color="auto" w:sz="4" w:space="0"/>
                  </w:tcBorders>
                  <w:vAlign w:val="center"/>
                </w:tcPr>
                <w:p w14:paraId="5C4E4314">
                  <w:pPr>
                    <w:jc w:val="center"/>
                    <w:rPr>
                      <w:rFonts w:hint="eastAsia"/>
                      <w:color w:val="auto"/>
                      <w:szCs w:val="21"/>
                    </w:rPr>
                  </w:pPr>
                  <w:r>
                    <w:rPr>
                      <w:color w:val="auto"/>
                      <w:szCs w:val="21"/>
                    </w:rPr>
                    <w:t>生活污水</w:t>
                  </w:r>
                </w:p>
              </w:tc>
              <w:tc>
                <w:tcPr>
                  <w:tcW w:w="3380" w:type="dxa"/>
                  <w:vMerge w:val="restart"/>
                  <w:tcMar>
                    <w:top w:w="0" w:type="dxa"/>
                    <w:left w:w="28" w:type="dxa"/>
                    <w:bottom w:w="0" w:type="dxa"/>
                    <w:right w:w="28" w:type="dxa"/>
                  </w:tcMar>
                  <w:vAlign w:val="center"/>
                </w:tcPr>
                <w:p w14:paraId="730C9C68">
                  <w:pPr>
                    <w:jc w:val="center"/>
                    <w:rPr>
                      <w:rFonts w:hint="eastAsia"/>
                      <w:color w:val="auto"/>
                      <w:szCs w:val="21"/>
                      <w:lang w:val="en-GB"/>
                    </w:rPr>
                  </w:pPr>
                  <w:r>
                    <w:rPr>
                      <w:rFonts w:hint="eastAsia"/>
                      <w:color w:val="auto"/>
                      <w:szCs w:val="21"/>
                      <w:lang w:val="en-US" w:eastAsia="zh-CN"/>
                    </w:rPr>
                    <w:t>自建</w:t>
                  </w:r>
                  <w:r>
                    <w:rPr>
                      <w:color w:val="auto"/>
                      <w:szCs w:val="21"/>
                    </w:rPr>
                    <w:t>化粪池</w:t>
                  </w:r>
                </w:p>
              </w:tc>
              <w:tc>
                <w:tcPr>
                  <w:tcW w:w="1234" w:type="dxa"/>
                  <w:vMerge w:val="restart"/>
                  <w:tcMar>
                    <w:top w:w="0" w:type="dxa"/>
                    <w:left w:w="28" w:type="dxa"/>
                    <w:bottom w:w="0" w:type="dxa"/>
                    <w:right w:w="28" w:type="dxa"/>
                  </w:tcMar>
                  <w:vAlign w:val="center"/>
                </w:tcPr>
                <w:p w14:paraId="343D4ADA">
                  <w:pPr>
                    <w:jc w:val="center"/>
                    <w:rPr>
                      <w:rFonts w:hint="eastAsia" w:eastAsia="宋体"/>
                      <w:color w:val="auto"/>
                      <w:szCs w:val="21"/>
                      <w:lang w:eastAsia="zh-CN"/>
                    </w:rPr>
                  </w:pPr>
                  <w:r>
                    <w:rPr>
                      <w:rFonts w:hint="eastAsia"/>
                      <w:color w:val="auto"/>
                      <w:szCs w:val="21"/>
                    </w:rPr>
                    <w:t>1</w:t>
                  </w:r>
                  <w:r>
                    <w:rPr>
                      <w:rFonts w:hint="eastAsia"/>
                      <w:color w:val="auto"/>
                      <w:lang w:eastAsia="zh-CN"/>
                    </w:rPr>
                    <w:t>（</w:t>
                  </w:r>
                  <w:r>
                    <w:rPr>
                      <w:rFonts w:hint="eastAsia"/>
                      <w:color w:val="auto"/>
                      <w:lang w:val="en-US" w:eastAsia="zh-CN"/>
                    </w:rPr>
                    <w:t>12m</w:t>
                  </w:r>
                  <w:r>
                    <w:rPr>
                      <w:rFonts w:hint="eastAsia"/>
                      <w:color w:val="auto"/>
                      <w:vertAlign w:val="superscript"/>
                      <w:lang w:val="en-US" w:eastAsia="zh-CN"/>
                    </w:rPr>
                    <w:t>3</w:t>
                  </w:r>
                  <w:r>
                    <w:rPr>
                      <w:rFonts w:hint="eastAsia"/>
                      <w:color w:val="auto"/>
                      <w:lang w:eastAsia="zh-CN"/>
                    </w:rPr>
                    <w:t>）</w:t>
                  </w:r>
                </w:p>
              </w:tc>
              <w:tc>
                <w:tcPr>
                  <w:tcW w:w="1215" w:type="dxa"/>
                  <w:vMerge w:val="restart"/>
                  <w:tcMar>
                    <w:top w:w="0" w:type="dxa"/>
                    <w:left w:w="28" w:type="dxa"/>
                    <w:bottom w:w="0" w:type="dxa"/>
                    <w:right w:w="28" w:type="dxa"/>
                  </w:tcMar>
                  <w:vAlign w:val="center"/>
                </w:tcPr>
                <w:p w14:paraId="162E5CA9">
                  <w:pPr>
                    <w:jc w:val="center"/>
                    <w:rPr>
                      <w:color w:val="auto"/>
                      <w:szCs w:val="21"/>
                    </w:rPr>
                  </w:pPr>
                  <w:r>
                    <w:rPr>
                      <w:rFonts w:hint="eastAsia"/>
                      <w:color w:val="auto"/>
                      <w:szCs w:val="21"/>
                    </w:rPr>
                    <w:t>/</w:t>
                  </w:r>
                </w:p>
              </w:tc>
            </w:tr>
            <w:tr w14:paraId="4C4A92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 w:hRule="atLeast"/>
                <w:jc w:val="center"/>
              </w:trPr>
              <w:tc>
                <w:tcPr>
                  <w:tcW w:w="498" w:type="dxa"/>
                  <w:vMerge w:val="continue"/>
                  <w:vAlign w:val="center"/>
                </w:tcPr>
                <w:p w14:paraId="3DCEC949">
                  <w:pPr>
                    <w:jc w:val="center"/>
                    <w:rPr>
                      <w:color w:val="auto"/>
                      <w:szCs w:val="21"/>
                    </w:rPr>
                  </w:pPr>
                </w:p>
              </w:tc>
              <w:tc>
                <w:tcPr>
                  <w:tcW w:w="2301" w:type="dxa"/>
                  <w:tcBorders>
                    <w:top w:val="single" w:color="auto" w:sz="4" w:space="0"/>
                  </w:tcBorders>
                  <w:vAlign w:val="center"/>
                </w:tcPr>
                <w:p w14:paraId="4A891205">
                  <w:pPr>
                    <w:jc w:val="center"/>
                    <w:rPr>
                      <w:rFonts w:hint="eastAsia" w:eastAsia="宋体"/>
                      <w:color w:val="auto"/>
                      <w:szCs w:val="21"/>
                      <w:lang w:val="en-US" w:eastAsia="zh-CN"/>
                    </w:rPr>
                  </w:pPr>
                  <w:r>
                    <w:rPr>
                      <w:rFonts w:hint="eastAsia"/>
                      <w:color w:val="auto"/>
                      <w:szCs w:val="21"/>
                      <w:lang w:val="en-US" w:eastAsia="zh-CN"/>
                    </w:rPr>
                    <w:t>制备废水</w:t>
                  </w:r>
                </w:p>
              </w:tc>
              <w:tc>
                <w:tcPr>
                  <w:tcW w:w="3380" w:type="dxa"/>
                  <w:vMerge w:val="continue"/>
                  <w:tcMar>
                    <w:top w:w="0" w:type="dxa"/>
                    <w:left w:w="28" w:type="dxa"/>
                    <w:bottom w:w="0" w:type="dxa"/>
                    <w:right w:w="28" w:type="dxa"/>
                  </w:tcMar>
                  <w:vAlign w:val="center"/>
                </w:tcPr>
                <w:p w14:paraId="2F7542A7">
                  <w:pPr>
                    <w:jc w:val="center"/>
                    <w:rPr>
                      <w:rFonts w:hint="eastAsia"/>
                      <w:color w:val="auto"/>
                      <w:szCs w:val="21"/>
                      <w:lang w:val="en-US" w:eastAsia="zh-CN"/>
                    </w:rPr>
                  </w:pPr>
                </w:p>
              </w:tc>
              <w:tc>
                <w:tcPr>
                  <w:tcW w:w="1234" w:type="dxa"/>
                  <w:vMerge w:val="continue"/>
                  <w:tcMar>
                    <w:top w:w="0" w:type="dxa"/>
                    <w:left w:w="28" w:type="dxa"/>
                    <w:bottom w:w="0" w:type="dxa"/>
                    <w:right w:w="28" w:type="dxa"/>
                  </w:tcMar>
                  <w:vAlign w:val="center"/>
                </w:tcPr>
                <w:p w14:paraId="2B694DA3">
                  <w:pPr>
                    <w:jc w:val="center"/>
                    <w:rPr>
                      <w:rFonts w:hint="eastAsia"/>
                      <w:color w:val="auto"/>
                      <w:szCs w:val="21"/>
                    </w:rPr>
                  </w:pPr>
                </w:p>
              </w:tc>
              <w:tc>
                <w:tcPr>
                  <w:tcW w:w="1215" w:type="dxa"/>
                  <w:vMerge w:val="continue"/>
                  <w:tcMar>
                    <w:top w:w="0" w:type="dxa"/>
                    <w:left w:w="28" w:type="dxa"/>
                    <w:bottom w:w="0" w:type="dxa"/>
                    <w:right w:w="28" w:type="dxa"/>
                  </w:tcMar>
                  <w:vAlign w:val="center"/>
                </w:tcPr>
                <w:p w14:paraId="2B5E94C2">
                  <w:pPr>
                    <w:jc w:val="center"/>
                    <w:rPr>
                      <w:rFonts w:hint="eastAsia"/>
                      <w:color w:val="auto"/>
                      <w:szCs w:val="21"/>
                    </w:rPr>
                  </w:pPr>
                </w:p>
              </w:tc>
            </w:tr>
            <w:tr w14:paraId="1D4EDC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 w:hRule="atLeast"/>
                <w:jc w:val="center"/>
              </w:trPr>
              <w:tc>
                <w:tcPr>
                  <w:tcW w:w="498" w:type="dxa"/>
                  <w:vMerge w:val="restart"/>
                  <w:vAlign w:val="center"/>
                </w:tcPr>
                <w:p w14:paraId="02A40828">
                  <w:pPr>
                    <w:widowControl/>
                    <w:jc w:val="center"/>
                    <w:rPr>
                      <w:color w:val="auto"/>
                      <w:szCs w:val="21"/>
                    </w:rPr>
                  </w:pPr>
                  <w:r>
                    <w:rPr>
                      <w:color w:val="auto"/>
                      <w:szCs w:val="21"/>
                    </w:rPr>
                    <w:t>固废</w:t>
                  </w:r>
                </w:p>
              </w:tc>
              <w:tc>
                <w:tcPr>
                  <w:tcW w:w="2301" w:type="dxa"/>
                  <w:vAlign w:val="center"/>
                </w:tcPr>
                <w:p w14:paraId="221761D8">
                  <w:pPr>
                    <w:jc w:val="center"/>
                    <w:rPr>
                      <w:color w:val="auto"/>
                      <w:szCs w:val="21"/>
                    </w:rPr>
                  </w:pPr>
                  <w:r>
                    <w:rPr>
                      <w:rFonts w:hint="eastAsia"/>
                      <w:color w:val="auto"/>
                      <w:szCs w:val="21"/>
                    </w:rPr>
                    <w:t>废</w:t>
                  </w:r>
                  <w:r>
                    <w:rPr>
                      <w:color w:val="auto"/>
                      <w:szCs w:val="21"/>
                    </w:rPr>
                    <w:t>边角料</w:t>
                  </w:r>
                </w:p>
              </w:tc>
              <w:tc>
                <w:tcPr>
                  <w:tcW w:w="3380" w:type="dxa"/>
                  <w:vMerge w:val="restart"/>
                  <w:vAlign w:val="center"/>
                </w:tcPr>
                <w:p w14:paraId="321E1B8F">
                  <w:pPr>
                    <w:jc w:val="center"/>
                    <w:rPr>
                      <w:color w:val="auto"/>
                      <w:szCs w:val="21"/>
                    </w:rPr>
                  </w:pPr>
                  <w:r>
                    <w:rPr>
                      <w:color w:val="auto"/>
                      <w:szCs w:val="21"/>
                    </w:rPr>
                    <w:t>一般固废堆放间，收集后</w:t>
                  </w:r>
                  <w:r>
                    <w:rPr>
                      <w:color w:val="auto"/>
                      <w:szCs w:val="21"/>
                      <w:shd w:val="clear" w:color="auto" w:fill="FFFFFF"/>
                    </w:rPr>
                    <w:t>外售</w:t>
                  </w:r>
                </w:p>
              </w:tc>
              <w:tc>
                <w:tcPr>
                  <w:tcW w:w="1234" w:type="dxa"/>
                  <w:vMerge w:val="restart"/>
                  <w:vAlign w:val="center"/>
                </w:tcPr>
                <w:p w14:paraId="6F28CA73">
                  <w:pPr>
                    <w:jc w:val="center"/>
                    <w:rPr>
                      <w:color w:val="auto"/>
                      <w:szCs w:val="21"/>
                    </w:rPr>
                  </w:pPr>
                  <w:r>
                    <w:rPr>
                      <w:color w:val="auto"/>
                      <w:szCs w:val="21"/>
                    </w:rPr>
                    <w:t>1×</w:t>
                  </w:r>
                  <w:r>
                    <w:rPr>
                      <w:rFonts w:hint="eastAsia"/>
                      <w:color w:val="auto"/>
                      <w:szCs w:val="21"/>
                    </w:rPr>
                    <w:t>2</w:t>
                  </w:r>
                  <w:r>
                    <w:rPr>
                      <w:color w:val="auto"/>
                      <w:szCs w:val="21"/>
                    </w:rPr>
                    <w:t>0m</w:t>
                  </w:r>
                  <w:r>
                    <w:rPr>
                      <w:color w:val="auto"/>
                      <w:szCs w:val="21"/>
                      <w:vertAlign w:val="superscript"/>
                    </w:rPr>
                    <w:t>2</w:t>
                  </w:r>
                </w:p>
              </w:tc>
              <w:tc>
                <w:tcPr>
                  <w:tcW w:w="1215" w:type="dxa"/>
                  <w:vMerge w:val="restart"/>
                  <w:vAlign w:val="center"/>
                </w:tcPr>
                <w:p w14:paraId="09827074">
                  <w:pPr>
                    <w:widowControl/>
                    <w:jc w:val="center"/>
                    <w:rPr>
                      <w:color w:val="auto"/>
                      <w:szCs w:val="21"/>
                    </w:rPr>
                  </w:pPr>
                  <w:r>
                    <w:rPr>
                      <w:color w:val="auto"/>
                      <w:szCs w:val="21"/>
                    </w:rPr>
                    <w:t>0.5</w:t>
                  </w:r>
                </w:p>
              </w:tc>
            </w:tr>
            <w:tr w14:paraId="45174B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98" w:type="dxa"/>
                  <w:vMerge w:val="continue"/>
                  <w:vAlign w:val="center"/>
                </w:tcPr>
                <w:p w14:paraId="50E85372">
                  <w:pPr>
                    <w:widowControl/>
                    <w:jc w:val="center"/>
                    <w:rPr>
                      <w:color w:val="auto"/>
                      <w:szCs w:val="21"/>
                    </w:rPr>
                  </w:pPr>
                </w:p>
              </w:tc>
              <w:tc>
                <w:tcPr>
                  <w:tcW w:w="2301" w:type="dxa"/>
                  <w:vAlign w:val="center"/>
                </w:tcPr>
                <w:p w14:paraId="7637A379">
                  <w:pPr>
                    <w:jc w:val="center"/>
                    <w:rPr>
                      <w:color w:val="auto"/>
                      <w:szCs w:val="21"/>
                    </w:rPr>
                  </w:pPr>
                  <w:r>
                    <w:rPr>
                      <w:rFonts w:hint="eastAsia"/>
                      <w:color w:val="auto"/>
                      <w:szCs w:val="21"/>
                    </w:rPr>
                    <w:t>除尘器收尘</w:t>
                  </w:r>
                </w:p>
              </w:tc>
              <w:tc>
                <w:tcPr>
                  <w:tcW w:w="3380" w:type="dxa"/>
                  <w:vMerge w:val="continue"/>
                  <w:vAlign w:val="center"/>
                </w:tcPr>
                <w:p w14:paraId="4375FCFC">
                  <w:pPr>
                    <w:jc w:val="center"/>
                    <w:rPr>
                      <w:color w:val="auto"/>
                      <w:szCs w:val="21"/>
                      <w:shd w:val="clear" w:color="auto" w:fill="FFFFFF"/>
                    </w:rPr>
                  </w:pPr>
                </w:p>
              </w:tc>
              <w:tc>
                <w:tcPr>
                  <w:tcW w:w="1234" w:type="dxa"/>
                  <w:vMerge w:val="continue"/>
                  <w:vAlign w:val="center"/>
                </w:tcPr>
                <w:p w14:paraId="4E4466F0">
                  <w:pPr>
                    <w:jc w:val="center"/>
                    <w:rPr>
                      <w:color w:val="auto"/>
                      <w:szCs w:val="21"/>
                    </w:rPr>
                  </w:pPr>
                </w:p>
              </w:tc>
              <w:tc>
                <w:tcPr>
                  <w:tcW w:w="1215" w:type="dxa"/>
                  <w:vMerge w:val="continue"/>
                  <w:vAlign w:val="center"/>
                </w:tcPr>
                <w:p w14:paraId="249CC4FB">
                  <w:pPr>
                    <w:widowControl/>
                    <w:jc w:val="center"/>
                    <w:rPr>
                      <w:color w:val="auto"/>
                      <w:szCs w:val="21"/>
                    </w:rPr>
                  </w:pPr>
                </w:p>
              </w:tc>
            </w:tr>
            <w:tr w14:paraId="3B822E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98" w:type="dxa"/>
                  <w:vMerge w:val="continue"/>
                  <w:vAlign w:val="center"/>
                </w:tcPr>
                <w:p w14:paraId="15080021">
                  <w:pPr>
                    <w:widowControl/>
                    <w:jc w:val="center"/>
                    <w:rPr>
                      <w:color w:val="auto"/>
                      <w:szCs w:val="21"/>
                    </w:rPr>
                  </w:pPr>
                </w:p>
              </w:tc>
              <w:tc>
                <w:tcPr>
                  <w:tcW w:w="2301" w:type="dxa"/>
                  <w:vAlign w:val="center"/>
                </w:tcPr>
                <w:p w14:paraId="5DA29777">
                  <w:pPr>
                    <w:jc w:val="center"/>
                    <w:rPr>
                      <w:color w:val="auto"/>
                      <w:szCs w:val="21"/>
                    </w:rPr>
                  </w:pPr>
                  <w:r>
                    <w:rPr>
                      <w:rFonts w:hint="eastAsia"/>
                      <w:color w:val="auto"/>
                      <w:szCs w:val="21"/>
                    </w:rPr>
                    <w:t>废砂纸</w:t>
                  </w:r>
                </w:p>
              </w:tc>
              <w:tc>
                <w:tcPr>
                  <w:tcW w:w="3380" w:type="dxa"/>
                  <w:vMerge w:val="continue"/>
                  <w:vAlign w:val="center"/>
                </w:tcPr>
                <w:p w14:paraId="38C3C470">
                  <w:pPr>
                    <w:jc w:val="center"/>
                    <w:rPr>
                      <w:color w:val="auto"/>
                      <w:szCs w:val="21"/>
                    </w:rPr>
                  </w:pPr>
                </w:p>
              </w:tc>
              <w:tc>
                <w:tcPr>
                  <w:tcW w:w="1234" w:type="dxa"/>
                  <w:vMerge w:val="continue"/>
                  <w:vAlign w:val="center"/>
                </w:tcPr>
                <w:p w14:paraId="4BFC55FE">
                  <w:pPr>
                    <w:jc w:val="center"/>
                    <w:rPr>
                      <w:color w:val="auto"/>
                      <w:szCs w:val="21"/>
                    </w:rPr>
                  </w:pPr>
                </w:p>
              </w:tc>
              <w:tc>
                <w:tcPr>
                  <w:tcW w:w="1215" w:type="dxa"/>
                  <w:vMerge w:val="continue"/>
                  <w:vAlign w:val="center"/>
                </w:tcPr>
                <w:p w14:paraId="25BACCD5">
                  <w:pPr>
                    <w:widowControl/>
                    <w:jc w:val="center"/>
                    <w:rPr>
                      <w:color w:val="auto"/>
                      <w:szCs w:val="21"/>
                    </w:rPr>
                  </w:pPr>
                </w:p>
              </w:tc>
            </w:tr>
            <w:tr w14:paraId="25B4F1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98" w:type="dxa"/>
                  <w:vMerge w:val="continue"/>
                  <w:vAlign w:val="center"/>
                </w:tcPr>
                <w:p w14:paraId="5263A9FE">
                  <w:pPr>
                    <w:widowControl/>
                    <w:jc w:val="center"/>
                    <w:rPr>
                      <w:color w:val="auto"/>
                      <w:szCs w:val="21"/>
                    </w:rPr>
                  </w:pPr>
                </w:p>
              </w:tc>
              <w:tc>
                <w:tcPr>
                  <w:tcW w:w="2301" w:type="dxa"/>
                  <w:vAlign w:val="center"/>
                </w:tcPr>
                <w:p w14:paraId="476FF97F">
                  <w:pPr>
                    <w:jc w:val="center"/>
                    <w:rPr>
                      <w:rFonts w:hint="default" w:eastAsia="宋体"/>
                      <w:color w:val="auto"/>
                      <w:szCs w:val="21"/>
                      <w:lang w:val="en-US" w:eastAsia="zh-CN"/>
                    </w:rPr>
                  </w:pPr>
                  <w:r>
                    <w:rPr>
                      <w:rFonts w:hint="eastAsia"/>
                      <w:color w:val="auto"/>
                      <w:szCs w:val="21"/>
                      <w:lang w:val="en-US" w:eastAsia="zh-CN"/>
                    </w:rPr>
                    <w:t>饮水机RO膜</w:t>
                  </w:r>
                </w:p>
              </w:tc>
              <w:tc>
                <w:tcPr>
                  <w:tcW w:w="3380" w:type="dxa"/>
                  <w:vAlign w:val="center"/>
                </w:tcPr>
                <w:p w14:paraId="6C0DCC0A">
                  <w:pPr>
                    <w:jc w:val="center"/>
                    <w:rPr>
                      <w:rFonts w:hint="default" w:eastAsia="宋体"/>
                      <w:color w:val="auto"/>
                      <w:szCs w:val="21"/>
                      <w:lang w:val="en-US" w:eastAsia="zh-CN"/>
                    </w:rPr>
                  </w:pPr>
                  <w:r>
                    <w:rPr>
                      <w:rFonts w:hint="eastAsia"/>
                      <w:color w:val="auto"/>
                      <w:szCs w:val="21"/>
                      <w:lang w:val="en-US" w:eastAsia="zh-CN"/>
                    </w:rPr>
                    <w:t>一年更换一次，由厂家回收处理</w:t>
                  </w:r>
                </w:p>
              </w:tc>
              <w:tc>
                <w:tcPr>
                  <w:tcW w:w="1234" w:type="dxa"/>
                  <w:vMerge w:val="continue"/>
                  <w:vAlign w:val="center"/>
                </w:tcPr>
                <w:p w14:paraId="58709E21">
                  <w:pPr>
                    <w:jc w:val="center"/>
                    <w:rPr>
                      <w:color w:val="auto"/>
                      <w:szCs w:val="21"/>
                    </w:rPr>
                  </w:pPr>
                </w:p>
              </w:tc>
              <w:tc>
                <w:tcPr>
                  <w:tcW w:w="1215" w:type="dxa"/>
                  <w:vMerge w:val="continue"/>
                  <w:vAlign w:val="center"/>
                </w:tcPr>
                <w:p w14:paraId="057BFD17">
                  <w:pPr>
                    <w:widowControl/>
                    <w:jc w:val="center"/>
                    <w:rPr>
                      <w:color w:val="auto"/>
                      <w:szCs w:val="21"/>
                    </w:rPr>
                  </w:pPr>
                </w:p>
              </w:tc>
            </w:tr>
            <w:tr w14:paraId="20D414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98" w:type="dxa"/>
                  <w:vMerge w:val="continue"/>
                  <w:vAlign w:val="center"/>
                </w:tcPr>
                <w:p w14:paraId="750AF8AA">
                  <w:pPr>
                    <w:widowControl/>
                    <w:jc w:val="center"/>
                    <w:rPr>
                      <w:color w:val="auto"/>
                      <w:szCs w:val="21"/>
                    </w:rPr>
                  </w:pPr>
                </w:p>
              </w:tc>
              <w:tc>
                <w:tcPr>
                  <w:tcW w:w="2301" w:type="dxa"/>
                  <w:vAlign w:val="center"/>
                </w:tcPr>
                <w:p w14:paraId="4EE37849">
                  <w:pPr>
                    <w:topLinePunct/>
                    <w:jc w:val="center"/>
                    <w:rPr>
                      <w:rFonts w:hint="eastAsia" w:eastAsia="宋体"/>
                      <w:color w:val="auto"/>
                      <w:szCs w:val="21"/>
                      <w:lang w:val="en-US" w:eastAsia="zh-CN"/>
                    </w:rPr>
                  </w:pPr>
                  <w:r>
                    <w:rPr>
                      <w:rFonts w:hint="eastAsia"/>
                      <w:b/>
                      <w:bCs/>
                      <w:color w:val="auto"/>
                      <w:szCs w:val="21"/>
                      <w:u w:val="single"/>
                      <w:lang w:val="en-US" w:eastAsia="zh-CN"/>
                    </w:rPr>
                    <w:t>油磨粉尘</w:t>
                  </w:r>
                </w:p>
              </w:tc>
              <w:tc>
                <w:tcPr>
                  <w:tcW w:w="3380" w:type="dxa"/>
                  <w:vMerge w:val="restart"/>
                  <w:vAlign w:val="center"/>
                </w:tcPr>
                <w:p w14:paraId="38E98370">
                  <w:pPr>
                    <w:jc w:val="center"/>
                    <w:rPr>
                      <w:color w:val="auto"/>
                      <w:szCs w:val="21"/>
                      <w:shd w:val="clear" w:color="auto" w:fill="FFFFFF"/>
                    </w:rPr>
                  </w:pPr>
                  <w:r>
                    <w:rPr>
                      <w:color w:val="auto"/>
                      <w:szCs w:val="21"/>
                      <w:shd w:val="clear" w:color="auto" w:fill="FFFFFF"/>
                    </w:rPr>
                    <w:t>在危废暂存间暂存后，定期交由有危险废物处置资质单位处理</w:t>
                  </w:r>
                </w:p>
              </w:tc>
              <w:tc>
                <w:tcPr>
                  <w:tcW w:w="1234" w:type="dxa"/>
                  <w:vMerge w:val="restart"/>
                  <w:vAlign w:val="center"/>
                </w:tcPr>
                <w:p w14:paraId="72930888">
                  <w:pPr>
                    <w:jc w:val="center"/>
                    <w:rPr>
                      <w:color w:val="auto"/>
                      <w:szCs w:val="21"/>
                    </w:rPr>
                  </w:pPr>
                  <w:r>
                    <w:rPr>
                      <w:color w:val="auto"/>
                      <w:szCs w:val="21"/>
                    </w:rPr>
                    <w:t>1×</w:t>
                  </w:r>
                  <w:r>
                    <w:rPr>
                      <w:rFonts w:hint="eastAsia"/>
                      <w:color w:val="auto"/>
                      <w:szCs w:val="21"/>
                      <w:lang w:val="en-US" w:eastAsia="zh-CN"/>
                    </w:rPr>
                    <w:t>1</w:t>
                  </w:r>
                  <w:r>
                    <w:rPr>
                      <w:color w:val="auto"/>
                      <w:szCs w:val="21"/>
                    </w:rPr>
                    <w:t>0m</w:t>
                  </w:r>
                  <w:r>
                    <w:rPr>
                      <w:color w:val="auto"/>
                      <w:szCs w:val="21"/>
                      <w:vertAlign w:val="superscript"/>
                    </w:rPr>
                    <w:t>2</w:t>
                  </w:r>
                </w:p>
              </w:tc>
              <w:tc>
                <w:tcPr>
                  <w:tcW w:w="1215" w:type="dxa"/>
                  <w:vMerge w:val="restart"/>
                  <w:vAlign w:val="center"/>
                </w:tcPr>
                <w:p w14:paraId="7B64F6B3">
                  <w:pPr>
                    <w:widowControl/>
                    <w:jc w:val="center"/>
                    <w:rPr>
                      <w:color w:val="auto"/>
                      <w:szCs w:val="21"/>
                    </w:rPr>
                  </w:pPr>
                  <w:r>
                    <w:rPr>
                      <w:rFonts w:hint="eastAsia"/>
                      <w:color w:val="auto"/>
                      <w:szCs w:val="21"/>
                    </w:rPr>
                    <w:t>2</w:t>
                  </w:r>
                </w:p>
              </w:tc>
            </w:tr>
            <w:tr w14:paraId="2F22EF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98" w:type="dxa"/>
                  <w:vMerge w:val="continue"/>
                  <w:vAlign w:val="center"/>
                </w:tcPr>
                <w:p w14:paraId="3B242A55">
                  <w:pPr>
                    <w:widowControl/>
                    <w:jc w:val="center"/>
                    <w:rPr>
                      <w:color w:val="auto"/>
                      <w:szCs w:val="21"/>
                    </w:rPr>
                  </w:pPr>
                </w:p>
              </w:tc>
              <w:tc>
                <w:tcPr>
                  <w:tcW w:w="2301" w:type="dxa"/>
                  <w:vAlign w:val="center"/>
                </w:tcPr>
                <w:p w14:paraId="6B68B4E6">
                  <w:pPr>
                    <w:topLinePunct/>
                    <w:jc w:val="center"/>
                    <w:rPr>
                      <w:color w:val="auto"/>
                      <w:szCs w:val="21"/>
                    </w:rPr>
                  </w:pPr>
                  <w:r>
                    <w:rPr>
                      <w:rFonts w:hint="eastAsia"/>
                      <w:color w:val="auto"/>
                      <w:szCs w:val="21"/>
                    </w:rPr>
                    <w:t>废破损包装桶</w:t>
                  </w:r>
                </w:p>
              </w:tc>
              <w:tc>
                <w:tcPr>
                  <w:tcW w:w="3380" w:type="dxa"/>
                  <w:vMerge w:val="continue"/>
                  <w:vAlign w:val="center"/>
                </w:tcPr>
                <w:p w14:paraId="23B818F2">
                  <w:pPr>
                    <w:jc w:val="center"/>
                    <w:rPr>
                      <w:color w:val="auto"/>
                      <w:szCs w:val="21"/>
                      <w:shd w:val="clear" w:color="auto" w:fill="FFFFFF"/>
                    </w:rPr>
                  </w:pPr>
                </w:p>
              </w:tc>
              <w:tc>
                <w:tcPr>
                  <w:tcW w:w="1234" w:type="dxa"/>
                  <w:vMerge w:val="continue"/>
                  <w:vAlign w:val="center"/>
                </w:tcPr>
                <w:p w14:paraId="3696A4A3">
                  <w:pPr>
                    <w:jc w:val="center"/>
                    <w:rPr>
                      <w:color w:val="auto"/>
                      <w:szCs w:val="21"/>
                    </w:rPr>
                  </w:pPr>
                </w:p>
              </w:tc>
              <w:tc>
                <w:tcPr>
                  <w:tcW w:w="1215" w:type="dxa"/>
                  <w:vMerge w:val="continue"/>
                  <w:vAlign w:val="center"/>
                </w:tcPr>
                <w:p w14:paraId="5EF4BB55">
                  <w:pPr>
                    <w:widowControl/>
                    <w:jc w:val="center"/>
                    <w:rPr>
                      <w:color w:val="auto"/>
                      <w:szCs w:val="21"/>
                    </w:rPr>
                  </w:pPr>
                </w:p>
              </w:tc>
            </w:tr>
            <w:tr w14:paraId="075182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98" w:type="dxa"/>
                  <w:vMerge w:val="continue"/>
                  <w:vAlign w:val="center"/>
                </w:tcPr>
                <w:p w14:paraId="4E1CA6CD">
                  <w:pPr>
                    <w:widowControl/>
                    <w:jc w:val="center"/>
                    <w:rPr>
                      <w:color w:val="auto"/>
                      <w:szCs w:val="21"/>
                    </w:rPr>
                  </w:pPr>
                </w:p>
              </w:tc>
              <w:tc>
                <w:tcPr>
                  <w:tcW w:w="2301" w:type="dxa"/>
                  <w:vAlign w:val="center"/>
                </w:tcPr>
                <w:p w14:paraId="34F8303D">
                  <w:pPr>
                    <w:topLinePunct/>
                    <w:jc w:val="center"/>
                    <w:rPr>
                      <w:color w:val="auto"/>
                      <w:szCs w:val="21"/>
                    </w:rPr>
                  </w:pPr>
                  <w:r>
                    <w:rPr>
                      <w:rFonts w:hint="eastAsia"/>
                      <w:color w:val="auto"/>
                      <w:szCs w:val="21"/>
                    </w:rPr>
                    <w:t>废活性炭</w:t>
                  </w:r>
                </w:p>
              </w:tc>
              <w:tc>
                <w:tcPr>
                  <w:tcW w:w="3380" w:type="dxa"/>
                  <w:vMerge w:val="continue"/>
                  <w:vAlign w:val="center"/>
                </w:tcPr>
                <w:p w14:paraId="38D6ED12">
                  <w:pPr>
                    <w:jc w:val="center"/>
                    <w:rPr>
                      <w:color w:val="auto"/>
                      <w:szCs w:val="21"/>
                      <w:shd w:val="clear" w:color="auto" w:fill="FFFFFF"/>
                    </w:rPr>
                  </w:pPr>
                </w:p>
              </w:tc>
              <w:tc>
                <w:tcPr>
                  <w:tcW w:w="1234" w:type="dxa"/>
                  <w:vMerge w:val="continue"/>
                  <w:vAlign w:val="center"/>
                </w:tcPr>
                <w:p w14:paraId="2A374BE0">
                  <w:pPr>
                    <w:jc w:val="center"/>
                    <w:rPr>
                      <w:color w:val="auto"/>
                      <w:szCs w:val="21"/>
                    </w:rPr>
                  </w:pPr>
                </w:p>
              </w:tc>
              <w:tc>
                <w:tcPr>
                  <w:tcW w:w="1215" w:type="dxa"/>
                  <w:vMerge w:val="continue"/>
                  <w:vAlign w:val="center"/>
                </w:tcPr>
                <w:p w14:paraId="5016D58D">
                  <w:pPr>
                    <w:widowControl/>
                    <w:jc w:val="center"/>
                    <w:rPr>
                      <w:color w:val="auto"/>
                      <w:szCs w:val="21"/>
                    </w:rPr>
                  </w:pPr>
                </w:p>
              </w:tc>
            </w:tr>
            <w:tr w14:paraId="5BEC0F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9" w:hRule="atLeast"/>
                <w:jc w:val="center"/>
              </w:trPr>
              <w:tc>
                <w:tcPr>
                  <w:tcW w:w="498" w:type="dxa"/>
                  <w:vMerge w:val="continue"/>
                  <w:vAlign w:val="center"/>
                </w:tcPr>
                <w:p w14:paraId="772EB282">
                  <w:pPr>
                    <w:widowControl/>
                    <w:jc w:val="center"/>
                    <w:rPr>
                      <w:color w:val="auto"/>
                      <w:szCs w:val="21"/>
                    </w:rPr>
                  </w:pPr>
                </w:p>
              </w:tc>
              <w:tc>
                <w:tcPr>
                  <w:tcW w:w="2301" w:type="dxa"/>
                  <w:vAlign w:val="center"/>
                </w:tcPr>
                <w:p w14:paraId="4DB207D7">
                  <w:pPr>
                    <w:topLinePunct/>
                    <w:jc w:val="center"/>
                    <w:rPr>
                      <w:rFonts w:hint="eastAsia"/>
                      <w:color w:val="auto"/>
                      <w:szCs w:val="21"/>
                    </w:rPr>
                  </w:pPr>
                  <w:r>
                    <w:rPr>
                      <w:rFonts w:hint="eastAsia"/>
                      <w:color w:val="auto"/>
                      <w:szCs w:val="21"/>
                      <w:lang w:val="en-US" w:eastAsia="zh-CN"/>
                    </w:rPr>
                    <w:t>废机油、</w:t>
                  </w:r>
                  <w:r>
                    <w:rPr>
                      <w:rFonts w:hint="eastAsia"/>
                      <w:color w:val="auto"/>
                      <w:szCs w:val="21"/>
                    </w:rPr>
                    <w:t>废液压油</w:t>
                  </w:r>
                </w:p>
              </w:tc>
              <w:tc>
                <w:tcPr>
                  <w:tcW w:w="3380" w:type="dxa"/>
                  <w:vMerge w:val="continue"/>
                  <w:vAlign w:val="center"/>
                </w:tcPr>
                <w:p w14:paraId="66DCB0AF">
                  <w:pPr>
                    <w:jc w:val="center"/>
                    <w:rPr>
                      <w:color w:val="auto"/>
                      <w:szCs w:val="21"/>
                      <w:shd w:val="clear" w:color="auto" w:fill="FFFFFF"/>
                    </w:rPr>
                  </w:pPr>
                </w:p>
              </w:tc>
              <w:tc>
                <w:tcPr>
                  <w:tcW w:w="1234" w:type="dxa"/>
                  <w:vMerge w:val="continue"/>
                  <w:vAlign w:val="center"/>
                </w:tcPr>
                <w:p w14:paraId="49007FF8">
                  <w:pPr>
                    <w:jc w:val="center"/>
                    <w:rPr>
                      <w:color w:val="auto"/>
                      <w:szCs w:val="21"/>
                    </w:rPr>
                  </w:pPr>
                </w:p>
              </w:tc>
              <w:tc>
                <w:tcPr>
                  <w:tcW w:w="1215" w:type="dxa"/>
                  <w:vMerge w:val="continue"/>
                  <w:vAlign w:val="center"/>
                </w:tcPr>
                <w:p w14:paraId="2B757079">
                  <w:pPr>
                    <w:widowControl/>
                    <w:jc w:val="center"/>
                    <w:rPr>
                      <w:color w:val="auto"/>
                      <w:szCs w:val="21"/>
                    </w:rPr>
                  </w:pPr>
                </w:p>
              </w:tc>
            </w:tr>
            <w:tr w14:paraId="4583A0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9" w:hRule="atLeast"/>
                <w:jc w:val="center"/>
              </w:trPr>
              <w:tc>
                <w:tcPr>
                  <w:tcW w:w="498" w:type="dxa"/>
                  <w:vMerge w:val="continue"/>
                  <w:vAlign w:val="center"/>
                </w:tcPr>
                <w:p w14:paraId="233FAA7E">
                  <w:pPr>
                    <w:widowControl/>
                    <w:jc w:val="center"/>
                    <w:rPr>
                      <w:color w:val="auto"/>
                      <w:szCs w:val="21"/>
                    </w:rPr>
                  </w:pPr>
                </w:p>
              </w:tc>
              <w:tc>
                <w:tcPr>
                  <w:tcW w:w="2301" w:type="dxa"/>
                  <w:vAlign w:val="center"/>
                </w:tcPr>
                <w:p w14:paraId="5B9DE477">
                  <w:pPr>
                    <w:topLinePunct/>
                    <w:jc w:val="center"/>
                    <w:rPr>
                      <w:rFonts w:hint="default"/>
                      <w:color w:val="auto"/>
                      <w:szCs w:val="21"/>
                      <w:lang w:val="en-US" w:eastAsia="zh-CN"/>
                    </w:rPr>
                  </w:pPr>
                  <w:r>
                    <w:rPr>
                      <w:rFonts w:hint="eastAsia"/>
                      <w:color w:val="auto"/>
                      <w:szCs w:val="21"/>
                      <w:lang w:val="en-US" w:eastAsia="zh-CN"/>
                    </w:rPr>
                    <w:t>废机油桶、废液压油桶</w:t>
                  </w:r>
                </w:p>
              </w:tc>
              <w:tc>
                <w:tcPr>
                  <w:tcW w:w="3380" w:type="dxa"/>
                  <w:vMerge w:val="continue"/>
                  <w:vAlign w:val="center"/>
                </w:tcPr>
                <w:p w14:paraId="272AD1F7">
                  <w:pPr>
                    <w:jc w:val="center"/>
                    <w:rPr>
                      <w:color w:val="auto"/>
                      <w:szCs w:val="21"/>
                      <w:shd w:val="clear" w:color="auto" w:fill="FFFFFF"/>
                    </w:rPr>
                  </w:pPr>
                </w:p>
              </w:tc>
              <w:tc>
                <w:tcPr>
                  <w:tcW w:w="1234" w:type="dxa"/>
                  <w:vMerge w:val="continue"/>
                  <w:vAlign w:val="center"/>
                </w:tcPr>
                <w:p w14:paraId="0E14E7FE">
                  <w:pPr>
                    <w:jc w:val="center"/>
                    <w:rPr>
                      <w:color w:val="auto"/>
                      <w:szCs w:val="21"/>
                    </w:rPr>
                  </w:pPr>
                </w:p>
              </w:tc>
              <w:tc>
                <w:tcPr>
                  <w:tcW w:w="1215" w:type="dxa"/>
                  <w:vMerge w:val="continue"/>
                  <w:vAlign w:val="center"/>
                </w:tcPr>
                <w:p w14:paraId="73CA8058">
                  <w:pPr>
                    <w:widowControl/>
                    <w:jc w:val="center"/>
                    <w:rPr>
                      <w:color w:val="auto"/>
                      <w:szCs w:val="21"/>
                    </w:rPr>
                  </w:pPr>
                </w:p>
              </w:tc>
            </w:tr>
            <w:tr w14:paraId="4EDA61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3" w:hRule="atLeast"/>
                <w:jc w:val="center"/>
              </w:trPr>
              <w:tc>
                <w:tcPr>
                  <w:tcW w:w="498" w:type="dxa"/>
                  <w:vMerge w:val="continue"/>
                  <w:vAlign w:val="center"/>
                </w:tcPr>
                <w:p w14:paraId="35520248">
                  <w:pPr>
                    <w:widowControl/>
                    <w:jc w:val="center"/>
                    <w:rPr>
                      <w:color w:val="auto"/>
                      <w:szCs w:val="21"/>
                    </w:rPr>
                  </w:pPr>
                </w:p>
              </w:tc>
              <w:tc>
                <w:tcPr>
                  <w:tcW w:w="2301" w:type="dxa"/>
                  <w:vAlign w:val="center"/>
                </w:tcPr>
                <w:p w14:paraId="0A03DC38">
                  <w:pPr>
                    <w:topLinePunct/>
                    <w:jc w:val="center"/>
                    <w:rPr>
                      <w:rFonts w:hint="eastAsia"/>
                      <w:color w:val="auto"/>
                      <w:szCs w:val="21"/>
                    </w:rPr>
                  </w:pPr>
                  <w:r>
                    <w:rPr>
                      <w:rFonts w:hint="eastAsia"/>
                      <w:color w:val="auto"/>
                      <w:szCs w:val="21"/>
                    </w:rPr>
                    <w:t>废过滤棉</w:t>
                  </w:r>
                </w:p>
              </w:tc>
              <w:tc>
                <w:tcPr>
                  <w:tcW w:w="3380" w:type="dxa"/>
                  <w:vMerge w:val="continue"/>
                  <w:vAlign w:val="center"/>
                </w:tcPr>
                <w:p w14:paraId="44B3E910">
                  <w:pPr>
                    <w:jc w:val="center"/>
                    <w:rPr>
                      <w:color w:val="auto"/>
                      <w:szCs w:val="21"/>
                      <w:shd w:val="clear" w:color="auto" w:fill="FFFFFF"/>
                    </w:rPr>
                  </w:pPr>
                </w:p>
              </w:tc>
              <w:tc>
                <w:tcPr>
                  <w:tcW w:w="1234" w:type="dxa"/>
                  <w:vMerge w:val="continue"/>
                  <w:vAlign w:val="center"/>
                </w:tcPr>
                <w:p w14:paraId="3AA566B6">
                  <w:pPr>
                    <w:jc w:val="center"/>
                    <w:rPr>
                      <w:color w:val="auto"/>
                      <w:szCs w:val="21"/>
                    </w:rPr>
                  </w:pPr>
                </w:p>
              </w:tc>
              <w:tc>
                <w:tcPr>
                  <w:tcW w:w="1215" w:type="dxa"/>
                  <w:vMerge w:val="continue"/>
                  <w:vAlign w:val="center"/>
                </w:tcPr>
                <w:p w14:paraId="40E25710">
                  <w:pPr>
                    <w:widowControl/>
                    <w:jc w:val="center"/>
                    <w:rPr>
                      <w:color w:val="auto"/>
                      <w:szCs w:val="21"/>
                    </w:rPr>
                  </w:pPr>
                </w:p>
              </w:tc>
            </w:tr>
            <w:tr w14:paraId="072652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3" w:hRule="atLeast"/>
                <w:jc w:val="center"/>
              </w:trPr>
              <w:tc>
                <w:tcPr>
                  <w:tcW w:w="498" w:type="dxa"/>
                  <w:vMerge w:val="continue"/>
                  <w:vAlign w:val="center"/>
                </w:tcPr>
                <w:p w14:paraId="0495FBDD">
                  <w:pPr>
                    <w:widowControl/>
                    <w:jc w:val="center"/>
                    <w:rPr>
                      <w:color w:val="auto"/>
                      <w:szCs w:val="21"/>
                    </w:rPr>
                  </w:pPr>
                </w:p>
              </w:tc>
              <w:tc>
                <w:tcPr>
                  <w:tcW w:w="2301" w:type="dxa"/>
                  <w:vAlign w:val="center"/>
                </w:tcPr>
                <w:p w14:paraId="616B9761">
                  <w:pPr>
                    <w:topLinePunct/>
                    <w:jc w:val="center"/>
                    <w:rPr>
                      <w:color w:val="auto"/>
                      <w:szCs w:val="21"/>
                    </w:rPr>
                  </w:pPr>
                  <w:r>
                    <w:rPr>
                      <w:rFonts w:hint="eastAsia"/>
                      <w:color w:val="auto"/>
                      <w:szCs w:val="21"/>
                    </w:rPr>
                    <w:t>废催化剂</w:t>
                  </w:r>
                </w:p>
              </w:tc>
              <w:tc>
                <w:tcPr>
                  <w:tcW w:w="3380" w:type="dxa"/>
                  <w:vMerge w:val="continue"/>
                  <w:vAlign w:val="center"/>
                </w:tcPr>
                <w:p w14:paraId="68D38839">
                  <w:pPr>
                    <w:jc w:val="center"/>
                    <w:rPr>
                      <w:color w:val="auto"/>
                      <w:szCs w:val="21"/>
                      <w:shd w:val="clear" w:color="auto" w:fill="FFFFFF"/>
                    </w:rPr>
                  </w:pPr>
                </w:p>
              </w:tc>
              <w:tc>
                <w:tcPr>
                  <w:tcW w:w="1234" w:type="dxa"/>
                  <w:vMerge w:val="continue"/>
                  <w:vAlign w:val="center"/>
                </w:tcPr>
                <w:p w14:paraId="1F1A9BE9">
                  <w:pPr>
                    <w:jc w:val="center"/>
                    <w:rPr>
                      <w:color w:val="auto"/>
                      <w:szCs w:val="21"/>
                    </w:rPr>
                  </w:pPr>
                </w:p>
              </w:tc>
              <w:tc>
                <w:tcPr>
                  <w:tcW w:w="1215" w:type="dxa"/>
                  <w:vMerge w:val="continue"/>
                  <w:vAlign w:val="center"/>
                </w:tcPr>
                <w:p w14:paraId="31051F1F">
                  <w:pPr>
                    <w:widowControl/>
                    <w:jc w:val="center"/>
                    <w:rPr>
                      <w:color w:val="auto"/>
                      <w:szCs w:val="21"/>
                    </w:rPr>
                  </w:pPr>
                </w:p>
              </w:tc>
            </w:tr>
            <w:tr w14:paraId="09BDA7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3" w:hRule="atLeast"/>
                <w:jc w:val="center"/>
              </w:trPr>
              <w:tc>
                <w:tcPr>
                  <w:tcW w:w="498" w:type="dxa"/>
                  <w:vMerge w:val="continue"/>
                  <w:vAlign w:val="center"/>
                </w:tcPr>
                <w:p w14:paraId="2ABFC257">
                  <w:pPr>
                    <w:widowControl/>
                    <w:jc w:val="center"/>
                    <w:rPr>
                      <w:color w:val="auto"/>
                      <w:szCs w:val="21"/>
                    </w:rPr>
                  </w:pPr>
                </w:p>
              </w:tc>
              <w:tc>
                <w:tcPr>
                  <w:tcW w:w="2301" w:type="dxa"/>
                  <w:vAlign w:val="center"/>
                </w:tcPr>
                <w:p w14:paraId="1D299784">
                  <w:pPr>
                    <w:topLinePunct/>
                    <w:jc w:val="center"/>
                    <w:rPr>
                      <w:rFonts w:hint="default" w:eastAsia="宋体"/>
                      <w:color w:val="auto"/>
                      <w:szCs w:val="21"/>
                      <w:lang w:val="en-US" w:eastAsia="zh-CN"/>
                    </w:rPr>
                  </w:pPr>
                  <w:r>
                    <w:rPr>
                      <w:rFonts w:hint="eastAsia"/>
                      <w:color w:val="auto"/>
                      <w:szCs w:val="21"/>
                      <w:lang w:val="en-US" w:eastAsia="zh-CN"/>
                    </w:rPr>
                    <w:t>废UV灯管</w:t>
                  </w:r>
                </w:p>
              </w:tc>
              <w:tc>
                <w:tcPr>
                  <w:tcW w:w="3380" w:type="dxa"/>
                  <w:vMerge w:val="continue"/>
                  <w:vAlign w:val="center"/>
                </w:tcPr>
                <w:p w14:paraId="1860CB25">
                  <w:pPr>
                    <w:jc w:val="center"/>
                    <w:rPr>
                      <w:color w:val="auto"/>
                      <w:szCs w:val="21"/>
                      <w:shd w:val="clear" w:color="auto" w:fill="FFFFFF"/>
                    </w:rPr>
                  </w:pPr>
                </w:p>
              </w:tc>
              <w:tc>
                <w:tcPr>
                  <w:tcW w:w="1234" w:type="dxa"/>
                  <w:vMerge w:val="continue"/>
                  <w:vAlign w:val="center"/>
                </w:tcPr>
                <w:p w14:paraId="62457BA0">
                  <w:pPr>
                    <w:jc w:val="center"/>
                    <w:rPr>
                      <w:color w:val="auto"/>
                      <w:szCs w:val="21"/>
                    </w:rPr>
                  </w:pPr>
                </w:p>
              </w:tc>
              <w:tc>
                <w:tcPr>
                  <w:tcW w:w="1215" w:type="dxa"/>
                  <w:vMerge w:val="continue"/>
                  <w:vAlign w:val="center"/>
                </w:tcPr>
                <w:p w14:paraId="2E92C070">
                  <w:pPr>
                    <w:widowControl/>
                    <w:jc w:val="center"/>
                    <w:rPr>
                      <w:color w:val="auto"/>
                      <w:szCs w:val="21"/>
                    </w:rPr>
                  </w:pPr>
                </w:p>
              </w:tc>
            </w:tr>
            <w:tr w14:paraId="7B84E5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14:paraId="1141155C">
                  <w:pPr>
                    <w:widowControl/>
                    <w:jc w:val="center"/>
                    <w:rPr>
                      <w:color w:val="auto"/>
                      <w:szCs w:val="21"/>
                    </w:rPr>
                  </w:pPr>
                </w:p>
              </w:tc>
              <w:tc>
                <w:tcPr>
                  <w:tcW w:w="2301" w:type="dxa"/>
                  <w:vAlign w:val="center"/>
                </w:tcPr>
                <w:p w14:paraId="56D4859D">
                  <w:pPr>
                    <w:jc w:val="center"/>
                    <w:rPr>
                      <w:color w:val="auto"/>
                      <w:szCs w:val="21"/>
                    </w:rPr>
                  </w:pPr>
                  <w:r>
                    <w:rPr>
                      <w:color w:val="auto"/>
                      <w:szCs w:val="21"/>
                    </w:rPr>
                    <w:t>生活垃圾</w:t>
                  </w:r>
                </w:p>
              </w:tc>
              <w:tc>
                <w:tcPr>
                  <w:tcW w:w="3380" w:type="dxa"/>
                  <w:tcMar>
                    <w:top w:w="0" w:type="dxa"/>
                    <w:left w:w="28" w:type="dxa"/>
                    <w:bottom w:w="0" w:type="dxa"/>
                    <w:right w:w="28" w:type="dxa"/>
                  </w:tcMar>
                  <w:vAlign w:val="center"/>
                </w:tcPr>
                <w:p w14:paraId="189598B6">
                  <w:pPr>
                    <w:jc w:val="center"/>
                    <w:rPr>
                      <w:color w:val="auto"/>
                      <w:szCs w:val="21"/>
                    </w:rPr>
                  </w:pPr>
                  <w:r>
                    <w:rPr>
                      <w:color w:val="auto"/>
                      <w:szCs w:val="21"/>
                    </w:rPr>
                    <w:t>垃圾桶，交环卫部门集中处理</w:t>
                  </w:r>
                </w:p>
              </w:tc>
              <w:tc>
                <w:tcPr>
                  <w:tcW w:w="1234" w:type="dxa"/>
                  <w:tcMar>
                    <w:top w:w="0" w:type="dxa"/>
                    <w:left w:w="28" w:type="dxa"/>
                    <w:bottom w:w="0" w:type="dxa"/>
                    <w:right w:w="28" w:type="dxa"/>
                  </w:tcMar>
                  <w:vAlign w:val="center"/>
                </w:tcPr>
                <w:p w14:paraId="53B8EB98">
                  <w:pPr>
                    <w:jc w:val="center"/>
                    <w:rPr>
                      <w:color w:val="auto"/>
                      <w:szCs w:val="21"/>
                    </w:rPr>
                  </w:pPr>
                  <w:r>
                    <w:rPr>
                      <w:color w:val="auto"/>
                      <w:szCs w:val="21"/>
                    </w:rPr>
                    <w:t>若干</w:t>
                  </w:r>
                </w:p>
              </w:tc>
              <w:tc>
                <w:tcPr>
                  <w:tcW w:w="1215" w:type="dxa"/>
                  <w:vAlign w:val="center"/>
                </w:tcPr>
                <w:p w14:paraId="4727FABA">
                  <w:pPr>
                    <w:widowControl/>
                    <w:jc w:val="center"/>
                    <w:rPr>
                      <w:color w:val="auto"/>
                      <w:szCs w:val="21"/>
                    </w:rPr>
                  </w:pPr>
                  <w:r>
                    <w:rPr>
                      <w:color w:val="auto"/>
                      <w:szCs w:val="21"/>
                    </w:rPr>
                    <w:t>0.2</w:t>
                  </w:r>
                </w:p>
              </w:tc>
            </w:tr>
            <w:tr w14:paraId="689E34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498" w:type="dxa"/>
                  <w:vAlign w:val="center"/>
                </w:tcPr>
                <w:p w14:paraId="51339A93">
                  <w:pPr>
                    <w:jc w:val="center"/>
                    <w:rPr>
                      <w:color w:val="auto"/>
                      <w:szCs w:val="21"/>
                    </w:rPr>
                  </w:pPr>
                  <w:r>
                    <w:rPr>
                      <w:color w:val="auto"/>
                      <w:szCs w:val="21"/>
                    </w:rPr>
                    <w:t>噪声</w:t>
                  </w:r>
                </w:p>
              </w:tc>
              <w:tc>
                <w:tcPr>
                  <w:tcW w:w="2301" w:type="dxa"/>
                  <w:vAlign w:val="center"/>
                </w:tcPr>
                <w:p w14:paraId="15DC7663">
                  <w:pPr>
                    <w:jc w:val="center"/>
                    <w:rPr>
                      <w:color w:val="auto"/>
                      <w:szCs w:val="21"/>
                    </w:rPr>
                  </w:pPr>
                  <w:r>
                    <w:rPr>
                      <w:color w:val="auto"/>
                      <w:szCs w:val="21"/>
                    </w:rPr>
                    <w:t>噪声</w:t>
                  </w:r>
                </w:p>
              </w:tc>
              <w:tc>
                <w:tcPr>
                  <w:tcW w:w="3380" w:type="dxa"/>
                  <w:vAlign w:val="center"/>
                </w:tcPr>
                <w:p w14:paraId="7BB7A8DF">
                  <w:pPr>
                    <w:jc w:val="center"/>
                    <w:rPr>
                      <w:color w:val="auto"/>
                      <w:szCs w:val="21"/>
                    </w:rPr>
                  </w:pPr>
                  <w:r>
                    <w:rPr>
                      <w:color w:val="auto"/>
                      <w:szCs w:val="21"/>
                    </w:rPr>
                    <w:t>基础减震，定期维护</w:t>
                  </w:r>
                </w:p>
              </w:tc>
              <w:tc>
                <w:tcPr>
                  <w:tcW w:w="1234" w:type="dxa"/>
                  <w:tcMar>
                    <w:top w:w="0" w:type="dxa"/>
                    <w:left w:w="28" w:type="dxa"/>
                    <w:bottom w:w="0" w:type="dxa"/>
                    <w:right w:w="28" w:type="dxa"/>
                  </w:tcMar>
                  <w:vAlign w:val="center"/>
                </w:tcPr>
                <w:p w14:paraId="5B96096B">
                  <w:pPr>
                    <w:jc w:val="center"/>
                    <w:rPr>
                      <w:color w:val="auto"/>
                      <w:szCs w:val="21"/>
                    </w:rPr>
                  </w:pPr>
                  <w:r>
                    <w:rPr>
                      <w:color w:val="auto"/>
                      <w:szCs w:val="21"/>
                    </w:rPr>
                    <w:t>/</w:t>
                  </w:r>
                </w:p>
              </w:tc>
              <w:tc>
                <w:tcPr>
                  <w:tcW w:w="1215" w:type="dxa"/>
                  <w:tcMar>
                    <w:top w:w="0" w:type="dxa"/>
                    <w:left w:w="28" w:type="dxa"/>
                    <w:bottom w:w="0" w:type="dxa"/>
                    <w:right w:w="28" w:type="dxa"/>
                  </w:tcMar>
                  <w:vAlign w:val="center"/>
                </w:tcPr>
                <w:p w14:paraId="7F922F64">
                  <w:pPr>
                    <w:jc w:val="center"/>
                    <w:rPr>
                      <w:color w:val="auto"/>
                      <w:szCs w:val="21"/>
                    </w:rPr>
                  </w:pPr>
                  <w:r>
                    <w:rPr>
                      <w:color w:val="auto"/>
                      <w:szCs w:val="21"/>
                    </w:rPr>
                    <w:t>0.5</w:t>
                  </w:r>
                </w:p>
              </w:tc>
            </w:tr>
            <w:tr w14:paraId="61FBB9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413" w:type="dxa"/>
                  <w:gridSpan w:val="4"/>
                  <w:tcMar>
                    <w:top w:w="0" w:type="dxa"/>
                    <w:left w:w="28" w:type="dxa"/>
                    <w:bottom w:w="0" w:type="dxa"/>
                    <w:right w:w="28" w:type="dxa"/>
                  </w:tcMar>
                  <w:vAlign w:val="center"/>
                </w:tcPr>
                <w:p w14:paraId="11924D66">
                  <w:pPr>
                    <w:jc w:val="center"/>
                    <w:rPr>
                      <w:color w:val="auto"/>
                      <w:szCs w:val="21"/>
                    </w:rPr>
                  </w:pPr>
                  <w:r>
                    <w:rPr>
                      <w:color w:val="auto"/>
                      <w:szCs w:val="21"/>
                    </w:rPr>
                    <w:t>合计</w:t>
                  </w:r>
                </w:p>
              </w:tc>
              <w:tc>
                <w:tcPr>
                  <w:tcW w:w="1215" w:type="dxa"/>
                  <w:tcMar>
                    <w:top w:w="0" w:type="dxa"/>
                    <w:left w:w="28" w:type="dxa"/>
                    <w:bottom w:w="0" w:type="dxa"/>
                    <w:right w:w="28" w:type="dxa"/>
                  </w:tcMar>
                  <w:vAlign w:val="center"/>
                </w:tcPr>
                <w:p w14:paraId="25B201FD">
                  <w:pPr>
                    <w:jc w:val="center"/>
                    <w:rPr>
                      <w:color w:val="auto"/>
                      <w:szCs w:val="21"/>
                    </w:rPr>
                  </w:pPr>
                  <w:r>
                    <w:rPr>
                      <w:rFonts w:hint="eastAsia"/>
                      <w:b/>
                      <w:bCs/>
                      <w:color w:val="auto"/>
                      <w:szCs w:val="21"/>
                      <w:u w:val="single"/>
                      <w:lang w:val="en-US" w:eastAsia="zh-CN"/>
                    </w:rPr>
                    <w:t>5</w:t>
                  </w:r>
                  <w:r>
                    <w:rPr>
                      <w:rFonts w:hint="eastAsia"/>
                      <w:b/>
                      <w:bCs/>
                      <w:color w:val="auto"/>
                      <w:szCs w:val="21"/>
                      <w:u w:val="single"/>
                    </w:rPr>
                    <w:t>8.2</w:t>
                  </w:r>
                </w:p>
              </w:tc>
            </w:tr>
          </w:tbl>
          <w:p w14:paraId="3EA73E0F">
            <w:pPr>
              <w:pStyle w:val="46"/>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eastAsia" w:ascii="Times New Roman" w:hAnsi="Arial Unicode MS" w:eastAsia="宋体" w:cs="Times New Roman"/>
                <w:b/>
                <w:color w:val="auto"/>
                <w:kern w:val="2"/>
                <w:sz w:val="24"/>
                <w:szCs w:val="24"/>
                <w:lang w:val="en-US" w:eastAsia="zh-CN" w:bidi="ar-SA"/>
              </w:rPr>
            </w:pPr>
            <w:r>
              <w:rPr>
                <w:rFonts w:hint="eastAsia" w:ascii="Times New Roman" w:hAnsi="Arial Unicode MS" w:eastAsia="宋体" w:cs="Times New Roman"/>
                <w:b/>
                <w:color w:val="auto"/>
                <w:kern w:val="2"/>
                <w:sz w:val="24"/>
                <w:szCs w:val="24"/>
                <w:lang w:val="en-US" w:eastAsia="zh-CN" w:bidi="ar-SA"/>
              </w:rPr>
              <w:t>项目污染防治措施及“三同时”验收内容汇总一览表</w:t>
            </w:r>
          </w:p>
          <w:tbl>
            <w:tblPr>
              <w:tblStyle w:val="25"/>
              <w:tblW w:w="8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5"/>
              <w:gridCol w:w="1398"/>
              <w:gridCol w:w="2151"/>
              <w:gridCol w:w="3192"/>
              <w:gridCol w:w="1452"/>
            </w:tblGrid>
            <w:tr w14:paraId="10CA9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3" w:type="dxa"/>
                  <w:gridSpan w:val="2"/>
                  <w:tcMar>
                    <w:left w:w="28" w:type="dxa"/>
                    <w:right w:w="28" w:type="dxa"/>
                  </w:tcMar>
                  <w:vAlign w:val="center"/>
                </w:tcPr>
                <w:p w14:paraId="06D4AE40">
                  <w:pPr>
                    <w:jc w:val="center"/>
                    <w:rPr>
                      <w:b/>
                      <w:bCs w:val="0"/>
                      <w:color w:val="auto"/>
                      <w:szCs w:val="21"/>
                    </w:rPr>
                  </w:pPr>
                  <w:r>
                    <w:rPr>
                      <w:b/>
                      <w:bCs w:val="0"/>
                      <w:color w:val="auto"/>
                      <w:szCs w:val="21"/>
                    </w:rPr>
                    <w:t>验收项目</w:t>
                  </w:r>
                </w:p>
              </w:tc>
              <w:tc>
                <w:tcPr>
                  <w:tcW w:w="2151" w:type="dxa"/>
                  <w:tcMar>
                    <w:left w:w="28" w:type="dxa"/>
                    <w:right w:w="28" w:type="dxa"/>
                  </w:tcMar>
                  <w:vAlign w:val="center"/>
                </w:tcPr>
                <w:p w14:paraId="5CE2AF7B">
                  <w:pPr>
                    <w:jc w:val="center"/>
                    <w:rPr>
                      <w:b/>
                      <w:bCs w:val="0"/>
                      <w:color w:val="auto"/>
                      <w:szCs w:val="21"/>
                    </w:rPr>
                  </w:pPr>
                  <w:r>
                    <w:rPr>
                      <w:b/>
                      <w:bCs w:val="0"/>
                      <w:color w:val="auto"/>
                      <w:szCs w:val="21"/>
                    </w:rPr>
                    <w:t>治理措施</w:t>
                  </w:r>
                </w:p>
              </w:tc>
              <w:tc>
                <w:tcPr>
                  <w:tcW w:w="3192" w:type="dxa"/>
                  <w:tcMar>
                    <w:left w:w="28" w:type="dxa"/>
                    <w:right w:w="28" w:type="dxa"/>
                  </w:tcMar>
                  <w:vAlign w:val="center"/>
                </w:tcPr>
                <w:p w14:paraId="60AA8701">
                  <w:pPr>
                    <w:jc w:val="center"/>
                    <w:rPr>
                      <w:b/>
                      <w:bCs w:val="0"/>
                      <w:color w:val="auto"/>
                      <w:szCs w:val="21"/>
                    </w:rPr>
                  </w:pPr>
                  <w:r>
                    <w:rPr>
                      <w:b/>
                      <w:bCs w:val="0"/>
                      <w:color w:val="auto"/>
                      <w:szCs w:val="21"/>
                    </w:rPr>
                    <w:t>验收标准</w:t>
                  </w:r>
                </w:p>
              </w:tc>
              <w:tc>
                <w:tcPr>
                  <w:tcW w:w="1452" w:type="dxa"/>
                  <w:tcMar>
                    <w:left w:w="28" w:type="dxa"/>
                    <w:right w:w="28" w:type="dxa"/>
                  </w:tcMar>
                  <w:vAlign w:val="center"/>
                </w:tcPr>
                <w:p w14:paraId="607A4D1F">
                  <w:pPr>
                    <w:jc w:val="center"/>
                    <w:rPr>
                      <w:b/>
                      <w:bCs w:val="0"/>
                      <w:color w:val="auto"/>
                      <w:szCs w:val="21"/>
                    </w:rPr>
                  </w:pPr>
                  <w:r>
                    <w:rPr>
                      <w:b/>
                      <w:bCs w:val="0"/>
                      <w:color w:val="auto"/>
                      <w:szCs w:val="21"/>
                    </w:rPr>
                    <w:t>验收内容</w:t>
                  </w:r>
                </w:p>
              </w:tc>
            </w:tr>
            <w:tr w14:paraId="1909A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5" w:type="dxa"/>
                  <w:vMerge w:val="restart"/>
                  <w:tcMar>
                    <w:left w:w="28" w:type="dxa"/>
                    <w:right w:w="28" w:type="dxa"/>
                  </w:tcMar>
                  <w:vAlign w:val="center"/>
                </w:tcPr>
                <w:p w14:paraId="3F63D8FA">
                  <w:pPr>
                    <w:jc w:val="center"/>
                    <w:rPr>
                      <w:bCs/>
                      <w:color w:val="auto"/>
                      <w:szCs w:val="21"/>
                    </w:rPr>
                  </w:pPr>
                  <w:r>
                    <w:rPr>
                      <w:bCs/>
                      <w:color w:val="auto"/>
                      <w:szCs w:val="21"/>
                    </w:rPr>
                    <w:t>废气</w:t>
                  </w:r>
                </w:p>
              </w:tc>
              <w:tc>
                <w:tcPr>
                  <w:tcW w:w="1398" w:type="dxa"/>
                  <w:tcMar>
                    <w:left w:w="28" w:type="dxa"/>
                    <w:right w:w="28" w:type="dxa"/>
                  </w:tcMar>
                  <w:vAlign w:val="center"/>
                </w:tcPr>
                <w:p w14:paraId="024FA4C3">
                  <w:pPr>
                    <w:jc w:val="center"/>
                    <w:rPr>
                      <w:bCs/>
                      <w:color w:val="auto"/>
                      <w:szCs w:val="21"/>
                    </w:rPr>
                  </w:pPr>
                  <w:r>
                    <w:rPr>
                      <w:rFonts w:hint="eastAsia"/>
                      <w:color w:val="auto"/>
                      <w:szCs w:val="21"/>
                    </w:rPr>
                    <w:t>一车间木</w:t>
                  </w:r>
                  <w:r>
                    <w:rPr>
                      <w:rFonts w:hint="eastAsia"/>
                      <w:color w:val="auto"/>
                      <w:szCs w:val="21"/>
                      <w:lang w:val="en-US" w:eastAsia="zh-CN"/>
                    </w:rPr>
                    <w:t>加</w:t>
                  </w:r>
                  <w:r>
                    <w:rPr>
                      <w:rFonts w:hint="eastAsia"/>
                      <w:color w:val="auto"/>
                      <w:szCs w:val="21"/>
                    </w:rPr>
                    <w:t>工、砂光、打磨粉尘</w:t>
                  </w:r>
                </w:p>
              </w:tc>
              <w:tc>
                <w:tcPr>
                  <w:tcW w:w="2151" w:type="dxa"/>
                  <w:tcMar>
                    <w:left w:w="28" w:type="dxa"/>
                    <w:right w:w="28" w:type="dxa"/>
                  </w:tcMar>
                  <w:vAlign w:val="center"/>
                </w:tcPr>
                <w:p w14:paraId="4D12DB80">
                  <w:pPr>
                    <w:jc w:val="center"/>
                    <w:rPr>
                      <w:bCs/>
                      <w:color w:val="auto"/>
                      <w:szCs w:val="21"/>
                    </w:rPr>
                  </w:pPr>
                  <w:r>
                    <w:rPr>
                      <w:rFonts w:hint="eastAsia"/>
                      <w:color w:val="auto"/>
                      <w:szCs w:val="21"/>
                    </w:rPr>
                    <w:t>集气管道</w:t>
                  </w:r>
                  <w:r>
                    <w:rPr>
                      <w:color w:val="auto"/>
                      <w:szCs w:val="21"/>
                    </w:rPr>
                    <w:t>+</w:t>
                  </w:r>
                  <w:r>
                    <w:rPr>
                      <w:rFonts w:hint="eastAsia"/>
                      <w:color w:val="auto"/>
                      <w:szCs w:val="21"/>
                      <w:lang w:val="en-US" w:eastAsia="zh-CN"/>
                    </w:rPr>
                    <w:t>中央除尘器</w:t>
                  </w:r>
                  <w:r>
                    <w:rPr>
                      <w:color w:val="auto"/>
                      <w:szCs w:val="21"/>
                    </w:rPr>
                    <w:t>+15m排气筒</w:t>
                  </w:r>
                </w:p>
              </w:tc>
              <w:tc>
                <w:tcPr>
                  <w:tcW w:w="3192" w:type="dxa"/>
                  <w:vMerge w:val="restart"/>
                  <w:tcMar>
                    <w:left w:w="28" w:type="dxa"/>
                    <w:right w:w="28" w:type="dxa"/>
                  </w:tcMar>
                  <w:vAlign w:val="center"/>
                </w:tcPr>
                <w:p w14:paraId="7E434626">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bCs/>
                      <w:color w:val="auto"/>
                      <w:szCs w:val="21"/>
                      <w:lang w:eastAsia="zh-CN"/>
                    </w:rPr>
                  </w:pPr>
                  <w:r>
                    <w:rPr>
                      <w:color w:val="auto"/>
                      <w:sz w:val="21"/>
                      <w:szCs w:val="21"/>
                    </w:rPr>
                    <w:t>《大气污染物综合排放标准》（GB16297-1996）</w:t>
                  </w:r>
                  <w:r>
                    <w:rPr>
                      <w:rFonts w:hint="eastAsia"/>
                      <w:color w:val="auto"/>
                      <w:szCs w:val="21"/>
                      <w:lang w:eastAsia="zh-CN"/>
                    </w:rPr>
                    <w:t>（</w:t>
                  </w:r>
                  <w:r>
                    <w:rPr>
                      <w:rFonts w:hint="eastAsia"/>
                      <w:color w:val="auto"/>
                      <w:szCs w:val="21"/>
                      <w:lang w:val="en-US" w:eastAsia="zh-CN"/>
                    </w:rPr>
                    <w:t>颗粒物：</w:t>
                  </w:r>
                  <w:r>
                    <w:rPr>
                      <w:color w:val="auto"/>
                      <w:szCs w:val="21"/>
                    </w:rPr>
                    <w:t>浓度</w:t>
                  </w:r>
                  <w:r>
                    <w:rPr>
                      <w:rFonts w:hint="eastAsia"/>
                      <w:color w:val="auto"/>
                      <w:szCs w:val="21"/>
                    </w:rPr>
                    <w:t>限值</w:t>
                  </w:r>
                  <w:r>
                    <w:rPr>
                      <w:color w:val="auto"/>
                      <w:szCs w:val="21"/>
                    </w:rPr>
                    <w:t>120mg/m</w:t>
                  </w:r>
                  <w:r>
                    <w:rPr>
                      <w:color w:val="auto"/>
                      <w:szCs w:val="21"/>
                      <w:vertAlign w:val="superscript"/>
                    </w:rPr>
                    <w:t>3</w:t>
                  </w:r>
                  <w:r>
                    <w:rPr>
                      <w:color w:val="auto"/>
                      <w:szCs w:val="21"/>
                    </w:rPr>
                    <w:t>，15m排气筒</w:t>
                  </w:r>
                  <w:r>
                    <w:rPr>
                      <w:rFonts w:hint="eastAsia"/>
                      <w:color w:val="auto"/>
                      <w:szCs w:val="21"/>
                    </w:rPr>
                    <w:t>排放</w:t>
                  </w:r>
                  <w:r>
                    <w:rPr>
                      <w:color w:val="auto"/>
                      <w:szCs w:val="21"/>
                    </w:rPr>
                    <w:t>速率</w:t>
                  </w:r>
                  <w:r>
                    <w:rPr>
                      <w:rFonts w:hint="eastAsia"/>
                      <w:color w:val="auto"/>
                      <w:szCs w:val="21"/>
                    </w:rPr>
                    <w:t>限值</w:t>
                  </w:r>
                  <w:r>
                    <w:rPr>
                      <w:color w:val="auto"/>
                      <w:szCs w:val="21"/>
                    </w:rPr>
                    <w:t>3.5kg/h</w:t>
                  </w:r>
                  <w:r>
                    <w:rPr>
                      <w:rFonts w:hint="eastAsia"/>
                      <w:color w:val="auto"/>
                      <w:szCs w:val="21"/>
                    </w:rPr>
                    <w:t>；</w:t>
                  </w:r>
                  <w:r>
                    <w:rPr>
                      <w:rFonts w:hint="eastAsia"/>
                      <w:color w:val="auto"/>
                      <w:szCs w:val="21"/>
                      <w:vertAlign w:val="baseline"/>
                      <w:lang w:val="en-US" w:eastAsia="zh-CN"/>
                    </w:rPr>
                    <w:t>非甲烷总烃：</w:t>
                  </w:r>
                  <w:r>
                    <w:rPr>
                      <w:color w:val="auto"/>
                      <w:szCs w:val="21"/>
                    </w:rPr>
                    <w:t>浓度</w:t>
                  </w:r>
                  <w:r>
                    <w:rPr>
                      <w:rFonts w:hint="eastAsia"/>
                      <w:color w:val="auto"/>
                      <w:szCs w:val="21"/>
                    </w:rPr>
                    <w:t>限值</w:t>
                  </w:r>
                  <w:r>
                    <w:rPr>
                      <w:color w:val="auto"/>
                      <w:szCs w:val="21"/>
                    </w:rPr>
                    <w:t>120mg/m</w:t>
                  </w:r>
                  <w:r>
                    <w:rPr>
                      <w:color w:val="auto"/>
                      <w:szCs w:val="21"/>
                      <w:vertAlign w:val="superscript"/>
                    </w:rPr>
                    <w:t>3</w:t>
                  </w:r>
                  <w:r>
                    <w:rPr>
                      <w:color w:val="auto"/>
                      <w:szCs w:val="21"/>
                    </w:rPr>
                    <w:t>，15m排气筒</w:t>
                  </w:r>
                  <w:r>
                    <w:rPr>
                      <w:rFonts w:hint="eastAsia"/>
                      <w:color w:val="auto"/>
                      <w:szCs w:val="21"/>
                    </w:rPr>
                    <w:t>排放</w:t>
                  </w:r>
                  <w:r>
                    <w:rPr>
                      <w:color w:val="auto"/>
                      <w:szCs w:val="21"/>
                    </w:rPr>
                    <w:t>速率</w:t>
                  </w:r>
                  <w:r>
                    <w:rPr>
                      <w:rFonts w:hint="eastAsia"/>
                      <w:color w:val="auto"/>
                      <w:szCs w:val="21"/>
                    </w:rPr>
                    <w:t>限值10</w:t>
                  </w:r>
                  <w:r>
                    <w:rPr>
                      <w:color w:val="auto"/>
                      <w:szCs w:val="21"/>
                    </w:rPr>
                    <w:t>kg/h</w:t>
                  </w:r>
                  <w:r>
                    <w:rPr>
                      <w:rFonts w:hint="eastAsia"/>
                      <w:color w:val="auto"/>
                      <w:szCs w:val="21"/>
                    </w:rPr>
                    <w:t>；</w:t>
                  </w:r>
                  <w:r>
                    <w:rPr>
                      <w:color w:val="auto"/>
                      <w:szCs w:val="21"/>
                    </w:rPr>
                    <w:t>无组织排放限值：</w:t>
                  </w:r>
                  <w:r>
                    <w:rPr>
                      <w:rFonts w:hint="eastAsia"/>
                      <w:color w:val="auto"/>
                      <w:szCs w:val="21"/>
                    </w:rPr>
                    <w:t>4</w:t>
                  </w:r>
                  <w:r>
                    <w:rPr>
                      <w:color w:val="auto"/>
                      <w:szCs w:val="21"/>
                    </w:rPr>
                    <w:t>.0mg/m</w:t>
                  </w:r>
                  <w:r>
                    <w:rPr>
                      <w:color w:val="auto"/>
                      <w:szCs w:val="21"/>
                      <w:vertAlign w:val="superscript"/>
                    </w:rPr>
                    <w:t>3</w:t>
                  </w:r>
                  <w:r>
                    <w:rPr>
                      <w:rFonts w:hint="eastAsia"/>
                      <w:color w:val="auto"/>
                      <w:szCs w:val="21"/>
                      <w:lang w:eastAsia="zh-CN"/>
                    </w:rPr>
                    <w:t>）</w:t>
                  </w:r>
                  <w:r>
                    <w:rPr>
                      <w:rFonts w:hint="eastAsia"/>
                      <w:color w:val="auto"/>
                      <w:sz w:val="21"/>
                      <w:lang w:eastAsia="zh-CN"/>
                    </w:rPr>
                    <w:t>及《重污染天气重点行业应急减排措施制定技术指南（2020年修订版）》中家具制造行业A级企业要 求（有组织≤10mg/m</w:t>
                  </w:r>
                  <w:r>
                    <w:rPr>
                      <w:rFonts w:hint="eastAsia"/>
                      <w:color w:val="auto"/>
                      <w:sz w:val="21"/>
                      <w:vertAlign w:val="superscript"/>
                      <w:lang w:eastAsia="zh-CN"/>
                    </w:rPr>
                    <w:t>3</w:t>
                  </w:r>
                  <w:r>
                    <w:rPr>
                      <w:rFonts w:hint="eastAsia"/>
                      <w:color w:val="auto"/>
                      <w:sz w:val="21"/>
                      <w:lang w:eastAsia="zh-CN"/>
                    </w:rPr>
                    <w:t>）</w:t>
                  </w:r>
                </w:p>
              </w:tc>
              <w:tc>
                <w:tcPr>
                  <w:tcW w:w="1452" w:type="dxa"/>
                  <w:vMerge w:val="restart"/>
                  <w:tcMar>
                    <w:left w:w="28" w:type="dxa"/>
                    <w:right w:w="28" w:type="dxa"/>
                  </w:tcMar>
                  <w:vAlign w:val="center"/>
                </w:tcPr>
                <w:p w14:paraId="7C6358C3">
                  <w:pPr>
                    <w:jc w:val="center"/>
                    <w:rPr>
                      <w:bCs/>
                      <w:color w:val="auto"/>
                      <w:szCs w:val="21"/>
                    </w:rPr>
                  </w:pPr>
                  <w:r>
                    <w:rPr>
                      <w:rFonts w:hint="eastAsia"/>
                      <w:bCs/>
                      <w:color w:val="auto"/>
                      <w:szCs w:val="21"/>
                    </w:rPr>
                    <w:t>污染物</w:t>
                  </w:r>
                  <w:r>
                    <w:rPr>
                      <w:bCs/>
                      <w:color w:val="auto"/>
                      <w:szCs w:val="21"/>
                    </w:rPr>
                    <w:t>排</w:t>
                  </w:r>
                  <w:r>
                    <w:rPr>
                      <w:rFonts w:hint="eastAsia"/>
                      <w:bCs/>
                      <w:color w:val="auto"/>
                      <w:szCs w:val="21"/>
                    </w:rPr>
                    <w:t>放</w:t>
                  </w:r>
                  <w:r>
                    <w:rPr>
                      <w:bCs/>
                      <w:color w:val="auto"/>
                      <w:szCs w:val="21"/>
                    </w:rPr>
                    <w:t>口浓度、排放速率</w:t>
                  </w:r>
                </w:p>
              </w:tc>
            </w:tr>
            <w:tr w14:paraId="307C3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jc w:val="center"/>
              </w:trPr>
              <w:tc>
                <w:tcPr>
                  <w:tcW w:w="435" w:type="dxa"/>
                  <w:vMerge w:val="continue"/>
                  <w:tcMar>
                    <w:left w:w="28" w:type="dxa"/>
                    <w:right w:w="28" w:type="dxa"/>
                  </w:tcMar>
                  <w:vAlign w:val="center"/>
                </w:tcPr>
                <w:p w14:paraId="5F118537">
                  <w:pPr>
                    <w:jc w:val="center"/>
                    <w:rPr>
                      <w:bCs/>
                      <w:color w:val="auto"/>
                      <w:szCs w:val="21"/>
                    </w:rPr>
                  </w:pPr>
                </w:p>
              </w:tc>
              <w:tc>
                <w:tcPr>
                  <w:tcW w:w="1398" w:type="dxa"/>
                  <w:tcBorders>
                    <w:top w:val="single" w:color="000000" w:sz="4" w:space="0"/>
                  </w:tcBorders>
                  <w:tcMar>
                    <w:left w:w="28" w:type="dxa"/>
                    <w:right w:w="28" w:type="dxa"/>
                  </w:tcMar>
                  <w:vAlign w:val="center"/>
                </w:tcPr>
                <w:p w14:paraId="14F96119">
                  <w:pPr>
                    <w:jc w:val="center"/>
                    <w:rPr>
                      <w:rFonts w:hint="eastAsia"/>
                      <w:bCs/>
                      <w:color w:val="auto"/>
                      <w:szCs w:val="21"/>
                    </w:rPr>
                  </w:pPr>
                  <w:r>
                    <w:rPr>
                      <w:rFonts w:hint="eastAsia"/>
                      <w:color w:val="auto"/>
                      <w:szCs w:val="21"/>
                    </w:rPr>
                    <w:t>二车间砂光粉尘</w:t>
                  </w:r>
                </w:p>
              </w:tc>
              <w:tc>
                <w:tcPr>
                  <w:tcW w:w="2151" w:type="dxa"/>
                  <w:tcBorders>
                    <w:top w:val="single" w:color="000000" w:sz="4" w:space="0"/>
                  </w:tcBorders>
                  <w:tcMar>
                    <w:left w:w="28" w:type="dxa"/>
                    <w:right w:w="28" w:type="dxa"/>
                  </w:tcMar>
                  <w:vAlign w:val="center"/>
                </w:tcPr>
                <w:p w14:paraId="76304253">
                  <w:pPr>
                    <w:jc w:val="center"/>
                    <w:rPr>
                      <w:bCs/>
                      <w:color w:val="auto"/>
                      <w:szCs w:val="21"/>
                    </w:rPr>
                  </w:pPr>
                  <w:r>
                    <w:rPr>
                      <w:rFonts w:hint="eastAsia"/>
                      <w:color w:val="auto"/>
                      <w:szCs w:val="21"/>
                    </w:rPr>
                    <w:t>集气管道</w:t>
                  </w:r>
                  <w:r>
                    <w:rPr>
                      <w:color w:val="auto"/>
                      <w:szCs w:val="21"/>
                    </w:rPr>
                    <w:t>+</w:t>
                  </w:r>
                  <w:r>
                    <w:rPr>
                      <w:rFonts w:hint="eastAsia"/>
                      <w:color w:val="auto"/>
                      <w:szCs w:val="21"/>
                      <w:lang w:val="en-US" w:eastAsia="zh-CN"/>
                    </w:rPr>
                    <w:t>中央除尘器</w:t>
                  </w:r>
                  <w:r>
                    <w:rPr>
                      <w:color w:val="auto"/>
                      <w:szCs w:val="21"/>
                    </w:rPr>
                    <w:t>+15m排气筒</w:t>
                  </w:r>
                </w:p>
              </w:tc>
              <w:tc>
                <w:tcPr>
                  <w:tcW w:w="3192" w:type="dxa"/>
                  <w:vMerge w:val="continue"/>
                  <w:tcMar>
                    <w:left w:w="28" w:type="dxa"/>
                    <w:right w:w="28" w:type="dxa"/>
                  </w:tcMar>
                  <w:vAlign w:val="center"/>
                </w:tcPr>
                <w:p w14:paraId="2D619399">
                  <w:pPr>
                    <w:jc w:val="center"/>
                    <w:rPr>
                      <w:bCs/>
                      <w:color w:val="auto"/>
                      <w:szCs w:val="21"/>
                    </w:rPr>
                  </w:pPr>
                </w:p>
              </w:tc>
              <w:tc>
                <w:tcPr>
                  <w:tcW w:w="1452" w:type="dxa"/>
                  <w:vMerge w:val="continue"/>
                  <w:tcMar>
                    <w:left w:w="28" w:type="dxa"/>
                    <w:right w:w="28" w:type="dxa"/>
                  </w:tcMar>
                  <w:vAlign w:val="center"/>
                </w:tcPr>
                <w:p w14:paraId="1B55A2CD">
                  <w:pPr>
                    <w:jc w:val="center"/>
                    <w:rPr>
                      <w:bCs/>
                      <w:color w:val="auto"/>
                      <w:szCs w:val="21"/>
                    </w:rPr>
                  </w:pPr>
                </w:p>
              </w:tc>
            </w:tr>
            <w:tr w14:paraId="4BD83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jc w:val="center"/>
              </w:trPr>
              <w:tc>
                <w:tcPr>
                  <w:tcW w:w="435" w:type="dxa"/>
                  <w:vMerge w:val="continue"/>
                  <w:tcMar>
                    <w:left w:w="28" w:type="dxa"/>
                    <w:right w:w="28" w:type="dxa"/>
                  </w:tcMar>
                  <w:vAlign w:val="center"/>
                </w:tcPr>
                <w:p w14:paraId="6B4C3227">
                  <w:pPr>
                    <w:jc w:val="center"/>
                    <w:rPr>
                      <w:bCs/>
                      <w:color w:val="auto"/>
                      <w:szCs w:val="21"/>
                    </w:rPr>
                  </w:pPr>
                </w:p>
              </w:tc>
              <w:tc>
                <w:tcPr>
                  <w:tcW w:w="1398" w:type="dxa"/>
                  <w:tcBorders>
                    <w:top w:val="single" w:color="000000" w:sz="4" w:space="0"/>
                  </w:tcBorders>
                  <w:tcMar>
                    <w:left w:w="28" w:type="dxa"/>
                    <w:right w:w="28" w:type="dxa"/>
                  </w:tcMar>
                  <w:vAlign w:val="center"/>
                </w:tcPr>
                <w:p w14:paraId="2029A631">
                  <w:pPr>
                    <w:jc w:val="center"/>
                    <w:rPr>
                      <w:rFonts w:hint="eastAsia"/>
                      <w:bCs/>
                      <w:color w:val="auto"/>
                      <w:szCs w:val="21"/>
                    </w:rPr>
                  </w:pPr>
                  <w:r>
                    <w:rPr>
                      <w:rFonts w:hint="eastAsia"/>
                      <w:color w:val="auto"/>
                      <w:szCs w:val="21"/>
                    </w:rPr>
                    <w:t>三车间</w:t>
                  </w:r>
                  <w:r>
                    <w:rPr>
                      <w:rFonts w:hint="eastAsia"/>
                      <w:color w:val="auto"/>
                      <w:szCs w:val="21"/>
                      <w:lang w:val="en-US" w:eastAsia="zh-CN"/>
                    </w:rPr>
                    <w:t>木加工、</w:t>
                  </w:r>
                  <w:r>
                    <w:rPr>
                      <w:rFonts w:hint="eastAsia"/>
                      <w:color w:val="auto"/>
                      <w:szCs w:val="21"/>
                    </w:rPr>
                    <w:t>砂光粉尘</w:t>
                  </w:r>
                </w:p>
              </w:tc>
              <w:tc>
                <w:tcPr>
                  <w:tcW w:w="2151" w:type="dxa"/>
                  <w:tcBorders>
                    <w:top w:val="single" w:color="000000" w:sz="4" w:space="0"/>
                  </w:tcBorders>
                  <w:tcMar>
                    <w:left w:w="28" w:type="dxa"/>
                    <w:right w:w="28" w:type="dxa"/>
                  </w:tcMar>
                  <w:vAlign w:val="center"/>
                </w:tcPr>
                <w:p w14:paraId="585C9689">
                  <w:pPr>
                    <w:jc w:val="center"/>
                    <w:rPr>
                      <w:rFonts w:hint="eastAsia" w:ascii="宋体" w:hAnsi="宋体"/>
                      <w:bCs/>
                      <w:color w:val="auto"/>
                      <w:szCs w:val="21"/>
                    </w:rPr>
                  </w:pPr>
                  <w:r>
                    <w:rPr>
                      <w:rFonts w:hint="eastAsia"/>
                      <w:color w:val="auto"/>
                      <w:szCs w:val="21"/>
                    </w:rPr>
                    <w:t>集气管道</w:t>
                  </w:r>
                  <w:r>
                    <w:rPr>
                      <w:color w:val="auto"/>
                      <w:szCs w:val="21"/>
                    </w:rPr>
                    <w:t>+</w:t>
                  </w:r>
                  <w:r>
                    <w:rPr>
                      <w:rFonts w:hint="eastAsia"/>
                      <w:color w:val="auto"/>
                      <w:szCs w:val="21"/>
                      <w:lang w:val="en-US" w:eastAsia="zh-CN"/>
                    </w:rPr>
                    <w:t>中央除尘器</w:t>
                  </w:r>
                  <w:r>
                    <w:rPr>
                      <w:color w:val="auto"/>
                      <w:szCs w:val="21"/>
                    </w:rPr>
                    <w:t>+15m排气筒</w:t>
                  </w:r>
                </w:p>
              </w:tc>
              <w:tc>
                <w:tcPr>
                  <w:tcW w:w="3192" w:type="dxa"/>
                  <w:vMerge w:val="continue"/>
                  <w:tcMar>
                    <w:left w:w="28" w:type="dxa"/>
                    <w:right w:w="28" w:type="dxa"/>
                  </w:tcMar>
                  <w:vAlign w:val="center"/>
                </w:tcPr>
                <w:p w14:paraId="59AF76A0">
                  <w:pPr>
                    <w:jc w:val="center"/>
                    <w:rPr>
                      <w:bCs/>
                      <w:color w:val="auto"/>
                      <w:szCs w:val="21"/>
                    </w:rPr>
                  </w:pPr>
                </w:p>
              </w:tc>
              <w:tc>
                <w:tcPr>
                  <w:tcW w:w="1452" w:type="dxa"/>
                  <w:vMerge w:val="continue"/>
                  <w:tcMar>
                    <w:left w:w="28" w:type="dxa"/>
                    <w:right w:w="28" w:type="dxa"/>
                  </w:tcMar>
                  <w:vAlign w:val="center"/>
                </w:tcPr>
                <w:p w14:paraId="711D6436">
                  <w:pPr>
                    <w:jc w:val="center"/>
                    <w:rPr>
                      <w:bCs/>
                      <w:color w:val="auto"/>
                      <w:szCs w:val="21"/>
                    </w:rPr>
                  </w:pPr>
                </w:p>
              </w:tc>
            </w:tr>
            <w:tr w14:paraId="2368E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jc w:val="center"/>
              </w:trPr>
              <w:tc>
                <w:tcPr>
                  <w:tcW w:w="435" w:type="dxa"/>
                  <w:vMerge w:val="continue"/>
                  <w:tcMar>
                    <w:left w:w="28" w:type="dxa"/>
                    <w:right w:w="28" w:type="dxa"/>
                  </w:tcMar>
                  <w:vAlign w:val="center"/>
                </w:tcPr>
                <w:p w14:paraId="0E452A32">
                  <w:pPr>
                    <w:jc w:val="center"/>
                    <w:rPr>
                      <w:bCs/>
                      <w:color w:val="auto"/>
                      <w:szCs w:val="21"/>
                    </w:rPr>
                  </w:pPr>
                </w:p>
              </w:tc>
              <w:tc>
                <w:tcPr>
                  <w:tcW w:w="1398" w:type="dxa"/>
                  <w:tcBorders>
                    <w:top w:val="single" w:color="000000" w:sz="4" w:space="0"/>
                  </w:tcBorders>
                  <w:tcMar>
                    <w:left w:w="28" w:type="dxa"/>
                    <w:right w:w="28" w:type="dxa"/>
                  </w:tcMar>
                  <w:vAlign w:val="center"/>
                </w:tcPr>
                <w:p w14:paraId="3AAF32F9">
                  <w:pPr>
                    <w:jc w:val="center"/>
                    <w:rPr>
                      <w:rFonts w:hint="eastAsia" w:eastAsia="宋体"/>
                      <w:bCs/>
                      <w:color w:val="auto"/>
                      <w:szCs w:val="21"/>
                      <w:lang w:eastAsia="zh-CN"/>
                    </w:rPr>
                  </w:pPr>
                  <w:r>
                    <w:rPr>
                      <w:rFonts w:hint="eastAsia"/>
                      <w:b/>
                      <w:bCs/>
                      <w:color w:val="auto"/>
                      <w:szCs w:val="21"/>
                      <w:u w:val="single"/>
                    </w:rPr>
                    <w:t>拼版冷压、贴皮热压、封边、调漆、喷漆、UV油漆辊涂、晾干、修色</w:t>
                  </w:r>
                  <w:r>
                    <w:rPr>
                      <w:rFonts w:hint="eastAsia"/>
                      <w:b/>
                      <w:bCs/>
                      <w:color w:val="auto"/>
                      <w:szCs w:val="21"/>
                      <w:u w:val="single"/>
                      <w:lang w:eastAsia="zh-CN"/>
                    </w:rPr>
                    <w:t>、危废暂存</w:t>
                  </w:r>
                  <w:r>
                    <w:rPr>
                      <w:rFonts w:hint="eastAsia"/>
                      <w:b/>
                      <w:bCs/>
                      <w:color w:val="auto"/>
                      <w:szCs w:val="21"/>
                      <w:u w:val="single"/>
                    </w:rPr>
                    <w:t>废气</w:t>
                  </w:r>
                </w:p>
              </w:tc>
              <w:tc>
                <w:tcPr>
                  <w:tcW w:w="2151" w:type="dxa"/>
                  <w:tcBorders>
                    <w:top w:val="single" w:color="000000" w:sz="4" w:space="0"/>
                  </w:tcBorders>
                  <w:tcMar>
                    <w:left w:w="28" w:type="dxa"/>
                    <w:right w:w="28" w:type="dxa"/>
                  </w:tcMar>
                  <w:vAlign w:val="center"/>
                </w:tcPr>
                <w:p w14:paraId="494AAF31">
                  <w:pPr>
                    <w:jc w:val="center"/>
                    <w:rPr>
                      <w:rFonts w:hint="eastAsia" w:ascii="宋体" w:hAnsi="宋体"/>
                      <w:bCs/>
                      <w:color w:val="auto"/>
                      <w:szCs w:val="21"/>
                    </w:rPr>
                  </w:pPr>
                  <w:r>
                    <w:rPr>
                      <w:rFonts w:hint="eastAsia"/>
                      <w:color w:val="auto"/>
                      <w:szCs w:val="21"/>
                    </w:rPr>
                    <w:t>密闭喷漆房（过滤棉）、集气罩</w:t>
                  </w:r>
                  <w:r>
                    <w:rPr>
                      <w:color w:val="auto"/>
                      <w:szCs w:val="21"/>
                    </w:rPr>
                    <w:t>+</w:t>
                  </w:r>
                  <w:r>
                    <w:rPr>
                      <w:rFonts w:hint="eastAsia"/>
                      <w:color w:val="auto"/>
                      <w:szCs w:val="21"/>
                    </w:rPr>
                    <w:t>“活性炭吸附</w:t>
                  </w:r>
                  <w:r>
                    <w:rPr>
                      <w:rFonts w:hint="eastAsia"/>
                      <w:color w:val="auto"/>
                      <w:szCs w:val="21"/>
                      <w:lang w:eastAsia="zh-CN"/>
                    </w:rPr>
                    <w:t>、</w:t>
                  </w:r>
                  <w:r>
                    <w:rPr>
                      <w:rFonts w:hint="eastAsia"/>
                      <w:color w:val="auto"/>
                      <w:szCs w:val="21"/>
                    </w:rPr>
                    <w:t>脱附+</w:t>
                  </w:r>
                  <w:r>
                    <w:rPr>
                      <w:rFonts w:hint="eastAsia"/>
                      <w:color w:val="auto"/>
                      <w:szCs w:val="21"/>
                      <w:lang w:val="en-US" w:eastAsia="zh-CN"/>
                    </w:rPr>
                    <w:t>催化燃烧</w:t>
                  </w:r>
                  <w:r>
                    <w:rPr>
                      <w:rFonts w:hint="eastAsia"/>
                      <w:color w:val="auto"/>
                      <w:szCs w:val="21"/>
                    </w:rPr>
                    <w:t>”</w:t>
                  </w:r>
                  <w:r>
                    <w:rPr>
                      <w:color w:val="auto"/>
                      <w:szCs w:val="21"/>
                    </w:rPr>
                    <w:t>+15m排气筒</w:t>
                  </w:r>
                </w:p>
              </w:tc>
              <w:tc>
                <w:tcPr>
                  <w:tcW w:w="3192" w:type="dxa"/>
                  <w:tcMar>
                    <w:left w:w="28" w:type="dxa"/>
                    <w:right w:w="28" w:type="dxa"/>
                  </w:tcMar>
                  <w:vAlign w:val="center"/>
                </w:tcPr>
                <w:p w14:paraId="2FDF393E">
                  <w:pPr>
                    <w:jc w:val="center"/>
                    <w:rPr>
                      <w:rFonts w:hint="eastAsia" w:eastAsia="宋体"/>
                      <w:bCs/>
                      <w:color w:val="auto"/>
                      <w:szCs w:val="21"/>
                      <w:lang w:eastAsia="zh-CN"/>
                    </w:rPr>
                  </w:pPr>
                  <w:r>
                    <w:rPr>
                      <w:color w:val="auto"/>
                      <w:szCs w:val="21"/>
                    </w:rPr>
                    <w:t>《工业涂装工序挥发性有机物排放标准》（DB41/1951-2020）</w:t>
                  </w:r>
                  <w:r>
                    <w:rPr>
                      <w:rFonts w:hint="eastAsia"/>
                      <w:color w:val="auto"/>
                      <w:szCs w:val="21"/>
                      <w:lang w:eastAsia="zh-CN"/>
                    </w:rPr>
                    <w:t>（非甲烷总烃排放浓度50mg/m</w:t>
                  </w:r>
                  <w:r>
                    <w:rPr>
                      <w:rFonts w:hint="eastAsia"/>
                      <w:color w:val="auto"/>
                      <w:szCs w:val="21"/>
                      <w:vertAlign w:val="superscript"/>
                      <w:lang w:eastAsia="zh-CN"/>
                    </w:rPr>
                    <w:t>3</w:t>
                  </w:r>
                  <w:r>
                    <w:rPr>
                      <w:rFonts w:hint="eastAsia"/>
                      <w:color w:val="auto"/>
                      <w:szCs w:val="21"/>
                      <w:lang w:eastAsia="zh-CN"/>
                    </w:rPr>
                    <w:t>，甲苯、二甲苯合计排放浓度20mg/m</w:t>
                  </w:r>
                  <w:r>
                    <w:rPr>
                      <w:rFonts w:hint="eastAsia"/>
                      <w:color w:val="auto"/>
                      <w:szCs w:val="21"/>
                      <w:vertAlign w:val="superscript"/>
                      <w:lang w:eastAsia="zh-CN"/>
                    </w:rPr>
                    <w:t>3</w:t>
                  </w:r>
                  <w:r>
                    <w:rPr>
                      <w:rFonts w:hint="eastAsia"/>
                      <w:color w:val="auto"/>
                      <w:szCs w:val="21"/>
                      <w:lang w:eastAsia="zh-CN"/>
                    </w:rPr>
                    <w:t>）</w:t>
                  </w:r>
                  <w:r>
                    <w:rPr>
                      <w:rFonts w:hint="eastAsia"/>
                      <w:color w:val="auto"/>
                      <w:szCs w:val="21"/>
                    </w:rPr>
                    <w:t>、《</w:t>
                  </w:r>
                  <w:r>
                    <w:rPr>
                      <w:color w:val="auto"/>
                      <w:szCs w:val="21"/>
                    </w:rPr>
                    <w:t>关于全省开展工业企业挥发性有机物专项治理工作中排放建议值的通知</w:t>
                  </w:r>
                  <w:r>
                    <w:rPr>
                      <w:rFonts w:hint="eastAsia"/>
                      <w:color w:val="auto"/>
                      <w:szCs w:val="21"/>
                    </w:rPr>
                    <w:t>》</w:t>
                  </w:r>
                  <w:r>
                    <w:rPr>
                      <w:color w:val="auto"/>
                      <w:szCs w:val="21"/>
                    </w:rPr>
                    <w:t>（豫环攻坚办</w:t>
                  </w:r>
                  <w:r>
                    <w:rPr>
                      <w:rFonts w:hint="eastAsia"/>
                      <w:color w:val="auto"/>
                      <w:szCs w:val="21"/>
                    </w:rPr>
                    <w:t>〔2017〕</w:t>
                  </w:r>
                  <w:r>
                    <w:rPr>
                      <w:color w:val="auto"/>
                      <w:szCs w:val="21"/>
                    </w:rPr>
                    <w:t>162号）</w:t>
                  </w:r>
                  <w:r>
                    <w:rPr>
                      <w:rFonts w:hint="eastAsia"/>
                      <w:color w:val="auto"/>
                      <w:szCs w:val="21"/>
                    </w:rPr>
                    <w:t>、《重污染天气重点行业应急减排措施制定技术指南（2020年修订版）》的函》（环办大气函〔2020〕340号）</w:t>
                  </w:r>
                  <w:r>
                    <w:rPr>
                      <w:rFonts w:hint="eastAsia"/>
                      <w:color w:val="auto"/>
                      <w:szCs w:val="21"/>
                      <w:lang w:eastAsia="zh-CN"/>
                    </w:rPr>
                    <w:t>（颗粒物有组织≤10mg/m</w:t>
                  </w:r>
                  <w:r>
                    <w:rPr>
                      <w:rFonts w:hint="eastAsia"/>
                      <w:color w:val="auto"/>
                      <w:szCs w:val="21"/>
                      <w:vertAlign w:val="superscript"/>
                      <w:lang w:eastAsia="zh-CN"/>
                    </w:rPr>
                    <w:t>3</w:t>
                  </w:r>
                  <w:r>
                    <w:rPr>
                      <w:rFonts w:hint="eastAsia"/>
                      <w:color w:val="auto"/>
                      <w:szCs w:val="21"/>
                      <w:lang w:eastAsia="zh-CN"/>
                    </w:rPr>
                    <w:t>，非甲烷总烃≤20mg/m</w:t>
                  </w:r>
                  <w:r>
                    <w:rPr>
                      <w:rFonts w:hint="eastAsia"/>
                      <w:color w:val="auto"/>
                      <w:szCs w:val="21"/>
                      <w:vertAlign w:val="superscript"/>
                      <w:lang w:eastAsia="zh-CN"/>
                    </w:rPr>
                    <w:t>3</w:t>
                  </w:r>
                  <w:r>
                    <w:rPr>
                      <w:rFonts w:hint="eastAsia"/>
                      <w:color w:val="auto"/>
                      <w:szCs w:val="21"/>
                      <w:lang w:eastAsia="zh-CN"/>
                    </w:rPr>
                    <w:t>）</w:t>
                  </w:r>
                </w:p>
              </w:tc>
              <w:tc>
                <w:tcPr>
                  <w:tcW w:w="1452" w:type="dxa"/>
                  <w:vMerge w:val="continue"/>
                  <w:tcMar>
                    <w:left w:w="28" w:type="dxa"/>
                    <w:right w:w="28" w:type="dxa"/>
                  </w:tcMar>
                  <w:vAlign w:val="center"/>
                </w:tcPr>
                <w:p w14:paraId="1BA19014">
                  <w:pPr>
                    <w:jc w:val="center"/>
                    <w:rPr>
                      <w:bCs/>
                      <w:color w:val="auto"/>
                      <w:szCs w:val="21"/>
                    </w:rPr>
                  </w:pPr>
                </w:p>
              </w:tc>
            </w:tr>
            <w:tr w14:paraId="3DA8B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jc w:val="center"/>
              </w:trPr>
              <w:tc>
                <w:tcPr>
                  <w:tcW w:w="435" w:type="dxa"/>
                  <w:vMerge w:val="continue"/>
                  <w:tcMar>
                    <w:left w:w="28" w:type="dxa"/>
                    <w:right w:w="28" w:type="dxa"/>
                  </w:tcMar>
                  <w:vAlign w:val="center"/>
                </w:tcPr>
                <w:p w14:paraId="34FD2CE6">
                  <w:pPr>
                    <w:jc w:val="center"/>
                    <w:rPr>
                      <w:bCs/>
                      <w:color w:val="auto"/>
                      <w:szCs w:val="21"/>
                    </w:rPr>
                  </w:pPr>
                </w:p>
              </w:tc>
              <w:tc>
                <w:tcPr>
                  <w:tcW w:w="1398" w:type="dxa"/>
                  <w:tcBorders>
                    <w:top w:val="single" w:color="000000" w:sz="4" w:space="0"/>
                  </w:tcBorders>
                  <w:tcMar>
                    <w:left w:w="28" w:type="dxa"/>
                    <w:right w:w="28" w:type="dxa"/>
                  </w:tcMar>
                  <w:vAlign w:val="center"/>
                </w:tcPr>
                <w:p w14:paraId="00555339">
                  <w:pPr>
                    <w:jc w:val="center"/>
                    <w:rPr>
                      <w:rFonts w:hint="eastAsia" w:ascii="Times New Roman" w:hAnsi="Times New Roman" w:eastAsia="宋体" w:cs="Times New Roman"/>
                      <w:b/>
                      <w:bCs/>
                      <w:color w:val="auto"/>
                      <w:kern w:val="2"/>
                      <w:sz w:val="21"/>
                      <w:szCs w:val="21"/>
                      <w:u w:val="single"/>
                      <w:lang w:val="en-US" w:eastAsia="zh-CN" w:bidi="ar-SA"/>
                    </w:rPr>
                  </w:pPr>
                  <w:r>
                    <w:rPr>
                      <w:rFonts w:hint="eastAsia"/>
                      <w:b/>
                      <w:bCs/>
                      <w:color w:val="auto"/>
                      <w:szCs w:val="21"/>
                      <w:u w:val="single"/>
                      <w:lang w:val="en-US" w:eastAsia="zh-CN"/>
                    </w:rPr>
                    <w:t>一车间油磨粉尘</w:t>
                  </w:r>
                </w:p>
              </w:tc>
              <w:tc>
                <w:tcPr>
                  <w:tcW w:w="2151" w:type="dxa"/>
                  <w:tcBorders>
                    <w:top w:val="single" w:color="000000" w:sz="4" w:space="0"/>
                  </w:tcBorders>
                  <w:tcMar>
                    <w:left w:w="28" w:type="dxa"/>
                    <w:right w:w="28" w:type="dxa"/>
                  </w:tcMar>
                  <w:vAlign w:val="center"/>
                </w:tcPr>
                <w:p w14:paraId="450029CF">
                  <w:pPr>
                    <w:jc w:val="center"/>
                    <w:rPr>
                      <w:rFonts w:hint="eastAsia" w:ascii="Times New Roman" w:hAnsi="Times New Roman" w:eastAsia="宋体" w:cs="Times New Roman"/>
                      <w:b/>
                      <w:bCs/>
                      <w:color w:val="auto"/>
                      <w:kern w:val="2"/>
                      <w:sz w:val="21"/>
                      <w:szCs w:val="21"/>
                      <w:u w:val="single"/>
                      <w:lang w:val="en-US" w:eastAsia="zh-CN" w:bidi="ar-SA"/>
                    </w:rPr>
                  </w:pPr>
                  <w:r>
                    <w:rPr>
                      <w:rFonts w:hint="eastAsia"/>
                      <w:b/>
                      <w:bCs/>
                      <w:color w:val="auto"/>
                      <w:szCs w:val="21"/>
                      <w:u w:val="single"/>
                      <w:lang w:val="en-US" w:eastAsia="zh-CN"/>
                    </w:rPr>
                    <w:t>干式打磨柜</w:t>
                  </w:r>
                </w:p>
              </w:tc>
              <w:tc>
                <w:tcPr>
                  <w:tcW w:w="3192" w:type="dxa"/>
                  <w:tcMar>
                    <w:left w:w="28" w:type="dxa"/>
                    <w:right w:w="28" w:type="dxa"/>
                  </w:tcMar>
                  <w:vAlign w:val="center"/>
                </w:tcPr>
                <w:p w14:paraId="5FE71800">
                  <w:pPr>
                    <w:jc w:val="center"/>
                    <w:rPr>
                      <w:rFonts w:hint="default" w:ascii="Times New Roman" w:hAnsi="Times New Roman" w:eastAsia="宋体" w:cs="Times New Roman"/>
                      <w:b/>
                      <w:bCs/>
                      <w:color w:val="auto"/>
                      <w:kern w:val="2"/>
                      <w:sz w:val="21"/>
                      <w:szCs w:val="21"/>
                      <w:u w:val="single"/>
                      <w:lang w:val="en-US" w:eastAsia="zh-CN" w:bidi="ar-SA"/>
                    </w:rPr>
                  </w:pPr>
                  <w:r>
                    <w:rPr>
                      <w:rFonts w:hint="eastAsia" w:cs="Times New Roman"/>
                      <w:b/>
                      <w:bCs/>
                      <w:color w:val="auto"/>
                      <w:kern w:val="2"/>
                      <w:sz w:val="21"/>
                      <w:szCs w:val="21"/>
                      <w:u w:val="single"/>
                      <w:lang w:val="en-US" w:eastAsia="zh-CN" w:bidi="ar-SA"/>
                    </w:rPr>
                    <w:t>/</w:t>
                  </w:r>
                </w:p>
              </w:tc>
              <w:tc>
                <w:tcPr>
                  <w:tcW w:w="1452" w:type="dxa"/>
                  <w:tcMar>
                    <w:left w:w="28" w:type="dxa"/>
                    <w:right w:w="28" w:type="dxa"/>
                  </w:tcMar>
                  <w:vAlign w:val="center"/>
                </w:tcPr>
                <w:p w14:paraId="3E11B8C7">
                  <w:pPr>
                    <w:jc w:val="center"/>
                    <w:rPr>
                      <w:rFonts w:hint="eastAsia" w:eastAsia="宋体"/>
                      <w:b/>
                      <w:bCs/>
                      <w:color w:val="auto"/>
                      <w:szCs w:val="21"/>
                      <w:u w:val="single"/>
                      <w:lang w:val="en-US" w:eastAsia="zh-CN"/>
                    </w:rPr>
                  </w:pPr>
                  <w:r>
                    <w:rPr>
                      <w:rFonts w:hint="eastAsia"/>
                      <w:b/>
                      <w:bCs/>
                      <w:color w:val="auto"/>
                      <w:szCs w:val="21"/>
                      <w:u w:val="single"/>
                      <w:lang w:val="en-US" w:eastAsia="zh-CN"/>
                    </w:rPr>
                    <w:t>/</w:t>
                  </w:r>
                </w:p>
              </w:tc>
            </w:tr>
            <w:tr w14:paraId="60B6D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5" w:type="dxa"/>
                  <w:vMerge w:val="continue"/>
                  <w:tcMar>
                    <w:left w:w="28" w:type="dxa"/>
                    <w:right w:w="28" w:type="dxa"/>
                  </w:tcMar>
                  <w:vAlign w:val="center"/>
                </w:tcPr>
                <w:p w14:paraId="55398A20">
                  <w:pPr>
                    <w:jc w:val="center"/>
                    <w:rPr>
                      <w:bCs/>
                      <w:color w:val="auto"/>
                      <w:szCs w:val="21"/>
                    </w:rPr>
                  </w:pPr>
                </w:p>
              </w:tc>
              <w:tc>
                <w:tcPr>
                  <w:tcW w:w="1398" w:type="dxa"/>
                  <w:tcMar>
                    <w:left w:w="28" w:type="dxa"/>
                    <w:right w:w="28" w:type="dxa"/>
                  </w:tcMar>
                  <w:vAlign w:val="center"/>
                </w:tcPr>
                <w:p w14:paraId="6FD35E09">
                  <w:pPr>
                    <w:jc w:val="center"/>
                    <w:rPr>
                      <w:bCs/>
                      <w:color w:val="auto"/>
                      <w:szCs w:val="21"/>
                      <w:lang w:val="en-GB"/>
                    </w:rPr>
                  </w:pPr>
                  <w:r>
                    <w:rPr>
                      <w:bCs/>
                      <w:color w:val="auto"/>
                      <w:szCs w:val="21"/>
                    </w:rPr>
                    <w:t>无组织粉尘</w:t>
                  </w:r>
                </w:p>
              </w:tc>
              <w:tc>
                <w:tcPr>
                  <w:tcW w:w="2151" w:type="dxa"/>
                  <w:tcMar>
                    <w:left w:w="28" w:type="dxa"/>
                    <w:right w:w="28" w:type="dxa"/>
                  </w:tcMar>
                  <w:vAlign w:val="center"/>
                </w:tcPr>
                <w:p w14:paraId="65B20E8F">
                  <w:pPr>
                    <w:jc w:val="center"/>
                    <w:rPr>
                      <w:bCs/>
                      <w:color w:val="auto"/>
                      <w:szCs w:val="21"/>
                    </w:rPr>
                  </w:pPr>
                  <w:r>
                    <w:rPr>
                      <w:bCs/>
                      <w:color w:val="auto"/>
                      <w:szCs w:val="21"/>
                    </w:rPr>
                    <w:t>车间密闭</w:t>
                  </w:r>
                </w:p>
              </w:tc>
              <w:tc>
                <w:tcPr>
                  <w:tcW w:w="3192" w:type="dxa"/>
                  <w:tcMar>
                    <w:left w:w="28" w:type="dxa"/>
                    <w:right w:w="28" w:type="dxa"/>
                  </w:tcMar>
                  <w:vAlign w:val="center"/>
                </w:tcPr>
                <w:p w14:paraId="2D3CF46D">
                  <w:pPr>
                    <w:jc w:val="center"/>
                    <w:rPr>
                      <w:rFonts w:hint="eastAsia" w:eastAsia="宋体"/>
                      <w:bCs/>
                      <w:color w:val="auto"/>
                      <w:szCs w:val="21"/>
                      <w:lang w:eastAsia="zh-CN"/>
                    </w:rPr>
                  </w:pPr>
                  <w:r>
                    <w:rPr>
                      <w:bCs/>
                      <w:color w:val="auto"/>
                      <w:szCs w:val="21"/>
                    </w:rPr>
                    <w:t>《大气污染物综合排放标准》（GB16297-1996）表2颗粒物无组织排放监控浓度限值</w:t>
                  </w:r>
                  <w:r>
                    <w:rPr>
                      <w:rFonts w:hint="eastAsia"/>
                      <w:bCs/>
                      <w:color w:val="auto"/>
                      <w:szCs w:val="21"/>
                      <w:lang w:eastAsia="zh-CN"/>
                    </w:rPr>
                    <w:t>（</w:t>
                  </w:r>
                  <w:r>
                    <w:rPr>
                      <w:bCs/>
                      <w:color w:val="auto"/>
                      <w:szCs w:val="21"/>
                    </w:rPr>
                    <w:t>1mg/m</w:t>
                  </w:r>
                  <w:r>
                    <w:rPr>
                      <w:bCs/>
                      <w:color w:val="auto"/>
                      <w:szCs w:val="21"/>
                      <w:vertAlign w:val="superscript"/>
                    </w:rPr>
                    <w:t>3</w:t>
                  </w:r>
                  <w:r>
                    <w:rPr>
                      <w:rFonts w:hint="eastAsia"/>
                      <w:bCs/>
                      <w:color w:val="auto"/>
                      <w:szCs w:val="21"/>
                      <w:vertAlign w:val="baseline"/>
                      <w:lang w:eastAsia="zh-CN"/>
                    </w:rPr>
                    <w:t>）</w:t>
                  </w:r>
                </w:p>
              </w:tc>
              <w:tc>
                <w:tcPr>
                  <w:tcW w:w="1452" w:type="dxa"/>
                  <w:tcMar>
                    <w:left w:w="28" w:type="dxa"/>
                    <w:right w:w="28" w:type="dxa"/>
                  </w:tcMar>
                  <w:vAlign w:val="center"/>
                </w:tcPr>
                <w:p w14:paraId="6E6B61CE">
                  <w:pPr>
                    <w:jc w:val="center"/>
                    <w:rPr>
                      <w:bCs/>
                      <w:color w:val="auto"/>
                      <w:szCs w:val="21"/>
                    </w:rPr>
                  </w:pPr>
                  <w:r>
                    <w:rPr>
                      <w:bCs/>
                      <w:color w:val="auto"/>
                      <w:szCs w:val="21"/>
                    </w:rPr>
                    <w:t>颗粒物</w:t>
                  </w:r>
                  <w:r>
                    <w:rPr>
                      <w:rFonts w:hint="eastAsia"/>
                      <w:bCs/>
                      <w:color w:val="auto"/>
                      <w:szCs w:val="21"/>
                    </w:rPr>
                    <w:t>上下风向</w:t>
                  </w:r>
                  <w:r>
                    <w:rPr>
                      <w:bCs/>
                      <w:color w:val="auto"/>
                      <w:szCs w:val="21"/>
                    </w:rPr>
                    <w:t>无组织排放浓度</w:t>
                  </w:r>
                </w:p>
              </w:tc>
            </w:tr>
            <w:tr w14:paraId="1CD98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5" w:type="dxa"/>
                  <w:vMerge w:val="continue"/>
                  <w:tcMar>
                    <w:left w:w="28" w:type="dxa"/>
                    <w:right w:w="28" w:type="dxa"/>
                  </w:tcMar>
                  <w:vAlign w:val="center"/>
                </w:tcPr>
                <w:p w14:paraId="705CA852">
                  <w:pPr>
                    <w:jc w:val="center"/>
                    <w:rPr>
                      <w:bCs/>
                      <w:color w:val="auto"/>
                      <w:szCs w:val="21"/>
                    </w:rPr>
                  </w:pPr>
                </w:p>
              </w:tc>
              <w:tc>
                <w:tcPr>
                  <w:tcW w:w="1398" w:type="dxa"/>
                  <w:tcMar>
                    <w:left w:w="28" w:type="dxa"/>
                    <w:right w:w="28" w:type="dxa"/>
                  </w:tcMar>
                  <w:vAlign w:val="center"/>
                </w:tcPr>
                <w:p w14:paraId="07830F2E">
                  <w:pPr>
                    <w:jc w:val="center"/>
                    <w:rPr>
                      <w:bCs/>
                      <w:color w:val="auto"/>
                      <w:szCs w:val="21"/>
                    </w:rPr>
                  </w:pPr>
                  <w:r>
                    <w:rPr>
                      <w:bCs/>
                      <w:color w:val="auto"/>
                      <w:szCs w:val="21"/>
                    </w:rPr>
                    <w:t>无组织有机废气</w:t>
                  </w:r>
                </w:p>
              </w:tc>
              <w:tc>
                <w:tcPr>
                  <w:tcW w:w="2151" w:type="dxa"/>
                  <w:tcMar>
                    <w:left w:w="28" w:type="dxa"/>
                    <w:right w:w="28" w:type="dxa"/>
                  </w:tcMar>
                  <w:vAlign w:val="center"/>
                </w:tcPr>
                <w:p w14:paraId="64BCECD2">
                  <w:pPr>
                    <w:jc w:val="center"/>
                    <w:rPr>
                      <w:bCs/>
                      <w:color w:val="auto"/>
                      <w:szCs w:val="21"/>
                    </w:rPr>
                  </w:pPr>
                  <w:r>
                    <w:rPr>
                      <w:bCs/>
                      <w:color w:val="auto"/>
                      <w:szCs w:val="21"/>
                    </w:rPr>
                    <w:t>车间密闭</w:t>
                  </w:r>
                </w:p>
              </w:tc>
              <w:tc>
                <w:tcPr>
                  <w:tcW w:w="3192" w:type="dxa"/>
                  <w:tcMar>
                    <w:left w:w="28" w:type="dxa"/>
                    <w:right w:w="28" w:type="dxa"/>
                  </w:tcMar>
                  <w:vAlign w:val="center"/>
                </w:tcPr>
                <w:p w14:paraId="7CB46813">
                  <w:pPr>
                    <w:jc w:val="center"/>
                    <w:rPr>
                      <w:rFonts w:hint="eastAsia" w:eastAsia="宋体"/>
                      <w:bCs/>
                      <w:color w:val="auto"/>
                      <w:szCs w:val="21"/>
                      <w:lang w:eastAsia="zh-CN"/>
                    </w:rPr>
                  </w:pPr>
                  <w:r>
                    <w:rPr>
                      <w:color w:val="auto"/>
                      <w:szCs w:val="21"/>
                    </w:rPr>
                    <w:t>《工业涂装工序挥发性有机物排放标准》（DB41/1951-2020）</w:t>
                  </w:r>
                  <w:r>
                    <w:rPr>
                      <w:rFonts w:hint="eastAsia"/>
                      <w:color w:val="auto"/>
                      <w:szCs w:val="21"/>
                      <w:lang w:eastAsia="zh-CN"/>
                    </w:rPr>
                    <w:t>（涂装工序厂房外监控点1h平均浓度值</w:t>
                  </w:r>
                  <w:r>
                    <w:rPr>
                      <w:rFonts w:hint="eastAsia"/>
                      <w:color w:val="auto"/>
                      <w:szCs w:val="21"/>
                      <w:lang w:val="en-US" w:eastAsia="zh-CN"/>
                    </w:rPr>
                    <w:t>6</w:t>
                  </w:r>
                  <w:r>
                    <w:rPr>
                      <w:color w:val="auto"/>
                      <w:szCs w:val="21"/>
                    </w:rPr>
                    <w:t>mg/m</w:t>
                  </w:r>
                  <w:r>
                    <w:rPr>
                      <w:color w:val="auto"/>
                      <w:szCs w:val="21"/>
                      <w:vertAlign w:val="superscript"/>
                    </w:rPr>
                    <w:t>3</w:t>
                  </w:r>
                  <w:r>
                    <w:rPr>
                      <w:rFonts w:hint="eastAsia"/>
                      <w:color w:val="auto"/>
                      <w:szCs w:val="21"/>
                      <w:vertAlign w:val="baseline"/>
                      <w:lang w:eastAsia="zh-CN"/>
                    </w:rPr>
                    <w:t>，</w:t>
                  </w:r>
                  <w:r>
                    <w:rPr>
                      <w:rFonts w:hint="eastAsia"/>
                      <w:color w:val="auto"/>
                      <w:szCs w:val="21"/>
                      <w:lang w:eastAsia="zh-CN"/>
                    </w:rPr>
                    <w:t>涂装工序厂房外</w:t>
                  </w:r>
                  <w:r>
                    <w:rPr>
                      <w:rFonts w:hint="eastAsia"/>
                      <w:color w:val="auto"/>
                      <w:szCs w:val="21"/>
                      <w:lang w:val="en-US" w:eastAsia="zh-CN"/>
                    </w:rPr>
                    <w:t>监控点处任意一次浓度值30</w:t>
                  </w:r>
                  <w:r>
                    <w:rPr>
                      <w:color w:val="auto"/>
                      <w:szCs w:val="21"/>
                    </w:rPr>
                    <w:t>mg/m</w:t>
                  </w:r>
                  <w:r>
                    <w:rPr>
                      <w:color w:val="auto"/>
                      <w:szCs w:val="21"/>
                      <w:vertAlign w:val="superscript"/>
                    </w:rPr>
                    <w:t>3</w:t>
                  </w:r>
                  <w:r>
                    <w:rPr>
                      <w:rFonts w:hint="eastAsia"/>
                      <w:color w:val="auto"/>
                      <w:szCs w:val="21"/>
                      <w:lang w:eastAsia="zh-CN"/>
                    </w:rPr>
                    <w:t>）</w:t>
                  </w:r>
                  <w:r>
                    <w:rPr>
                      <w:rFonts w:hint="eastAsia"/>
                      <w:color w:val="auto"/>
                      <w:szCs w:val="21"/>
                    </w:rPr>
                    <w:t>、《</w:t>
                  </w:r>
                  <w:r>
                    <w:rPr>
                      <w:color w:val="auto"/>
                      <w:szCs w:val="21"/>
                    </w:rPr>
                    <w:t>关于全省开展工业企业挥发性有机物专项治理工作中排放建议值的通知</w:t>
                  </w:r>
                  <w:r>
                    <w:rPr>
                      <w:rFonts w:hint="eastAsia"/>
                      <w:color w:val="auto"/>
                      <w:szCs w:val="21"/>
                    </w:rPr>
                    <w:t>》</w:t>
                  </w:r>
                  <w:r>
                    <w:rPr>
                      <w:color w:val="auto"/>
                      <w:szCs w:val="21"/>
                    </w:rPr>
                    <w:t>（豫环攻坚办</w:t>
                  </w:r>
                  <w:r>
                    <w:rPr>
                      <w:rFonts w:hint="eastAsia"/>
                      <w:color w:val="auto"/>
                      <w:szCs w:val="21"/>
                    </w:rPr>
                    <w:t>〔2017〕</w:t>
                  </w:r>
                  <w:r>
                    <w:rPr>
                      <w:color w:val="auto"/>
                      <w:szCs w:val="21"/>
                    </w:rPr>
                    <w:t>162号）</w:t>
                  </w:r>
                  <w:r>
                    <w:rPr>
                      <w:rFonts w:hint="eastAsia"/>
                      <w:color w:val="auto"/>
                      <w:szCs w:val="21"/>
                      <w:lang w:eastAsia="zh-CN"/>
                    </w:rPr>
                    <w:t>（</w:t>
                  </w:r>
                  <w:r>
                    <w:rPr>
                      <w:rFonts w:hint="eastAsia"/>
                      <w:color w:val="auto"/>
                      <w:szCs w:val="21"/>
                      <w:lang w:val="en-US" w:eastAsia="zh-CN"/>
                    </w:rPr>
                    <w:t>非甲烷总烃≤2</w:t>
                  </w:r>
                  <w:r>
                    <w:rPr>
                      <w:color w:val="auto"/>
                      <w:szCs w:val="21"/>
                    </w:rPr>
                    <w:t>mg/m</w:t>
                  </w:r>
                  <w:r>
                    <w:rPr>
                      <w:color w:val="auto"/>
                      <w:szCs w:val="21"/>
                      <w:vertAlign w:val="superscript"/>
                    </w:rPr>
                    <w:t>3</w:t>
                  </w:r>
                  <w:r>
                    <w:rPr>
                      <w:rFonts w:hint="eastAsia"/>
                      <w:color w:val="auto"/>
                      <w:szCs w:val="21"/>
                      <w:vertAlign w:val="baseline"/>
                      <w:lang w:eastAsia="zh-CN"/>
                    </w:rPr>
                    <w:t>，</w:t>
                  </w:r>
                  <w:r>
                    <w:rPr>
                      <w:rFonts w:hint="eastAsia"/>
                      <w:color w:val="auto"/>
                      <w:szCs w:val="21"/>
                      <w:lang w:val="en-US" w:eastAsia="zh-CN"/>
                    </w:rPr>
                    <w:t>甲苯≤0.6</w:t>
                  </w:r>
                  <w:r>
                    <w:rPr>
                      <w:color w:val="auto"/>
                      <w:szCs w:val="21"/>
                    </w:rPr>
                    <w:t>mg/m</w:t>
                  </w:r>
                  <w:r>
                    <w:rPr>
                      <w:color w:val="auto"/>
                      <w:szCs w:val="21"/>
                      <w:vertAlign w:val="superscript"/>
                    </w:rPr>
                    <w:t>3</w:t>
                  </w:r>
                  <w:r>
                    <w:rPr>
                      <w:rFonts w:hint="eastAsia"/>
                      <w:color w:val="auto"/>
                      <w:szCs w:val="21"/>
                      <w:vertAlign w:val="baseline"/>
                      <w:lang w:eastAsia="zh-CN"/>
                    </w:rPr>
                    <w:t>，</w:t>
                  </w:r>
                  <w:r>
                    <w:rPr>
                      <w:rFonts w:hint="eastAsia"/>
                      <w:color w:val="auto"/>
                      <w:szCs w:val="21"/>
                      <w:lang w:val="en-US" w:eastAsia="zh-CN"/>
                    </w:rPr>
                    <w:t>二甲苯≤0.2</w:t>
                  </w:r>
                  <w:r>
                    <w:rPr>
                      <w:color w:val="auto"/>
                      <w:szCs w:val="21"/>
                    </w:rPr>
                    <w:t>mg/m</w:t>
                  </w:r>
                  <w:r>
                    <w:rPr>
                      <w:color w:val="auto"/>
                      <w:szCs w:val="21"/>
                      <w:vertAlign w:val="superscript"/>
                    </w:rPr>
                    <w:t>3</w:t>
                  </w:r>
                  <w:r>
                    <w:rPr>
                      <w:rFonts w:hint="eastAsia"/>
                      <w:color w:val="auto"/>
                      <w:szCs w:val="21"/>
                      <w:lang w:eastAsia="zh-CN"/>
                    </w:rPr>
                    <w:t>）</w:t>
                  </w:r>
                  <w:r>
                    <w:rPr>
                      <w:rFonts w:hint="eastAsia"/>
                      <w:color w:val="auto"/>
                      <w:szCs w:val="21"/>
                    </w:rPr>
                    <w:t>、《重污染天气重点行业应急减排措施制定技术指南（2020年修订版）》的函》（环办大气函〔2020〕340号）</w:t>
                  </w:r>
                  <w:r>
                    <w:rPr>
                      <w:rFonts w:hint="eastAsia"/>
                      <w:color w:val="auto"/>
                      <w:szCs w:val="21"/>
                      <w:lang w:eastAsia="zh-CN"/>
                    </w:rPr>
                    <w:t>、《挥发性有机物无组织排放控制标准》（GB37822-2019）（</w:t>
                  </w:r>
                  <w:r>
                    <w:rPr>
                      <w:rFonts w:hint="eastAsia"/>
                      <w:color w:val="auto"/>
                      <w:szCs w:val="21"/>
                      <w:lang w:val="en-US" w:eastAsia="zh-CN"/>
                    </w:rPr>
                    <w:t>监控点处1h平均浓度6</w:t>
                  </w:r>
                  <w:r>
                    <w:rPr>
                      <w:color w:val="auto"/>
                      <w:szCs w:val="21"/>
                    </w:rPr>
                    <w:t>mg/m</w:t>
                  </w:r>
                  <w:r>
                    <w:rPr>
                      <w:color w:val="auto"/>
                      <w:szCs w:val="21"/>
                      <w:vertAlign w:val="superscript"/>
                    </w:rPr>
                    <w:t>3</w:t>
                  </w:r>
                  <w:r>
                    <w:rPr>
                      <w:rFonts w:hint="eastAsia"/>
                      <w:color w:val="auto"/>
                      <w:szCs w:val="21"/>
                      <w:vertAlign w:val="baseline"/>
                      <w:lang w:eastAsia="zh-CN"/>
                    </w:rPr>
                    <w:t>，</w:t>
                  </w:r>
                  <w:r>
                    <w:rPr>
                      <w:rFonts w:hint="eastAsia"/>
                      <w:color w:val="auto"/>
                      <w:szCs w:val="21"/>
                      <w:lang w:val="en-US" w:eastAsia="zh-CN"/>
                    </w:rPr>
                    <w:t>监控点处任意一次浓度值30</w:t>
                  </w:r>
                  <w:r>
                    <w:rPr>
                      <w:color w:val="auto"/>
                      <w:szCs w:val="21"/>
                    </w:rPr>
                    <w:t>mg/m</w:t>
                  </w:r>
                  <w:r>
                    <w:rPr>
                      <w:color w:val="auto"/>
                      <w:szCs w:val="21"/>
                      <w:vertAlign w:val="superscript"/>
                    </w:rPr>
                    <w:t>3</w:t>
                  </w:r>
                  <w:r>
                    <w:rPr>
                      <w:rFonts w:hint="eastAsia"/>
                      <w:color w:val="auto"/>
                      <w:szCs w:val="21"/>
                      <w:lang w:eastAsia="zh-CN"/>
                    </w:rPr>
                    <w:t>）</w:t>
                  </w:r>
                </w:p>
              </w:tc>
              <w:tc>
                <w:tcPr>
                  <w:tcW w:w="1452" w:type="dxa"/>
                  <w:tcMar>
                    <w:left w:w="28" w:type="dxa"/>
                    <w:right w:w="28" w:type="dxa"/>
                  </w:tcMar>
                  <w:vAlign w:val="center"/>
                </w:tcPr>
                <w:p w14:paraId="26BF9148">
                  <w:pPr>
                    <w:jc w:val="center"/>
                    <w:rPr>
                      <w:bCs/>
                      <w:color w:val="auto"/>
                      <w:szCs w:val="21"/>
                    </w:rPr>
                  </w:pPr>
                  <w:r>
                    <w:rPr>
                      <w:bCs/>
                      <w:color w:val="auto"/>
                      <w:szCs w:val="21"/>
                    </w:rPr>
                    <w:t>非甲烷总烃</w:t>
                  </w:r>
                  <w:r>
                    <w:rPr>
                      <w:rFonts w:hint="eastAsia"/>
                      <w:bCs/>
                      <w:color w:val="auto"/>
                      <w:szCs w:val="21"/>
                    </w:rPr>
                    <w:t>、苯甲苯、二甲苯上下风向</w:t>
                  </w:r>
                  <w:r>
                    <w:rPr>
                      <w:bCs/>
                      <w:color w:val="auto"/>
                      <w:szCs w:val="21"/>
                    </w:rPr>
                    <w:t>无组织排放浓度</w:t>
                  </w:r>
                  <w:r>
                    <w:rPr>
                      <w:rFonts w:hint="eastAsia"/>
                      <w:bCs/>
                      <w:color w:val="auto"/>
                      <w:szCs w:val="21"/>
                    </w:rPr>
                    <w:t>；非甲烷总烃车间外浓度</w:t>
                  </w:r>
                </w:p>
              </w:tc>
            </w:tr>
            <w:tr w14:paraId="5CA14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5" w:type="dxa"/>
                  <w:tcMar>
                    <w:left w:w="28" w:type="dxa"/>
                    <w:right w:w="28" w:type="dxa"/>
                  </w:tcMar>
                  <w:vAlign w:val="center"/>
                </w:tcPr>
                <w:p w14:paraId="05CA9483">
                  <w:pPr>
                    <w:jc w:val="center"/>
                    <w:rPr>
                      <w:bCs/>
                      <w:color w:val="auto"/>
                      <w:szCs w:val="21"/>
                    </w:rPr>
                  </w:pPr>
                  <w:r>
                    <w:rPr>
                      <w:bCs/>
                      <w:color w:val="auto"/>
                      <w:szCs w:val="21"/>
                    </w:rPr>
                    <w:t>废水</w:t>
                  </w:r>
                </w:p>
              </w:tc>
              <w:tc>
                <w:tcPr>
                  <w:tcW w:w="1398" w:type="dxa"/>
                  <w:tcMar>
                    <w:left w:w="28" w:type="dxa"/>
                    <w:right w:w="28" w:type="dxa"/>
                  </w:tcMar>
                  <w:vAlign w:val="center"/>
                </w:tcPr>
                <w:p w14:paraId="4AB9A9A3">
                  <w:pPr>
                    <w:jc w:val="center"/>
                    <w:rPr>
                      <w:bCs/>
                      <w:color w:val="auto"/>
                      <w:szCs w:val="21"/>
                    </w:rPr>
                  </w:pPr>
                  <w:r>
                    <w:rPr>
                      <w:bCs/>
                      <w:color w:val="auto"/>
                      <w:szCs w:val="21"/>
                    </w:rPr>
                    <w:t>生活废水</w:t>
                  </w:r>
                </w:p>
              </w:tc>
              <w:tc>
                <w:tcPr>
                  <w:tcW w:w="2151" w:type="dxa"/>
                  <w:tcMar>
                    <w:left w:w="28" w:type="dxa"/>
                    <w:right w:w="28" w:type="dxa"/>
                  </w:tcMar>
                  <w:vAlign w:val="center"/>
                </w:tcPr>
                <w:p w14:paraId="0280167D">
                  <w:pPr>
                    <w:jc w:val="center"/>
                    <w:rPr>
                      <w:rFonts w:hint="eastAsia" w:eastAsia="宋体"/>
                      <w:bCs/>
                      <w:color w:val="auto"/>
                      <w:szCs w:val="21"/>
                      <w:lang w:val="en-US" w:eastAsia="zh-CN"/>
                    </w:rPr>
                  </w:pPr>
                  <w:r>
                    <w:rPr>
                      <w:bCs/>
                      <w:color w:val="auto"/>
                      <w:szCs w:val="21"/>
                    </w:rPr>
                    <w:t>经厂区</w:t>
                  </w:r>
                  <w:r>
                    <w:rPr>
                      <w:rFonts w:hint="eastAsia"/>
                      <w:bCs/>
                      <w:color w:val="auto"/>
                      <w:szCs w:val="21"/>
                      <w:lang w:val="en-US" w:eastAsia="zh-CN"/>
                    </w:rPr>
                    <w:t>自建</w:t>
                  </w:r>
                  <w:r>
                    <w:rPr>
                      <w:rFonts w:hint="eastAsia"/>
                      <w:bCs/>
                      <w:color w:val="auto"/>
                      <w:szCs w:val="21"/>
                    </w:rPr>
                    <w:t>化粪池</w:t>
                  </w:r>
                  <w:r>
                    <w:rPr>
                      <w:bCs/>
                      <w:color w:val="auto"/>
                      <w:szCs w:val="21"/>
                    </w:rPr>
                    <w:t>处理后，排入</w:t>
                  </w:r>
                  <w:r>
                    <w:rPr>
                      <w:rFonts w:hint="eastAsia"/>
                      <w:bCs/>
                      <w:color w:val="auto"/>
                      <w:szCs w:val="21"/>
                    </w:rPr>
                    <w:t>清丰中州水务有限公司第二污水处理厂</w:t>
                  </w:r>
                </w:p>
              </w:tc>
              <w:tc>
                <w:tcPr>
                  <w:tcW w:w="3192" w:type="dxa"/>
                  <w:tcMar>
                    <w:left w:w="28" w:type="dxa"/>
                    <w:right w:w="28" w:type="dxa"/>
                  </w:tcMar>
                  <w:vAlign w:val="center"/>
                </w:tcPr>
                <w:p w14:paraId="4FA7B07A">
                  <w:pPr>
                    <w:jc w:val="center"/>
                    <w:rPr>
                      <w:bCs/>
                      <w:color w:val="auto"/>
                      <w:szCs w:val="21"/>
                    </w:rPr>
                  </w:pPr>
                  <w:r>
                    <w:rPr>
                      <w:rFonts w:hint="eastAsia"/>
                      <w:bCs/>
                      <w:color w:val="auto"/>
                      <w:szCs w:val="21"/>
                    </w:rPr>
                    <w:t>清丰中州水务有限公司第二污水处理厂</w:t>
                  </w:r>
                  <w:r>
                    <w:rPr>
                      <w:bCs/>
                      <w:color w:val="auto"/>
                      <w:szCs w:val="21"/>
                    </w:rPr>
                    <w:t>受纳水质标准以及《污水综合排放标准》（GB8978-1996）表4三级标准（COD：</w:t>
                  </w:r>
                  <w:r>
                    <w:rPr>
                      <w:bCs/>
                      <w:color w:val="auto"/>
                    </w:rPr>
                    <w:t>350mg/L</w:t>
                  </w:r>
                  <w:r>
                    <w:rPr>
                      <w:bCs/>
                      <w:color w:val="auto"/>
                      <w:szCs w:val="21"/>
                    </w:rPr>
                    <w:t>，BOD</w:t>
                  </w:r>
                  <w:r>
                    <w:rPr>
                      <w:bCs/>
                      <w:color w:val="auto"/>
                      <w:szCs w:val="21"/>
                      <w:vertAlign w:val="subscript"/>
                    </w:rPr>
                    <w:t>5</w:t>
                  </w:r>
                  <w:r>
                    <w:rPr>
                      <w:bCs/>
                      <w:color w:val="auto"/>
                      <w:szCs w:val="21"/>
                    </w:rPr>
                    <w:t>：</w:t>
                  </w:r>
                  <w:r>
                    <w:rPr>
                      <w:bCs/>
                      <w:color w:val="auto"/>
                    </w:rPr>
                    <w:t>170mg/L</w:t>
                  </w:r>
                  <w:r>
                    <w:rPr>
                      <w:bCs/>
                      <w:color w:val="auto"/>
                      <w:szCs w:val="21"/>
                    </w:rPr>
                    <w:t>，SS：</w:t>
                  </w:r>
                  <w:r>
                    <w:rPr>
                      <w:bCs/>
                      <w:color w:val="auto"/>
                    </w:rPr>
                    <w:t>210mg/L</w:t>
                  </w:r>
                  <w:r>
                    <w:rPr>
                      <w:bCs/>
                      <w:color w:val="auto"/>
                      <w:szCs w:val="21"/>
                    </w:rPr>
                    <w:t>，NH</w:t>
                  </w:r>
                  <w:r>
                    <w:rPr>
                      <w:bCs/>
                      <w:color w:val="auto"/>
                      <w:szCs w:val="21"/>
                      <w:vertAlign w:val="subscript"/>
                    </w:rPr>
                    <w:t>3</w:t>
                  </w:r>
                  <w:r>
                    <w:rPr>
                      <w:bCs/>
                      <w:color w:val="auto"/>
                      <w:szCs w:val="21"/>
                    </w:rPr>
                    <w:t>-N：</w:t>
                  </w:r>
                  <w:r>
                    <w:rPr>
                      <w:bCs/>
                      <w:color w:val="auto"/>
                    </w:rPr>
                    <w:t>30mg/L</w:t>
                  </w:r>
                  <w:r>
                    <w:rPr>
                      <w:bCs/>
                      <w:color w:val="auto"/>
                      <w:szCs w:val="21"/>
                    </w:rPr>
                    <w:t>）</w:t>
                  </w:r>
                </w:p>
              </w:tc>
              <w:tc>
                <w:tcPr>
                  <w:tcW w:w="1452" w:type="dxa"/>
                  <w:tcMar>
                    <w:left w:w="28" w:type="dxa"/>
                    <w:right w:w="28" w:type="dxa"/>
                  </w:tcMar>
                  <w:vAlign w:val="center"/>
                </w:tcPr>
                <w:p w14:paraId="202E66BB">
                  <w:pPr>
                    <w:jc w:val="center"/>
                    <w:rPr>
                      <w:rFonts w:hint="eastAsia" w:eastAsia="宋体"/>
                      <w:bCs/>
                      <w:color w:val="auto"/>
                      <w:szCs w:val="21"/>
                      <w:lang w:eastAsia="zh-CN"/>
                    </w:rPr>
                  </w:pPr>
                  <w:r>
                    <w:rPr>
                      <w:rFonts w:hint="eastAsia"/>
                      <w:color w:val="auto"/>
                      <w:szCs w:val="21"/>
                      <w:lang w:val="en-US" w:eastAsia="zh-CN"/>
                    </w:rPr>
                    <w:t>自建</w:t>
                  </w:r>
                  <w:r>
                    <w:rPr>
                      <w:rFonts w:hint="eastAsia"/>
                      <w:color w:val="auto"/>
                      <w:szCs w:val="21"/>
                    </w:rPr>
                    <w:t>化粪池</w:t>
                  </w:r>
                  <w:r>
                    <w:rPr>
                      <w:rFonts w:hint="eastAsia"/>
                      <w:color w:val="auto"/>
                      <w:lang w:eastAsia="zh-CN"/>
                    </w:rPr>
                    <w:t>（</w:t>
                  </w:r>
                  <w:r>
                    <w:rPr>
                      <w:rFonts w:hint="eastAsia"/>
                      <w:color w:val="auto"/>
                      <w:lang w:val="en-US" w:eastAsia="zh-CN"/>
                    </w:rPr>
                    <w:t>12m</w:t>
                  </w:r>
                  <w:r>
                    <w:rPr>
                      <w:rFonts w:hint="eastAsia"/>
                      <w:color w:val="auto"/>
                      <w:vertAlign w:val="superscript"/>
                      <w:lang w:val="en-US" w:eastAsia="zh-CN"/>
                    </w:rPr>
                    <w:t>3</w:t>
                  </w:r>
                  <w:r>
                    <w:rPr>
                      <w:rFonts w:hint="eastAsia"/>
                      <w:color w:val="auto"/>
                      <w:lang w:eastAsia="zh-CN"/>
                    </w:rPr>
                    <w:t>）</w:t>
                  </w:r>
                </w:p>
              </w:tc>
            </w:tr>
            <w:tr w14:paraId="3FD70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5" w:type="dxa"/>
                  <w:vMerge w:val="restart"/>
                  <w:tcMar>
                    <w:left w:w="28" w:type="dxa"/>
                    <w:right w:w="28" w:type="dxa"/>
                  </w:tcMar>
                  <w:vAlign w:val="center"/>
                </w:tcPr>
                <w:p w14:paraId="4A41D26A">
                  <w:pPr>
                    <w:jc w:val="center"/>
                    <w:rPr>
                      <w:bCs/>
                      <w:color w:val="auto"/>
                      <w:szCs w:val="21"/>
                    </w:rPr>
                  </w:pPr>
                  <w:r>
                    <w:rPr>
                      <w:bCs/>
                      <w:color w:val="auto"/>
                      <w:szCs w:val="21"/>
                    </w:rPr>
                    <w:t>固废</w:t>
                  </w:r>
                </w:p>
              </w:tc>
              <w:tc>
                <w:tcPr>
                  <w:tcW w:w="1398" w:type="dxa"/>
                  <w:vAlign w:val="center"/>
                </w:tcPr>
                <w:p w14:paraId="5441AF02">
                  <w:pPr>
                    <w:jc w:val="center"/>
                    <w:rPr>
                      <w:color w:val="auto"/>
                      <w:szCs w:val="21"/>
                    </w:rPr>
                  </w:pPr>
                  <w:r>
                    <w:rPr>
                      <w:rFonts w:hint="eastAsia"/>
                      <w:color w:val="auto"/>
                      <w:szCs w:val="21"/>
                    </w:rPr>
                    <w:t>废</w:t>
                  </w:r>
                  <w:r>
                    <w:rPr>
                      <w:color w:val="auto"/>
                      <w:szCs w:val="21"/>
                    </w:rPr>
                    <w:t>边角料</w:t>
                  </w:r>
                </w:p>
              </w:tc>
              <w:tc>
                <w:tcPr>
                  <w:tcW w:w="2151" w:type="dxa"/>
                  <w:vMerge w:val="restart"/>
                  <w:tcMar>
                    <w:left w:w="28" w:type="dxa"/>
                    <w:right w:w="28" w:type="dxa"/>
                  </w:tcMar>
                  <w:vAlign w:val="center"/>
                </w:tcPr>
                <w:p w14:paraId="50A161AC">
                  <w:pPr>
                    <w:jc w:val="center"/>
                    <w:rPr>
                      <w:bCs/>
                      <w:color w:val="auto"/>
                      <w:szCs w:val="21"/>
                    </w:rPr>
                  </w:pPr>
                  <w:r>
                    <w:rPr>
                      <w:bCs/>
                      <w:color w:val="auto"/>
                      <w:szCs w:val="21"/>
                    </w:rPr>
                    <w:t>一般固废堆放间，收集后外售</w:t>
                  </w:r>
                </w:p>
              </w:tc>
              <w:tc>
                <w:tcPr>
                  <w:tcW w:w="3192" w:type="dxa"/>
                  <w:vMerge w:val="restart"/>
                  <w:vAlign w:val="center"/>
                </w:tcPr>
                <w:p w14:paraId="3DE497EF">
                  <w:pPr>
                    <w:jc w:val="center"/>
                    <w:rPr>
                      <w:bCs/>
                      <w:color w:val="auto"/>
                      <w:szCs w:val="21"/>
                    </w:rPr>
                  </w:pPr>
                  <w:r>
                    <w:rPr>
                      <w:bCs/>
                      <w:color w:val="auto"/>
                      <w:szCs w:val="21"/>
                    </w:rPr>
                    <w:t>《一般工业固体废物贮存和填埋污染控制标准》（GB18599-2020）</w:t>
                  </w:r>
                </w:p>
              </w:tc>
              <w:tc>
                <w:tcPr>
                  <w:tcW w:w="1452" w:type="dxa"/>
                  <w:vMerge w:val="restart"/>
                  <w:vAlign w:val="center"/>
                </w:tcPr>
                <w:p w14:paraId="730FF73A">
                  <w:pPr>
                    <w:jc w:val="center"/>
                    <w:rPr>
                      <w:bCs/>
                      <w:color w:val="auto"/>
                      <w:szCs w:val="21"/>
                    </w:rPr>
                  </w:pPr>
                  <w:r>
                    <w:rPr>
                      <w:bCs/>
                      <w:color w:val="auto"/>
                      <w:szCs w:val="21"/>
                    </w:rPr>
                    <w:t>1×</w:t>
                  </w:r>
                  <w:r>
                    <w:rPr>
                      <w:rFonts w:hint="eastAsia"/>
                      <w:bCs/>
                      <w:color w:val="auto"/>
                      <w:szCs w:val="21"/>
                    </w:rPr>
                    <w:t>2</w:t>
                  </w:r>
                  <w:r>
                    <w:rPr>
                      <w:bCs/>
                      <w:color w:val="auto"/>
                      <w:szCs w:val="21"/>
                    </w:rPr>
                    <w:t>0m</w:t>
                  </w:r>
                  <w:r>
                    <w:rPr>
                      <w:bCs/>
                      <w:color w:val="auto"/>
                      <w:szCs w:val="21"/>
                      <w:vertAlign w:val="superscript"/>
                    </w:rPr>
                    <w:t>2</w:t>
                  </w:r>
                  <w:r>
                    <w:rPr>
                      <w:bCs/>
                      <w:color w:val="auto"/>
                      <w:szCs w:val="21"/>
                    </w:rPr>
                    <w:t>一般固废堆放间</w:t>
                  </w:r>
                </w:p>
              </w:tc>
            </w:tr>
            <w:tr w14:paraId="3D713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5" w:type="dxa"/>
                  <w:vMerge w:val="continue"/>
                  <w:tcMar>
                    <w:left w:w="28" w:type="dxa"/>
                    <w:right w:w="28" w:type="dxa"/>
                  </w:tcMar>
                  <w:vAlign w:val="center"/>
                </w:tcPr>
                <w:p w14:paraId="63FED51C">
                  <w:pPr>
                    <w:jc w:val="center"/>
                    <w:rPr>
                      <w:bCs/>
                      <w:color w:val="auto"/>
                      <w:szCs w:val="21"/>
                    </w:rPr>
                  </w:pPr>
                </w:p>
              </w:tc>
              <w:tc>
                <w:tcPr>
                  <w:tcW w:w="1398" w:type="dxa"/>
                  <w:vAlign w:val="center"/>
                </w:tcPr>
                <w:p w14:paraId="1111EB60">
                  <w:pPr>
                    <w:jc w:val="center"/>
                    <w:rPr>
                      <w:rFonts w:hint="eastAsia"/>
                      <w:color w:val="auto"/>
                      <w:szCs w:val="21"/>
                    </w:rPr>
                  </w:pPr>
                  <w:r>
                    <w:rPr>
                      <w:rFonts w:hint="eastAsia"/>
                      <w:color w:val="auto"/>
                      <w:szCs w:val="21"/>
                    </w:rPr>
                    <w:t>除尘器收尘</w:t>
                  </w:r>
                </w:p>
              </w:tc>
              <w:tc>
                <w:tcPr>
                  <w:tcW w:w="2151" w:type="dxa"/>
                  <w:vMerge w:val="continue"/>
                  <w:tcMar>
                    <w:left w:w="28" w:type="dxa"/>
                    <w:right w:w="28" w:type="dxa"/>
                  </w:tcMar>
                  <w:vAlign w:val="center"/>
                </w:tcPr>
                <w:p w14:paraId="6F637FDE">
                  <w:pPr>
                    <w:jc w:val="center"/>
                    <w:rPr>
                      <w:bCs/>
                      <w:color w:val="auto"/>
                      <w:szCs w:val="21"/>
                    </w:rPr>
                  </w:pPr>
                </w:p>
              </w:tc>
              <w:tc>
                <w:tcPr>
                  <w:tcW w:w="3192" w:type="dxa"/>
                  <w:vMerge w:val="continue"/>
                  <w:vAlign w:val="center"/>
                </w:tcPr>
                <w:p w14:paraId="39FF310B">
                  <w:pPr>
                    <w:jc w:val="center"/>
                    <w:rPr>
                      <w:bCs/>
                      <w:color w:val="auto"/>
                      <w:szCs w:val="21"/>
                    </w:rPr>
                  </w:pPr>
                </w:p>
              </w:tc>
              <w:tc>
                <w:tcPr>
                  <w:tcW w:w="1452" w:type="dxa"/>
                  <w:vMerge w:val="continue"/>
                  <w:vAlign w:val="center"/>
                </w:tcPr>
                <w:p w14:paraId="3E61BA03">
                  <w:pPr>
                    <w:jc w:val="center"/>
                    <w:rPr>
                      <w:bCs/>
                      <w:color w:val="auto"/>
                      <w:szCs w:val="21"/>
                    </w:rPr>
                  </w:pPr>
                </w:p>
              </w:tc>
            </w:tr>
            <w:tr w14:paraId="018E9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5" w:type="dxa"/>
                  <w:vMerge w:val="continue"/>
                  <w:tcMar>
                    <w:left w:w="28" w:type="dxa"/>
                    <w:right w:w="28" w:type="dxa"/>
                  </w:tcMar>
                  <w:vAlign w:val="center"/>
                </w:tcPr>
                <w:p w14:paraId="1DA64BE4">
                  <w:pPr>
                    <w:jc w:val="center"/>
                    <w:rPr>
                      <w:bCs/>
                      <w:color w:val="auto"/>
                      <w:szCs w:val="21"/>
                    </w:rPr>
                  </w:pPr>
                </w:p>
              </w:tc>
              <w:tc>
                <w:tcPr>
                  <w:tcW w:w="1398" w:type="dxa"/>
                  <w:vAlign w:val="center"/>
                </w:tcPr>
                <w:p w14:paraId="12D36ACE">
                  <w:pPr>
                    <w:jc w:val="center"/>
                    <w:rPr>
                      <w:color w:val="auto"/>
                      <w:szCs w:val="21"/>
                    </w:rPr>
                  </w:pPr>
                  <w:r>
                    <w:rPr>
                      <w:rFonts w:hint="eastAsia"/>
                      <w:color w:val="auto"/>
                      <w:szCs w:val="21"/>
                    </w:rPr>
                    <w:t>废砂纸</w:t>
                  </w:r>
                </w:p>
              </w:tc>
              <w:tc>
                <w:tcPr>
                  <w:tcW w:w="2151" w:type="dxa"/>
                  <w:vMerge w:val="continue"/>
                  <w:tcMar>
                    <w:left w:w="28" w:type="dxa"/>
                    <w:right w:w="28" w:type="dxa"/>
                  </w:tcMar>
                  <w:vAlign w:val="center"/>
                </w:tcPr>
                <w:p w14:paraId="7534D473">
                  <w:pPr>
                    <w:jc w:val="center"/>
                    <w:rPr>
                      <w:bCs/>
                      <w:color w:val="auto"/>
                      <w:szCs w:val="21"/>
                    </w:rPr>
                  </w:pPr>
                </w:p>
              </w:tc>
              <w:tc>
                <w:tcPr>
                  <w:tcW w:w="3192" w:type="dxa"/>
                  <w:vMerge w:val="continue"/>
                  <w:vAlign w:val="center"/>
                </w:tcPr>
                <w:p w14:paraId="51F9E059">
                  <w:pPr>
                    <w:jc w:val="center"/>
                    <w:rPr>
                      <w:bCs/>
                      <w:color w:val="auto"/>
                      <w:szCs w:val="21"/>
                    </w:rPr>
                  </w:pPr>
                </w:p>
              </w:tc>
              <w:tc>
                <w:tcPr>
                  <w:tcW w:w="1452" w:type="dxa"/>
                  <w:vMerge w:val="continue"/>
                  <w:vAlign w:val="center"/>
                </w:tcPr>
                <w:p w14:paraId="45AFDC6F">
                  <w:pPr>
                    <w:jc w:val="center"/>
                    <w:rPr>
                      <w:bCs/>
                      <w:color w:val="auto"/>
                      <w:szCs w:val="21"/>
                    </w:rPr>
                  </w:pPr>
                </w:p>
              </w:tc>
            </w:tr>
            <w:tr w14:paraId="340AD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35" w:type="dxa"/>
                  <w:vMerge w:val="continue"/>
                  <w:tcMar>
                    <w:left w:w="28" w:type="dxa"/>
                    <w:right w:w="28" w:type="dxa"/>
                  </w:tcMar>
                  <w:vAlign w:val="center"/>
                </w:tcPr>
                <w:p w14:paraId="7389776B">
                  <w:pPr>
                    <w:jc w:val="center"/>
                    <w:rPr>
                      <w:bCs/>
                      <w:color w:val="auto"/>
                      <w:szCs w:val="21"/>
                    </w:rPr>
                  </w:pPr>
                </w:p>
              </w:tc>
              <w:tc>
                <w:tcPr>
                  <w:tcW w:w="1398" w:type="dxa"/>
                  <w:vAlign w:val="center"/>
                </w:tcPr>
                <w:p w14:paraId="422FA78A">
                  <w:pPr>
                    <w:jc w:val="center"/>
                    <w:rPr>
                      <w:rFonts w:hint="default" w:eastAsia="宋体"/>
                      <w:b/>
                      <w:bCs/>
                      <w:color w:val="auto"/>
                      <w:szCs w:val="21"/>
                      <w:u w:val="single"/>
                      <w:lang w:val="en-US" w:eastAsia="zh-CN"/>
                    </w:rPr>
                  </w:pPr>
                  <w:r>
                    <w:rPr>
                      <w:rFonts w:hint="eastAsia"/>
                      <w:b/>
                      <w:bCs/>
                      <w:color w:val="auto"/>
                      <w:szCs w:val="21"/>
                      <w:u w:val="single"/>
                      <w:lang w:val="en-US" w:eastAsia="zh-CN"/>
                    </w:rPr>
                    <w:t>饮水机RO膜</w:t>
                  </w:r>
                </w:p>
              </w:tc>
              <w:tc>
                <w:tcPr>
                  <w:tcW w:w="2151" w:type="dxa"/>
                  <w:tcMar>
                    <w:left w:w="28" w:type="dxa"/>
                    <w:right w:w="28" w:type="dxa"/>
                  </w:tcMar>
                  <w:vAlign w:val="center"/>
                </w:tcPr>
                <w:p w14:paraId="00127C0C">
                  <w:pPr>
                    <w:jc w:val="center"/>
                    <w:rPr>
                      <w:rFonts w:hint="default" w:eastAsia="宋体"/>
                      <w:b/>
                      <w:bCs/>
                      <w:color w:val="auto"/>
                      <w:szCs w:val="21"/>
                      <w:u w:val="single"/>
                      <w:lang w:val="en-US" w:eastAsia="zh-CN"/>
                    </w:rPr>
                  </w:pPr>
                  <w:r>
                    <w:rPr>
                      <w:rFonts w:hint="eastAsia"/>
                      <w:b/>
                      <w:bCs/>
                      <w:color w:val="auto"/>
                      <w:szCs w:val="21"/>
                      <w:u w:val="single"/>
                      <w:lang w:val="en-US" w:eastAsia="zh-CN"/>
                    </w:rPr>
                    <w:t>一年更换一次，由厂家回收处理</w:t>
                  </w:r>
                </w:p>
              </w:tc>
              <w:tc>
                <w:tcPr>
                  <w:tcW w:w="3192" w:type="dxa"/>
                  <w:vMerge w:val="continue"/>
                  <w:vAlign w:val="center"/>
                </w:tcPr>
                <w:p w14:paraId="2110C25F">
                  <w:pPr>
                    <w:jc w:val="center"/>
                    <w:rPr>
                      <w:bCs/>
                      <w:color w:val="auto"/>
                      <w:szCs w:val="21"/>
                    </w:rPr>
                  </w:pPr>
                </w:p>
              </w:tc>
              <w:tc>
                <w:tcPr>
                  <w:tcW w:w="1452" w:type="dxa"/>
                  <w:vMerge w:val="continue"/>
                  <w:vAlign w:val="center"/>
                </w:tcPr>
                <w:p w14:paraId="05298D90">
                  <w:pPr>
                    <w:jc w:val="center"/>
                    <w:rPr>
                      <w:bCs/>
                      <w:color w:val="auto"/>
                      <w:szCs w:val="21"/>
                    </w:rPr>
                  </w:pPr>
                </w:p>
              </w:tc>
            </w:tr>
            <w:tr w14:paraId="49330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5" w:type="dxa"/>
                  <w:vMerge w:val="continue"/>
                  <w:tcMar>
                    <w:left w:w="28" w:type="dxa"/>
                    <w:right w:w="28" w:type="dxa"/>
                  </w:tcMar>
                  <w:vAlign w:val="center"/>
                </w:tcPr>
                <w:p w14:paraId="6B64810C">
                  <w:pPr>
                    <w:jc w:val="center"/>
                    <w:rPr>
                      <w:bCs/>
                      <w:color w:val="auto"/>
                      <w:szCs w:val="21"/>
                    </w:rPr>
                  </w:pPr>
                </w:p>
              </w:tc>
              <w:tc>
                <w:tcPr>
                  <w:tcW w:w="1398" w:type="dxa"/>
                  <w:vAlign w:val="center"/>
                </w:tcPr>
                <w:p w14:paraId="145DA682">
                  <w:pPr>
                    <w:topLinePunct/>
                    <w:jc w:val="center"/>
                    <w:rPr>
                      <w:color w:val="auto"/>
                      <w:szCs w:val="21"/>
                    </w:rPr>
                  </w:pPr>
                  <w:r>
                    <w:rPr>
                      <w:color w:val="auto"/>
                      <w:szCs w:val="21"/>
                    </w:rPr>
                    <w:t>生活垃圾</w:t>
                  </w:r>
                </w:p>
              </w:tc>
              <w:tc>
                <w:tcPr>
                  <w:tcW w:w="2151" w:type="dxa"/>
                  <w:tcMar>
                    <w:left w:w="28" w:type="dxa"/>
                    <w:right w:w="28" w:type="dxa"/>
                  </w:tcMar>
                  <w:vAlign w:val="center"/>
                </w:tcPr>
                <w:p w14:paraId="403B6FAE">
                  <w:pPr>
                    <w:jc w:val="center"/>
                    <w:rPr>
                      <w:bCs/>
                      <w:color w:val="auto"/>
                      <w:szCs w:val="21"/>
                    </w:rPr>
                  </w:pPr>
                  <w:r>
                    <w:rPr>
                      <w:bCs/>
                      <w:color w:val="auto"/>
                      <w:szCs w:val="21"/>
                    </w:rPr>
                    <w:t>垃圾桶，交环卫部门集中处理</w:t>
                  </w:r>
                </w:p>
              </w:tc>
              <w:tc>
                <w:tcPr>
                  <w:tcW w:w="3192" w:type="dxa"/>
                  <w:vMerge w:val="continue"/>
                  <w:vAlign w:val="center"/>
                </w:tcPr>
                <w:p w14:paraId="6EF539DF">
                  <w:pPr>
                    <w:jc w:val="center"/>
                    <w:rPr>
                      <w:bCs/>
                      <w:color w:val="auto"/>
                      <w:szCs w:val="21"/>
                    </w:rPr>
                  </w:pPr>
                </w:p>
              </w:tc>
              <w:tc>
                <w:tcPr>
                  <w:tcW w:w="1452" w:type="dxa"/>
                  <w:vAlign w:val="center"/>
                </w:tcPr>
                <w:p w14:paraId="7188B871">
                  <w:pPr>
                    <w:jc w:val="center"/>
                    <w:rPr>
                      <w:bCs/>
                      <w:color w:val="auto"/>
                      <w:szCs w:val="21"/>
                    </w:rPr>
                  </w:pPr>
                  <w:r>
                    <w:rPr>
                      <w:bCs/>
                      <w:color w:val="auto"/>
                      <w:szCs w:val="21"/>
                    </w:rPr>
                    <w:t>垃圾桶</w:t>
                  </w:r>
                </w:p>
              </w:tc>
            </w:tr>
            <w:tr w14:paraId="1212F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435" w:type="dxa"/>
                  <w:vMerge w:val="continue"/>
                  <w:tcMar>
                    <w:left w:w="28" w:type="dxa"/>
                    <w:right w:w="28" w:type="dxa"/>
                  </w:tcMar>
                  <w:vAlign w:val="center"/>
                </w:tcPr>
                <w:p w14:paraId="1D31EE75">
                  <w:pPr>
                    <w:jc w:val="center"/>
                    <w:rPr>
                      <w:bCs/>
                      <w:color w:val="auto"/>
                      <w:szCs w:val="21"/>
                    </w:rPr>
                  </w:pPr>
                </w:p>
              </w:tc>
              <w:tc>
                <w:tcPr>
                  <w:tcW w:w="1398" w:type="dxa"/>
                  <w:vAlign w:val="center"/>
                </w:tcPr>
                <w:p w14:paraId="36DDB416">
                  <w:pPr>
                    <w:topLinePunct/>
                    <w:jc w:val="center"/>
                    <w:rPr>
                      <w:rFonts w:hint="default" w:eastAsia="宋体"/>
                      <w:color w:val="auto"/>
                      <w:szCs w:val="21"/>
                      <w:lang w:val="en-US" w:eastAsia="zh-CN"/>
                    </w:rPr>
                  </w:pPr>
                  <w:r>
                    <w:rPr>
                      <w:rFonts w:hint="eastAsia"/>
                      <w:b/>
                      <w:bCs/>
                      <w:color w:val="auto"/>
                      <w:szCs w:val="21"/>
                      <w:u w:val="single"/>
                      <w:lang w:val="en-US" w:eastAsia="zh-CN"/>
                    </w:rPr>
                    <w:t>油磨粉尘</w:t>
                  </w:r>
                </w:p>
              </w:tc>
              <w:tc>
                <w:tcPr>
                  <w:tcW w:w="2151" w:type="dxa"/>
                  <w:vMerge w:val="restart"/>
                  <w:tcMar>
                    <w:left w:w="28" w:type="dxa"/>
                    <w:right w:w="28" w:type="dxa"/>
                  </w:tcMar>
                  <w:vAlign w:val="center"/>
                </w:tcPr>
                <w:p w14:paraId="3F5B2993">
                  <w:pPr>
                    <w:jc w:val="center"/>
                    <w:rPr>
                      <w:bCs/>
                      <w:color w:val="auto"/>
                      <w:szCs w:val="21"/>
                      <w:shd w:val="clear" w:color="auto" w:fill="FFFFFF"/>
                    </w:rPr>
                  </w:pPr>
                  <w:r>
                    <w:rPr>
                      <w:bCs/>
                      <w:color w:val="auto"/>
                      <w:szCs w:val="21"/>
                      <w:shd w:val="clear" w:color="auto" w:fill="FFFFFF"/>
                    </w:rPr>
                    <w:t>在危废暂存间暂存后，定期交由有危险废物处置资质单位处理</w:t>
                  </w:r>
                </w:p>
              </w:tc>
              <w:tc>
                <w:tcPr>
                  <w:tcW w:w="3192" w:type="dxa"/>
                  <w:vMerge w:val="restart"/>
                  <w:vAlign w:val="center"/>
                </w:tcPr>
                <w:p w14:paraId="3F981E0F">
                  <w:pPr>
                    <w:jc w:val="center"/>
                    <w:rPr>
                      <w:bCs/>
                      <w:color w:val="auto"/>
                      <w:szCs w:val="21"/>
                    </w:rPr>
                  </w:pPr>
                  <w:r>
                    <w:rPr>
                      <w:bCs/>
                      <w:color w:val="auto"/>
                      <w:szCs w:val="21"/>
                    </w:rPr>
                    <w:t>《危险废物贮存污染控制标准》（GB18597-20</w:t>
                  </w:r>
                  <w:r>
                    <w:rPr>
                      <w:rFonts w:hint="eastAsia"/>
                      <w:bCs/>
                      <w:color w:val="auto"/>
                      <w:szCs w:val="21"/>
                    </w:rPr>
                    <w:t>23</w:t>
                  </w:r>
                  <w:r>
                    <w:rPr>
                      <w:bCs/>
                      <w:color w:val="auto"/>
                      <w:szCs w:val="21"/>
                    </w:rPr>
                    <w:t>）</w:t>
                  </w:r>
                </w:p>
              </w:tc>
              <w:tc>
                <w:tcPr>
                  <w:tcW w:w="1452" w:type="dxa"/>
                  <w:vMerge w:val="restart"/>
                  <w:vAlign w:val="center"/>
                </w:tcPr>
                <w:p w14:paraId="67E7B955">
                  <w:pPr>
                    <w:jc w:val="center"/>
                    <w:rPr>
                      <w:bCs/>
                      <w:color w:val="auto"/>
                      <w:szCs w:val="21"/>
                    </w:rPr>
                  </w:pPr>
                  <w:r>
                    <w:rPr>
                      <w:bCs/>
                      <w:color w:val="auto"/>
                      <w:szCs w:val="21"/>
                    </w:rPr>
                    <w:t>1×</w:t>
                  </w:r>
                  <w:r>
                    <w:rPr>
                      <w:rFonts w:hint="eastAsia"/>
                      <w:bCs/>
                      <w:color w:val="auto"/>
                      <w:szCs w:val="21"/>
                    </w:rPr>
                    <w:t>1</w:t>
                  </w:r>
                  <w:r>
                    <w:rPr>
                      <w:bCs/>
                      <w:color w:val="auto"/>
                      <w:szCs w:val="21"/>
                    </w:rPr>
                    <w:t>0m</w:t>
                  </w:r>
                  <w:r>
                    <w:rPr>
                      <w:bCs/>
                      <w:color w:val="auto"/>
                      <w:szCs w:val="21"/>
                      <w:vertAlign w:val="superscript"/>
                    </w:rPr>
                    <w:t>2</w:t>
                  </w:r>
                  <w:r>
                    <w:rPr>
                      <w:bCs/>
                      <w:color w:val="auto"/>
                      <w:szCs w:val="21"/>
                    </w:rPr>
                    <w:t>危废间</w:t>
                  </w:r>
                </w:p>
              </w:tc>
            </w:tr>
            <w:tr w14:paraId="44379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5" w:type="dxa"/>
                  <w:vMerge w:val="continue"/>
                  <w:tcMar>
                    <w:left w:w="28" w:type="dxa"/>
                    <w:right w:w="28" w:type="dxa"/>
                  </w:tcMar>
                  <w:vAlign w:val="center"/>
                </w:tcPr>
                <w:p w14:paraId="19AFC2CA">
                  <w:pPr>
                    <w:jc w:val="center"/>
                    <w:rPr>
                      <w:bCs/>
                      <w:color w:val="auto"/>
                      <w:szCs w:val="21"/>
                    </w:rPr>
                  </w:pPr>
                </w:p>
              </w:tc>
              <w:tc>
                <w:tcPr>
                  <w:tcW w:w="1398" w:type="dxa"/>
                  <w:vAlign w:val="center"/>
                </w:tcPr>
                <w:p w14:paraId="27F636B1">
                  <w:pPr>
                    <w:topLinePunct/>
                    <w:jc w:val="center"/>
                    <w:rPr>
                      <w:rFonts w:hint="eastAsia"/>
                      <w:color w:val="auto"/>
                      <w:szCs w:val="21"/>
                    </w:rPr>
                  </w:pPr>
                  <w:r>
                    <w:rPr>
                      <w:rFonts w:hint="eastAsia"/>
                      <w:color w:val="auto"/>
                      <w:szCs w:val="21"/>
                    </w:rPr>
                    <w:t>废破损包装桶</w:t>
                  </w:r>
                </w:p>
              </w:tc>
              <w:tc>
                <w:tcPr>
                  <w:tcW w:w="2151" w:type="dxa"/>
                  <w:vMerge w:val="continue"/>
                  <w:tcMar>
                    <w:left w:w="28" w:type="dxa"/>
                    <w:right w:w="28" w:type="dxa"/>
                  </w:tcMar>
                  <w:vAlign w:val="center"/>
                </w:tcPr>
                <w:p w14:paraId="36481521">
                  <w:pPr>
                    <w:jc w:val="center"/>
                    <w:rPr>
                      <w:bCs/>
                      <w:color w:val="auto"/>
                      <w:szCs w:val="21"/>
                      <w:shd w:val="clear" w:color="auto" w:fill="FFFFFF"/>
                    </w:rPr>
                  </w:pPr>
                </w:p>
              </w:tc>
              <w:tc>
                <w:tcPr>
                  <w:tcW w:w="3192" w:type="dxa"/>
                  <w:vMerge w:val="continue"/>
                  <w:vAlign w:val="center"/>
                </w:tcPr>
                <w:p w14:paraId="45975349">
                  <w:pPr>
                    <w:jc w:val="center"/>
                    <w:rPr>
                      <w:bCs/>
                      <w:color w:val="auto"/>
                      <w:szCs w:val="21"/>
                    </w:rPr>
                  </w:pPr>
                </w:p>
              </w:tc>
              <w:tc>
                <w:tcPr>
                  <w:tcW w:w="1452" w:type="dxa"/>
                  <w:vMerge w:val="continue"/>
                  <w:vAlign w:val="center"/>
                </w:tcPr>
                <w:p w14:paraId="46F9C084">
                  <w:pPr>
                    <w:jc w:val="center"/>
                    <w:rPr>
                      <w:bCs/>
                      <w:color w:val="auto"/>
                      <w:szCs w:val="21"/>
                    </w:rPr>
                  </w:pPr>
                </w:p>
              </w:tc>
            </w:tr>
            <w:tr w14:paraId="53FBF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5" w:type="dxa"/>
                  <w:vMerge w:val="continue"/>
                  <w:tcMar>
                    <w:left w:w="28" w:type="dxa"/>
                    <w:right w:w="28" w:type="dxa"/>
                  </w:tcMar>
                  <w:vAlign w:val="center"/>
                </w:tcPr>
                <w:p w14:paraId="36F8E413">
                  <w:pPr>
                    <w:jc w:val="center"/>
                    <w:rPr>
                      <w:bCs/>
                      <w:color w:val="auto"/>
                      <w:szCs w:val="21"/>
                    </w:rPr>
                  </w:pPr>
                </w:p>
              </w:tc>
              <w:tc>
                <w:tcPr>
                  <w:tcW w:w="1398" w:type="dxa"/>
                  <w:vAlign w:val="center"/>
                </w:tcPr>
                <w:p w14:paraId="7265E341">
                  <w:pPr>
                    <w:topLinePunct/>
                    <w:jc w:val="center"/>
                    <w:rPr>
                      <w:color w:val="auto"/>
                      <w:szCs w:val="21"/>
                    </w:rPr>
                  </w:pPr>
                  <w:r>
                    <w:rPr>
                      <w:rFonts w:hint="eastAsia"/>
                      <w:color w:val="auto"/>
                      <w:szCs w:val="21"/>
                    </w:rPr>
                    <w:t>废活性炭</w:t>
                  </w:r>
                </w:p>
              </w:tc>
              <w:tc>
                <w:tcPr>
                  <w:tcW w:w="2151" w:type="dxa"/>
                  <w:vMerge w:val="continue"/>
                  <w:tcMar>
                    <w:left w:w="28" w:type="dxa"/>
                    <w:right w:w="28" w:type="dxa"/>
                  </w:tcMar>
                  <w:vAlign w:val="center"/>
                </w:tcPr>
                <w:p w14:paraId="58C1F4B7">
                  <w:pPr>
                    <w:jc w:val="center"/>
                    <w:rPr>
                      <w:bCs/>
                      <w:color w:val="auto"/>
                      <w:szCs w:val="21"/>
                      <w:shd w:val="clear" w:color="auto" w:fill="FFFFFF"/>
                    </w:rPr>
                  </w:pPr>
                </w:p>
              </w:tc>
              <w:tc>
                <w:tcPr>
                  <w:tcW w:w="3192" w:type="dxa"/>
                  <w:vMerge w:val="continue"/>
                  <w:vAlign w:val="center"/>
                </w:tcPr>
                <w:p w14:paraId="2775AAD8">
                  <w:pPr>
                    <w:jc w:val="center"/>
                    <w:rPr>
                      <w:bCs/>
                      <w:color w:val="auto"/>
                      <w:szCs w:val="21"/>
                    </w:rPr>
                  </w:pPr>
                </w:p>
              </w:tc>
              <w:tc>
                <w:tcPr>
                  <w:tcW w:w="1452" w:type="dxa"/>
                  <w:vMerge w:val="continue"/>
                  <w:vAlign w:val="center"/>
                </w:tcPr>
                <w:p w14:paraId="5D1F7178">
                  <w:pPr>
                    <w:jc w:val="center"/>
                    <w:rPr>
                      <w:bCs/>
                      <w:color w:val="auto"/>
                      <w:szCs w:val="21"/>
                    </w:rPr>
                  </w:pPr>
                </w:p>
              </w:tc>
            </w:tr>
            <w:tr w14:paraId="72328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5" w:type="dxa"/>
                  <w:vMerge w:val="continue"/>
                  <w:tcMar>
                    <w:left w:w="28" w:type="dxa"/>
                    <w:right w:w="28" w:type="dxa"/>
                  </w:tcMar>
                  <w:vAlign w:val="center"/>
                </w:tcPr>
                <w:p w14:paraId="6D746C2A">
                  <w:pPr>
                    <w:jc w:val="center"/>
                    <w:rPr>
                      <w:bCs/>
                      <w:color w:val="auto"/>
                      <w:szCs w:val="21"/>
                    </w:rPr>
                  </w:pPr>
                </w:p>
              </w:tc>
              <w:tc>
                <w:tcPr>
                  <w:tcW w:w="1398" w:type="dxa"/>
                  <w:vAlign w:val="center"/>
                </w:tcPr>
                <w:p w14:paraId="7AE3BD86">
                  <w:pPr>
                    <w:topLinePunct/>
                    <w:jc w:val="center"/>
                    <w:rPr>
                      <w:color w:val="auto"/>
                      <w:szCs w:val="21"/>
                    </w:rPr>
                  </w:pPr>
                  <w:r>
                    <w:rPr>
                      <w:rFonts w:hint="eastAsia"/>
                      <w:color w:val="auto"/>
                      <w:szCs w:val="21"/>
                      <w:lang w:val="en-US" w:eastAsia="zh-CN"/>
                    </w:rPr>
                    <w:t>废机油、</w:t>
                  </w:r>
                  <w:r>
                    <w:rPr>
                      <w:rFonts w:hint="eastAsia"/>
                      <w:color w:val="auto"/>
                      <w:szCs w:val="21"/>
                    </w:rPr>
                    <w:t>废液压油</w:t>
                  </w:r>
                </w:p>
              </w:tc>
              <w:tc>
                <w:tcPr>
                  <w:tcW w:w="2151" w:type="dxa"/>
                  <w:vMerge w:val="continue"/>
                  <w:tcMar>
                    <w:left w:w="28" w:type="dxa"/>
                    <w:right w:w="28" w:type="dxa"/>
                  </w:tcMar>
                  <w:vAlign w:val="center"/>
                </w:tcPr>
                <w:p w14:paraId="78A73D62">
                  <w:pPr>
                    <w:jc w:val="center"/>
                    <w:rPr>
                      <w:bCs/>
                      <w:color w:val="auto"/>
                      <w:szCs w:val="21"/>
                      <w:shd w:val="clear" w:color="auto" w:fill="FFFFFF"/>
                    </w:rPr>
                  </w:pPr>
                </w:p>
              </w:tc>
              <w:tc>
                <w:tcPr>
                  <w:tcW w:w="3192" w:type="dxa"/>
                  <w:vMerge w:val="continue"/>
                  <w:vAlign w:val="center"/>
                </w:tcPr>
                <w:p w14:paraId="071C4CDB">
                  <w:pPr>
                    <w:jc w:val="center"/>
                    <w:rPr>
                      <w:bCs/>
                      <w:color w:val="auto"/>
                      <w:szCs w:val="21"/>
                    </w:rPr>
                  </w:pPr>
                </w:p>
              </w:tc>
              <w:tc>
                <w:tcPr>
                  <w:tcW w:w="1452" w:type="dxa"/>
                  <w:vMerge w:val="continue"/>
                  <w:vAlign w:val="center"/>
                </w:tcPr>
                <w:p w14:paraId="416EAB81">
                  <w:pPr>
                    <w:jc w:val="center"/>
                    <w:rPr>
                      <w:bCs/>
                      <w:color w:val="auto"/>
                      <w:szCs w:val="21"/>
                    </w:rPr>
                  </w:pPr>
                </w:p>
              </w:tc>
            </w:tr>
            <w:tr w14:paraId="772DA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5" w:type="dxa"/>
                  <w:vMerge w:val="continue"/>
                  <w:tcMar>
                    <w:left w:w="28" w:type="dxa"/>
                    <w:right w:w="28" w:type="dxa"/>
                  </w:tcMar>
                  <w:vAlign w:val="center"/>
                </w:tcPr>
                <w:p w14:paraId="48D7C821">
                  <w:pPr>
                    <w:jc w:val="center"/>
                    <w:rPr>
                      <w:bCs/>
                      <w:color w:val="auto"/>
                      <w:szCs w:val="21"/>
                    </w:rPr>
                  </w:pPr>
                </w:p>
              </w:tc>
              <w:tc>
                <w:tcPr>
                  <w:tcW w:w="1398" w:type="dxa"/>
                  <w:vAlign w:val="center"/>
                </w:tcPr>
                <w:p w14:paraId="0847942E">
                  <w:pPr>
                    <w:topLinePunct/>
                    <w:jc w:val="center"/>
                    <w:rPr>
                      <w:rFonts w:hint="default"/>
                      <w:color w:val="auto"/>
                      <w:szCs w:val="21"/>
                      <w:lang w:val="en-US" w:eastAsia="zh-CN"/>
                    </w:rPr>
                  </w:pPr>
                  <w:r>
                    <w:rPr>
                      <w:rFonts w:hint="eastAsia"/>
                      <w:color w:val="auto"/>
                      <w:szCs w:val="21"/>
                      <w:lang w:val="en-US" w:eastAsia="zh-CN"/>
                    </w:rPr>
                    <w:t>废机油桶、废液压油桶</w:t>
                  </w:r>
                </w:p>
              </w:tc>
              <w:tc>
                <w:tcPr>
                  <w:tcW w:w="2151" w:type="dxa"/>
                  <w:vMerge w:val="continue"/>
                  <w:tcMar>
                    <w:left w:w="28" w:type="dxa"/>
                    <w:right w:w="28" w:type="dxa"/>
                  </w:tcMar>
                  <w:vAlign w:val="center"/>
                </w:tcPr>
                <w:p w14:paraId="39F7BF9A">
                  <w:pPr>
                    <w:jc w:val="center"/>
                    <w:rPr>
                      <w:bCs/>
                      <w:color w:val="auto"/>
                      <w:szCs w:val="21"/>
                      <w:shd w:val="clear" w:color="auto" w:fill="FFFFFF"/>
                    </w:rPr>
                  </w:pPr>
                </w:p>
              </w:tc>
              <w:tc>
                <w:tcPr>
                  <w:tcW w:w="3192" w:type="dxa"/>
                  <w:vMerge w:val="continue"/>
                  <w:vAlign w:val="center"/>
                </w:tcPr>
                <w:p w14:paraId="32CD0FA7">
                  <w:pPr>
                    <w:jc w:val="center"/>
                    <w:rPr>
                      <w:bCs/>
                      <w:color w:val="auto"/>
                      <w:szCs w:val="21"/>
                    </w:rPr>
                  </w:pPr>
                </w:p>
              </w:tc>
              <w:tc>
                <w:tcPr>
                  <w:tcW w:w="1452" w:type="dxa"/>
                  <w:vMerge w:val="continue"/>
                  <w:vAlign w:val="center"/>
                </w:tcPr>
                <w:p w14:paraId="616077CC">
                  <w:pPr>
                    <w:jc w:val="center"/>
                    <w:rPr>
                      <w:bCs/>
                      <w:color w:val="auto"/>
                      <w:szCs w:val="21"/>
                    </w:rPr>
                  </w:pPr>
                </w:p>
              </w:tc>
            </w:tr>
            <w:tr w14:paraId="65B9D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435" w:type="dxa"/>
                  <w:vMerge w:val="continue"/>
                  <w:tcMar>
                    <w:left w:w="28" w:type="dxa"/>
                    <w:right w:w="28" w:type="dxa"/>
                  </w:tcMar>
                  <w:vAlign w:val="center"/>
                </w:tcPr>
                <w:p w14:paraId="03858678">
                  <w:pPr>
                    <w:jc w:val="center"/>
                    <w:rPr>
                      <w:bCs/>
                      <w:color w:val="auto"/>
                      <w:szCs w:val="21"/>
                    </w:rPr>
                  </w:pPr>
                </w:p>
              </w:tc>
              <w:tc>
                <w:tcPr>
                  <w:tcW w:w="1398" w:type="dxa"/>
                  <w:tcBorders>
                    <w:top w:val="single" w:color="000000" w:sz="4" w:space="0"/>
                    <w:bottom w:val="single" w:color="000000" w:sz="4" w:space="0"/>
                  </w:tcBorders>
                  <w:vAlign w:val="center"/>
                </w:tcPr>
                <w:p w14:paraId="7CE91FEA">
                  <w:pPr>
                    <w:topLinePunct/>
                    <w:jc w:val="center"/>
                    <w:rPr>
                      <w:color w:val="auto"/>
                      <w:szCs w:val="21"/>
                    </w:rPr>
                  </w:pPr>
                  <w:r>
                    <w:rPr>
                      <w:rFonts w:hint="eastAsia"/>
                      <w:color w:val="auto"/>
                      <w:szCs w:val="21"/>
                    </w:rPr>
                    <w:t>废过滤棉</w:t>
                  </w:r>
                </w:p>
              </w:tc>
              <w:tc>
                <w:tcPr>
                  <w:tcW w:w="2151" w:type="dxa"/>
                  <w:vMerge w:val="continue"/>
                  <w:tcMar>
                    <w:left w:w="28" w:type="dxa"/>
                    <w:right w:w="28" w:type="dxa"/>
                  </w:tcMar>
                  <w:vAlign w:val="center"/>
                </w:tcPr>
                <w:p w14:paraId="3F49FD44">
                  <w:pPr>
                    <w:jc w:val="center"/>
                    <w:rPr>
                      <w:bCs/>
                      <w:color w:val="auto"/>
                      <w:szCs w:val="21"/>
                      <w:shd w:val="clear" w:color="auto" w:fill="FFFFFF"/>
                    </w:rPr>
                  </w:pPr>
                </w:p>
              </w:tc>
              <w:tc>
                <w:tcPr>
                  <w:tcW w:w="3192" w:type="dxa"/>
                  <w:vMerge w:val="continue"/>
                  <w:vAlign w:val="center"/>
                </w:tcPr>
                <w:p w14:paraId="6D2C2C83">
                  <w:pPr>
                    <w:jc w:val="center"/>
                    <w:rPr>
                      <w:bCs/>
                      <w:color w:val="auto"/>
                      <w:szCs w:val="21"/>
                    </w:rPr>
                  </w:pPr>
                </w:p>
              </w:tc>
              <w:tc>
                <w:tcPr>
                  <w:tcW w:w="1452" w:type="dxa"/>
                  <w:vMerge w:val="continue"/>
                  <w:vAlign w:val="center"/>
                </w:tcPr>
                <w:p w14:paraId="237F73EC">
                  <w:pPr>
                    <w:jc w:val="center"/>
                    <w:rPr>
                      <w:bCs/>
                      <w:color w:val="auto"/>
                      <w:szCs w:val="21"/>
                    </w:rPr>
                  </w:pPr>
                </w:p>
              </w:tc>
            </w:tr>
            <w:tr w14:paraId="45713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435" w:type="dxa"/>
                  <w:vMerge w:val="continue"/>
                  <w:tcMar>
                    <w:left w:w="28" w:type="dxa"/>
                    <w:right w:w="28" w:type="dxa"/>
                  </w:tcMar>
                  <w:vAlign w:val="center"/>
                </w:tcPr>
                <w:p w14:paraId="3ACA4AFB">
                  <w:pPr>
                    <w:jc w:val="center"/>
                    <w:rPr>
                      <w:bCs/>
                      <w:color w:val="auto"/>
                      <w:szCs w:val="21"/>
                    </w:rPr>
                  </w:pPr>
                </w:p>
              </w:tc>
              <w:tc>
                <w:tcPr>
                  <w:tcW w:w="1398" w:type="dxa"/>
                  <w:tcBorders>
                    <w:top w:val="single" w:color="000000" w:sz="4" w:space="0"/>
                  </w:tcBorders>
                  <w:vAlign w:val="center"/>
                </w:tcPr>
                <w:p w14:paraId="3545E692">
                  <w:pPr>
                    <w:topLinePunct/>
                    <w:jc w:val="center"/>
                    <w:rPr>
                      <w:rFonts w:hint="eastAsia"/>
                      <w:color w:val="auto"/>
                      <w:szCs w:val="21"/>
                    </w:rPr>
                  </w:pPr>
                  <w:r>
                    <w:rPr>
                      <w:rFonts w:hint="eastAsia"/>
                      <w:color w:val="auto"/>
                      <w:szCs w:val="21"/>
                    </w:rPr>
                    <w:t>废催化剂</w:t>
                  </w:r>
                </w:p>
              </w:tc>
              <w:tc>
                <w:tcPr>
                  <w:tcW w:w="2151" w:type="dxa"/>
                  <w:vMerge w:val="continue"/>
                  <w:tcMar>
                    <w:left w:w="28" w:type="dxa"/>
                    <w:right w:w="28" w:type="dxa"/>
                  </w:tcMar>
                  <w:vAlign w:val="center"/>
                </w:tcPr>
                <w:p w14:paraId="4FB3CF36">
                  <w:pPr>
                    <w:jc w:val="center"/>
                    <w:rPr>
                      <w:bCs/>
                      <w:color w:val="auto"/>
                      <w:szCs w:val="21"/>
                      <w:shd w:val="clear" w:color="auto" w:fill="FFFFFF"/>
                    </w:rPr>
                  </w:pPr>
                </w:p>
              </w:tc>
              <w:tc>
                <w:tcPr>
                  <w:tcW w:w="3192" w:type="dxa"/>
                  <w:vMerge w:val="continue"/>
                  <w:vAlign w:val="center"/>
                </w:tcPr>
                <w:p w14:paraId="3FC18EAA">
                  <w:pPr>
                    <w:jc w:val="center"/>
                    <w:rPr>
                      <w:bCs/>
                      <w:color w:val="auto"/>
                      <w:szCs w:val="21"/>
                    </w:rPr>
                  </w:pPr>
                </w:p>
              </w:tc>
              <w:tc>
                <w:tcPr>
                  <w:tcW w:w="1452" w:type="dxa"/>
                  <w:vMerge w:val="continue"/>
                  <w:vAlign w:val="center"/>
                </w:tcPr>
                <w:p w14:paraId="7142B38E">
                  <w:pPr>
                    <w:jc w:val="center"/>
                    <w:rPr>
                      <w:bCs/>
                      <w:color w:val="auto"/>
                      <w:szCs w:val="21"/>
                    </w:rPr>
                  </w:pPr>
                </w:p>
              </w:tc>
            </w:tr>
            <w:tr w14:paraId="4D150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435" w:type="dxa"/>
                  <w:vMerge w:val="continue"/>
                  <w:tcMar>
                    <w:left w:w="28" w:type="dxa"/>
                    <w:right w:w="28" w:type="dxa"/>
                  </w:tcMar>
                  <w:vAlign w:val="center"/>
                </w:tcPr>
                <w:p w14:paraId="6DFD8505">
                  <w:pPr>
                    <w:jc w:val="center"/>
                    <w:rPr>
                      <w:bCs/>
                      <w:color w:val="auto"/>
                      <w:szCs w:val="21"/>
                    </w:rPr>
                  </w:pPr>
                </w:p>
              </w:tc>
              <w:tc>
                <w:tcPr>
                  <w:tcW w:w="1398" w:type="dxa"/>
                  <w:tcBorders>
                    <w:top w:val="single" w:color="000000" w:sz="4" w:space="0"/>
                  </w:tcBorders>
                  <w:vAlign w:val="center"/>
                </w:tcPr>
                <w:p w14:paraId="7AFE2F84">
                  <w:pPr>
                    <w:topLinePunct/>
                    <w:jc w:val="center"/>
                    <w:rPr>
                      <w:rFonts w:hint="default" w:eastAsia="宋体"/>
                      <w:color w:val="auto"/>
                      <w:szCs w:val="21"/>
                      <w:lang w:val="en-US" w:eastAsia="zh-CN"/>
                    </w:rPr>
                  </w:pPr>
                  <w:r>
                    <w:rPr>
                      <w:rFonts w:hint="eastAsia"/>
                      <w:color w:val="auto"/>
                      <w:szCs w:val="21"/>
                      <w:lang w:val="en-US" w:eastAsia="zh-CN"/>
                    </w:rPr>
                    <w:t>废UV灯管</w:t>
                  </w:r>
                </w:p>
              </w:tc>
              <w:tc>
                <w:tcPr>
                  <w:tcW w:w="2151" w:type="dxa"/>
                  <w:vMerge w:val="continue"/>
                  <w:tcMar>
                    <w:left w:w="28" w:type="dxa"/>
                    <w:right w:w="28" w:type="dxa"/>
                  </w:tcMar>
                  <w:vAlign w:val="center"/>
                </w:tcPr>
                <w:p w14:paraId="6DC846B9">
                  <w:pPr>
                    <w:jc w:val="center"/>
                    <w:rPr>
                      <w:bCs/>
                      <w:color w:val="auto"/>
                      <w:szCs w:val="21"/>
                      <w:shd w:val="clear" w:color="auto" w:fill="FFFFFF"/>
                    </w:rPr>
                  </w:pPr>
                </w:p>
              </w:tc>
              <w:tc>
                <w:tcPr>
                  <w:tcW w:w="3192" w:type="dxa"/>
                  <w:vMerge w:val="continue"/>
                  <w:vAlign w:val="center"/>
                </w:tcPr>
                <w:p w14:paraId="25699A97">
                  <w:pPr>
                    <w:jc w:val="center"/>
                    <w:rPr>
                      <w:bCs/>
                      <w:color w:val="auto"/>
                      <w:szCs w:val="21"/>
                    </w:rPr>
                  </w:pPr>
                </w:p>
              </w:tc>
              <w:tc>
                <w:tcPr>
                  <w:tcW w:w="1452" w:type="dxa"/>
                  <w:vMerge w:val="continue"/>
                  <w:vAlign w:val="center"/>
                </w:tcPr>
                <w:p w14:paraId="4668DDC0">
                  <w:pPr>
                    <w:jc w:val="center"/>
                    <w:rPr>
                      <w:bCs/>
                      <w:color w:val="auto"/>
                      <w:szCs w:val="21"/>
                    </w:rPr>
                  </w:pPr>
                </w:p>
              </w:tc>
            </w:tr>
            <w:tr w14:paraId="68161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5" w:type="dxa"/>
                  <w:tcMar>
                    <w:left w:w="28" w:type="dxa"/>
                    <w:right w:w="28" w:type="dxa"/>
                  </w:tcMar>
                  <w:vAlign w:val="center"/>
                </w:tcPr>
                <w:p w14:paraId="6ADC831B">
                  <w:pPr>
                    <w:jc w:val="center"/>
                    <w:rPr>
                      <w:bCs/>
                      <w:color w:val="auto"/>
                      <w:szCs w:val="21"/>
                    </w:rPr>
                  </w:pPr>
                  <w:r>
                    <w:rPr>
                      <w:bCs/>
                      <w:color w:val="auto"/>
                      <w:szCs w:val="21"/>
                    </w:rPr>
                    <w:t>噪声</w:t>
                  </w:r>
                </w:p>
              </w:tc>
              <w:tc>
                <w:tcPr>
                  <w:tcW w:w="1398" w:type="dxa"/>
                  <w:tcMar>
                    <w:left w:w="28" w:type="dxa"/>
                    <w:right w:w="28" w:type="dxa"/>
                  </w:tcMar>
                  <w:vAlign w:val="center"/>
                </w:tcPr>
                <w:p w14:paraId="1F691819">
                  <w:pPr>
                    <w:jc w:val="center"/>
                    <w:rPr>
                      <w:bCs/>
                      <w:color w:val="auto"/>
                      <w:szCs w:val="21"/>
                    </w:rPr>
                  </w:pPr>
                  <w:r>
                    <w:rPr>
                      <w:bCs/>
                      <w:color w:val="auto"/>
                      <w:szCs w:val="21"/>
                    </w:rPr>
                    <w:t>噪声</w:t>
                  </w:r>
                </w:p>
              </w:tc>
              <w:tc>
                <w:tcPr>
                  <w:tcW w:w="2151" w:type="dxa"/>
                  <w:tcMar>
                    <w:left w:w="28" w:type="dxa"/>
                    <w:right w:w="28" w:type="dxa"/>
                  </w:tcMar>
                  <w:vAlign w:val="center"/>
                </w:tcPr>
                <w:p w14:paraId="247F8B3B">
                  <w:pPr>
                    <w:jc w:val="center"/>
                    <w:rPr>
                      <w:bCs/>
                      <w:color w:val="auto"/>
                      <w:szCs w:val="21"/>
                    </w:rPr>
                  </w:pPr>
                  <w:r>
                    <w:rPr>
                      <w:bCs/>
                      <w:color w:val="auto"/>
                      <w:szCs w:val="21"/>
                    </w:rPr>
                    <w:t>基础</w:t>
                  </w:r>
                  <w:r>
                    <w:rPr>
                      <w:rFonts w:hint="eastAsia"/>
                      <w:bCs/>
                      <w:color w:val="auto"/>
                      <w:szCs w:val="21"/>
                      <w:lang w:val="en-US" w:eastAsia="zh-CN"/>
                    </w:rPr>
                    <w:t>减振</w:t>
                  </w:r>
                  <w:r>
                    <w:rPr>
                      <w:bCs/>
                      <w:color w:val="auto"/>
                      <w:szCs w:val="21"/>
                    </w:rPr>
                    <w:t>，定期维护</w:t>
                  </w:r>
                </w:p>
              </w:tc>
              <w:tc>
                <w:tcPr>
                  <w:tcW w:w="3192" w:type="dxa"/>
                  <w:tcMar>
                    <w:left w:w="28" w:type="dxa"/>
                    <w:right w:w="28" w:type="dxa"/>
                  </w:tcMar>
                  <w:vAlign w:val="center"/>
                </w:tcPr>
                <w:p w14:paraId="396922DA">
                  <w:pPr>
                    <w:jc w:val="center"/>
                    <w:rPr>
                      <w:bCs/>
                      <w:color w:val="auto"/>
                      <w:szCs w:val="21"/>
                    </w:rPr>
                  </w:pPr>
                  <w:r>
                    <w:rPr>
                      <w:bCs/>
                      <w:color w:val="auto"/>
                      <w:szCs w:val="21"/>
                    </w:rPr>
                    <w:t>《工业企业厂界环境噪声排放标准》（GB12348-2008）3类</w:t>
                  </w:r>
                </w:p>
              </w:tc>
              <w:tc>
                <w:tcPr>
                  <w:tcW w:w="1452" w:type="dxa"/>
                  <w:tcMar>
                    <w:left w:w="28" w:type="dxa"/>
                    <w:right w:w="28" w:type="dxa"/>
                  </w:tcMar>
                  <w:vAlign w:val="center"/>
                </w:tcPr>
                <w:p w14:paraId="404D1329">
                  <w:pPr>
                    <w:jc w:val="center"/>
                    <w:rPr>
                      <w:bCs/>
                      <w:color w:val="auto"/>
                      <w:szCs w:val="21"/>
                    </w:rPr>
                  </w:pPr>
                  <w:r>
                    <w:rPr>
                      <w:bCs/>
                      <w:color w:val="auto"/>
                      <w:szCs w:val="21"/>
                    </w:rPr>
                    <w:t>昼间&lt;65dB(A)</w:t>
                  </w:r>
                </w:p>
              </w:tc>
            </w:tr>
          </w:tbl>
          <w:p w14:paraId="50373268">
            <w:pPr>
              <w:pStyle w:val="21"/>
              <w:jc w:val="both"/>
              <w:outlineLvl w:val="0"/>
              <w:rPr>
                <w:rFonts w:hint="eastAsia" w:ascii="黑体" w:hAnsi="黑体" w:eastAsia="黑体"/>
                <w:snapToGrid w:val="0"/>
                <w:color w:val="auto"/>
                <w:sz w:val="30"/>
                <w:szCs w:val="30"/>
              </w:rPr>
            </w:pPr>
          </w:p>
        </w:tc>
      </w:tr>
    </w:tbl>
    <w:p w14:paraId="41C7890B">
      <w:pPr>
        <w:rPr>
          <w:rFonts w:hint="eastAsia"/>
          <w:color w:val="auto"/>
        </w:rPr>
      </w:pPr>
    </w:p>
    <w:p w14:paraId="25F75309">
      <w:pPr>
        <w:pStyle w:val="21"/>
        <w:widowControl w:val="0"/>
        <w:snapToGrid w:val="0"/>
        <w:spacing w:before="0" w:beforeAutospacing="0" w:after="0" w:afterAutospacing="0"/>
        <w:jc w:val="center"/>
        <w:outlineLvl w:val="0"/>
        <w:rPr>
          <w:rFonts w:hint="eastAsia" w:cs="宋体"/>
          <w:b/>
          <w:bCs/>
          <w:snapToGrid w:val="0"/>
          <w:color w:val="auto"/>
          <w:sz w:val="30"/>
          <w:szCs w:val="30"/>
        </w:rPr>
      </w:pPr>
      <w:bookmarkStart w:id="105" w:name="_Toc13827"/>
      <w:r>
        <w:rPr>
          <w:rFonts w:hint="eastAsia" w:cs="宋体"/>
          <w:b/>
          <w:bCs/>
          <w:snapToGrid w:val="0"/>
          <w:color w:val="auto"/>
          <w:sz w:val="30"/>
          <w:szCs w:val="30"/>
        </w:rPr>
        <w:t>五、</w:t>
      </w:r>
      <w:bookmarkStart w:id="106" w:name="_Hlk54167917"/>
      <w:r>
        <w:rPr>
          <w:rFonts w:hint="eastAsia" w:cs="宋体"/>
          <w:b/>
          <w:bCs/>
          <w:snapToGrid w:val="0"/>
          <w:color w:val="auto"/>
          <w:sz w:val="30"/>
          <w:szCs w:val="30"/>
        </w:rPr>
        <w:t>环境保护措施监督检查清单</w:t>
      </w:r>
      <w:bookmarkEnd w:id="103"/>
      <w:bookmarkEnd w:id="104"/>
      <w:bookmarkEnd w:id="105"/>
      <w:bookmarkEnd w:id="106"/>
    </w:p>
    <w:tbl>
      <w:tblPr>
        <w:tblStyle w:val="25"/>
        <w:tblW w:w="905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1656"/>
        <w:gridCol w:w="1317"/>
        <w:gridCol w:w="2074"/>
        <w:gridCol w:w="2858"/>
      </w:tblGrid>
      <w:tr w14:paraId="18D59B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1150" w:type="dxa"/>
            <w:tcBorders>
              <w:tl2br w:val="single" w:color="auto" w:sz="4" w:space="0"/>
            </w:tcBorders>
            <w:vAlign w:val="top"/>
          </w:tcPr>
          <w:p w14:paraId="4D69AD85">
            <w:pPr>
              <w:adjustRightInd w:val="0"/>
              <w:snapToGrid w:val="0"/>
              <w:jc w:val="right"/>
              <w:rPr>
                <w:color w:val="auto"/>
                <w:szCs w:val="21"/>
              </w:rPr>
            </w:pPr>
            <w:r>
              <w:rPr>
                <w:color w:val="auto"/>
                <w:szCs w:val="21"/>
              </w:rPr>
              <w:t>内容</w:t>
            </w:r>
          </w:p>
          <w:p w14:paraId="1BB25393">
            <w:pPr>
              <w:adjustRightInd w:val="0"/>
              <w:snapToGrid w:val="0"/>
              <w:rPr>
                <w:color w:val="auto"/>
                <w:szCs w:val="21"/>
              </w:rPr>
            </w:pPr>
            <w:r>
              <w:rPr>
                <w:color w:val="auto"/>
                <w:szCs w:val="21"/>
              </w:rPr>
              <w:t>要素</w:t>
            </w:r>
          </w:p>
        </w:tc>
        <w:tc>
          <w:tcPr>
            <w:tcW w:w="1656" w:type="dxa"/>
            <w:vAlign w:val="center"/>
          </w:tcPr>
          <w:p w14:paraId="19C69845">
            <w:pPr>
              <w:adjustRightInd w:val="0"/>
              <w:snapToGrid w:val="0"/>
              <w:jc w:val="center"/>
              <w:rPr>
                <w:color w:val="auto"/>
                <w:szCs w:val="21"/>
              </w:rPr>
            </w:pPr>
            <w:r>
              <w:rPr>
                <w:color w:val="auto"/>
                <w:szCs w:val="21"/>
              </w:rPr>
              <w:t>排放口(编号、</w:t>
            </w:r>
          </w:p>
          <w:p w14:paraId="33D06DBB">
            <w:pPr>
              <w:adjustRightInd w:val="0"/>
              <w:snapToGrid w:val="0"/>
              <w:jc w:val="center"/>
              <w:rPr>
                <w:color w:val="auto"/>
                <w:szCs w:val="21"/>
              </w:rPr>
            </w:pPr>
            <w:r>
              <w:rPr>
                <w:color w:val="auto"/>
                <w:szCs w:val="21"/>
              </w:rPr>
              <w:t>名称)/污染源</w:t>
            </w:r>
          </w:p>
        </w:tc>
        <w:tc>
          <w:tcPr>
            <w:tcW w:w="1317" w:type="dxa"/>
            <w:vAlign w:val="center"/>
          </w:tcPr>
          <w:p w14:paraId="6B165A43">
            <w:pPr>
              <w:adjustRightInd w:val="0"/>
              <w:snapToGrid w:val="0"/>
              <w:jc w:val="center"/>
              <w:rPr>
                <w:color w:val="auto"/>
                <w:szCs w:val="21"/>
              </w:rPr>
            </w:pPr>
            <w:r>
              <w:rPr>
                <w:color w:val="auto"/>
                <w:szCs w:val="21"/>
              </w:rPr>
              <w:t>污染物项目</w:t>
            </w:r>
          </w:p>
        </w:tc>
        <w:tc>
          <w:tcPr>
            <w:tcW w:w="2074" w:type="dxa"/>
            <w:vAlign w:val="center"/>
          </w:tcPr>
          <w:p w14:paraId="68AB9D4F">
            <w:pPr>
              <w:adjustRightInd w:val="0"/>
              <w:snapToGrid w:val="0"/>
              <w:jc w:val="center"/>
              <w:rPr>
                <w:color w:val="auto"/>
                <w:szCs w:val="21"/>
              </w:rPr>
            </w:pPr>
            <w:r>
              <w:rPr>
                <w:color w:val="auto"/>
                <w:szCs w:val="21"/>
              </w:rPr>
              <w:t>环境保护措施</w:t>
            </w:r>
          </w:p>
        </w:tc>
        <w:tc>
          <w:tcPr>
            <w:tcW w:w="2858" w:type="dxa"/>
            <w:vAlign w:val="center"/>
          </w:tcPr>
          <w:p w14:paraId="01AF0ADB">
            <w:pPr>
              <w:adjustRightInd w:val="0"/>
              <w:snapToGrid w:val="0"/>
              <w:jc w:val="center"/>
              <w:rPr>
                <w:color w:val="auto"/>
                <w:szCs w:val="21"/>
              </w:rPr>
            </w:pPr>
            <w:r>
              <w:rPr>
                <w:color w:val="auto"/>
                <w:szCs w:val="21"/>
              </w:rPr>
              <w:t>执行标准</w:t>
            </w:r>
          </w:p>
        </w:tc>
      </w:tr>
      <w:tr w14:paraId="587FDF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50" w:type="dxa"/>
            <w:vMerge w:val="restart"/>
            <w:vAlign w:val="center"/>
          </w:tcPr>
          <w:p w14:paraId="6F9F0FB0">
            <w:pPr>
              <w:adjustRightInd w:val="0"/>
              <w:snapToGrid w:val="0"/>
              <w:jc w:val="center"/>
              <w:rPr>
                <w:color w:val="auto"/>
                <w:szCs w:val="21"/>
              </w:rPr>
            </w:pPr>
            <w:r>
              <w:rPr>
                <w:color w:val="auto"/>
                <w:szCs w:val="21"/>
              </w:rPr>
              <w:t>大气环境</w:t>
            </w:r>
          </w:p>
        </w:tc>
        <w:tc>
          <w:tcPr>
            <w:tcW w:w="1656" w:type="dxa"/>
            <w:vAlign w:val="center"/>
          </w:tcPr>
          <w:p w14:paraId="382398F3">
            <w:pPr>
              <w:jc w:val="center"/>
              <w:rPr>
                <w:color w:val="auto"/>
                <w:szCs w:val="21"/>
              </w:rPr>
            </w:pPr>
            <w:r>
              <w:rPr>
                <w:rFonts w:hint="eastAsia"/>
                <w:color w:val="auto"/>
                <w:szCs w:val="21"/>
              </w:rPr>
              <w:t>一车间木</w:t>
            </w:r>
            <w:r>
              <w:rPr>
                <w:rFonts w:hint="eastAsia"/>
                <w:color w:val="auto"/>
                <w:szCs w:val="21"/>
                <w:lang w:val="en-US" w:eastAsia="zh-CN"/>
              </w:rPr>
              <w:t>加</w:t>
            </w:r>
            <w:r>
              <w:rPr>
                <w:rFonts w:hint="eastAsia"/>
                <w:color w:val="auto"/>
                <w:szCs w:val="21"/>
              </w:rPr>
              <w:t>工、砂光、打磨粉尘</w:t>
            </w:r>
          </w:p>
        </w:tc>
        <w:tc>
          <w:tcPr>
            <w:tcW w:w="1317" w:type="dxa"/>
            <w:vAlign w:val="center"/>
          </w:tcPr>
          <w:p w14:paraId="33347283">
            <w:pPr>
              <w:jc w:val="center"/>
              <w:rPr>
                <w:rFonts w:hint="eastAsia"/>
                <w:color w:val="auto"/>
                <w:szCs w:val="21"/>
              </w:rPr>
            </w:pPr>
            <w:r>
              <w:rPr>
                <w:rFonts w:hint="eastAsia"/>
                <w:color w:val="auto"/>
                <w:szCs w:val="21"/>
              </w:rPr>
              <w:t>颗粒物</w:t>
            </w:r>
          </w:p>
        </w:tc>
        <w:tc>
          <w:tcPr>
            <w:tcW w:w="2074" w:type="dxa"/>
            <w:vAlign w:val="center"/>
          </w:tcPr>
          <w:p w14:paraId="5E8BF4BD">
            <w:pPr>
              <w:jc w:val="center"/>
              <w:rPr>
                <w:color w:val="auto"/>
                <w:szCs w:val="21"/>
              </w:rPr>
            </w:pPr>
            <w:r>
              <w:rPr>
                <w:rFonts w:hint="eastAsia"/>
                <w:color w:val="auto"/>
                <w:szCs w:val="21"/>
              </w:rPr>
              <w:t>集气管道</w:t>
            </w:r>
            <w:r>
              <w:rPr>
                <w:color w:val="auto"/>
                <w:szCs w:val="21"/>
              </w:rPr>
              <w:t>+</w:t>
            </w:r>
            <w:r>
              <w:rPr>
                <w:rFonts w:hint="eastAsia"/>
                <w:color w:val="auto"/>
                <w:szCs w:val="21"/>
                <w:lang w:val="en-US" w:eastAsia="zh-CN"/>
              </w:rPr>
              <w:t>中央除尘器</w:t>
            </w:r>
            <w:r>
              <w:rPr>
                <w:color w:val="auto"/>
                <w:szCs w:val="21"/>
              </w:rPr>
              <w:t>+15m排气筒</w:t>
            </w:r>
          </w:p>
        </w:tc>
        <w:tc>
          <w:tcPr>
            <w:tcW w:w="2858" w:type="dxa"/>
            <w:vMerge w:val="restart"/>
            <w:vAlign w:val="center"/>
          </w:tcPr>
          <w:p w14:paraId="36938F50">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auto"/>
                <w:szCs w:val="21"/>
                <w:lang w:eastAsia="zh-CN"/>
              </w:rPr>
            </w:pPr>
            <w:r>
              <w:rPr>
                <w:color w:val="auto"/>
                <w:szCs w:val="21"/>
              </w:rPr>
              <w:t>《大气污染物综合排放标准》（GB16297-1996）</w:t>
            </w:r>
            <w:r>
              <w:rPr>
                <w:rFonts w:hint="eastAsia"/>
                <w:color w:val="auto"/>
                <w:szCs w:val="21"/>
                <w:lang w:eastAsia="zh-CN"/>
              </w:rPr>
              <w:t>（</w:t>
            </w:r>
            <w:r>
              <w:rPr>
                <w:rFonts w:hint="eastAsia"/>
                <w:color w:val="auto"/>
                <w:szCs w:val="21"/>
                <w:lang w:val="en-US" w:eastAsia="zh-CN"/>
              </w:rPr>
              <w:t>颗粒物：</w:t>
            </w:r>
            <w:r>
              <w:rPr>
                <w:color w:val="auto"/>
                <w:szCs w:val="21"/>
              </w:rPr>
              <w:t>浓度</w:t>
            </w:r>
            <w:r>
              <w:rPr>
                <w:rFonts w:hint="eastAsia"/>
                <w:color w:val="auto"/>
                <w:szCs w:val="21"/>
              </w:rPr>
              <w:t>限值</w:t>
            </w:r>
            <w:r>
              <w:rPr>
                <w:color w:val="auto"/>
                <w:szCs w:val="21"/>
              </w:rPr>
              <w:t>120mg/m</w:t>
            </w:r>
            <w:r>
              <w:rPr>
                <w:color w:val="auto"/>
                <w:szCs w:val="21"/>
                <w:vertAlign w:val="superscript"/>
              </w:rPr>
              <w:t>3</w:t>
            </w:r>
            <w:r>
              <w:rPr>
                <w:color w:val="auto"/>
                <w:szCs w:val="21"/>
              </w:rPr>
              <w:t>，15m排气筒</w:t>
            </w:r>
            <w:r>
              <w:rPr>
                <w:rFonts w:hint="eastAsia"/>
                <w:color w:val="auto"/>
                <w:szCs w:val="21"/>
              </w:rPr>
              <w:t>排放</w:t>
            </w:r>
            <w:r>
              <w:rPr>
                <w:color w:val="auto"/>
                <w:szCs w:val="21"/>
              </w:rPr>
              <w:t>速率</w:t>
            </w:r>
            <w:r>
              <w:rPr>
                <w:rFonts w:hint="eastAsia"/>
                <w:color w:val="auto"/>
                <w:szCs w:val="21"/>
              </w:rPr>
              <w:t>限值</w:t>
            </w:r>
            <w:r>
              <w:rPr>
                <w:color w:val="auto"/>
                <w:szCs w:val="21"/>
              </w:rPr>
              <w:t>3.5kg/h</w:t>
            </w:r>
            <w:r>
              <w:rPr>
                <w:rFonts w:hint="eastAsia"/>
                <w:color w:val="auto"/>
                <w:szCs w:val="21"/>
              </w:rPr>
              <w:t>；</w:t>
            </w:r>
            <w:r>
              <w:rPr>
                <w:color w:val="auto"/>
                <w:szCs w:val="21"/>
              </w:rPr>
              <w:t>无组织排放限值：1.0mg/m</w:t>
            </w:r>
            <w:r>
              <w:rPr>
                <w:color w:val="auto"/>
                <w:szCs w:val="21"/>
                <w:vertAlign w:val="superscript"/>
              </w:rPr>
              <w:t>3</w:t>
            </w:r>
            <w:r>
              <w:rPr>
                <w:rFonts w:hint="eastAsia"/>
                <w:color w:val="auto"/>
                <w:szCs w:val="21"/>
                <w:vertAlign w:val="baseline"/>
                <w:lang w:eastAsia="zh-CN"/>
              </w:rPr>
              <w:t>；</w:t>
            </w:r>
            <w:r>
              <w:rPr>
                <w:rFonts w:hint="eastAsia"/>
                <w:color w:val="auto"/>
                <w:szCs w:val="21"/>
                <w:vertAlign w:val="baseline"/>
                <w:lang w:val="en-US" w:eastAsia="zh-CN"/>
              </w:rPr>
              <w:t>非甲烷总烃：</w:t>
            </w:r>
            <w:r>
              <w:rPr>
                <w:color w:val="auto"/>
                <w:szCs w:val="21"/>
              </w:rPr>
              <w:t>浓度</w:t>
            </w:r>
            <w:r>
              <w:rPr>
                <w:rFonts w:hint="eastAsia"/>
                <w:color w:val="auto"/>
                <w:szCs w:val="21"/>
              </w:rPr>
              <w:t>限值</w:t>
            </w:r>
            <w:r>
              <w:rPr>
                <w:color w:val="auto"/>
                <w:szCs w:val="21"/>
              </w:rPr>
              <w:t>120mg/m</w:t>
            </w:r>
            <w:r>
              <w:rPr>
                <w:color w:val="auto"/>
                <w:szCs w:val="21"/>
                <w:vertAlign w:val="superscript"/>
              </w:rPr>
              <w:t>3</w:t>
            </w:r>
            <w:r>
              <w:rPr>
                <w:color w:val="auto"/>
                <w:szCs w:val="21"/>
              </w:rPr>
              <w:t>，15m排气筒</w:t>
            </w:r>
            <w:r>
              <w:rPr>
                <w:rFonts w:hint="eastAsia"/>
                <w:color w:val="auto"/>
                <w:szCs w:val="21"/>
              </w:rPr>
              <w:t>排放</w:t>
            </w:r>
            <w:r>
              <w:rPr>
                <w:color w:val="auto"/>
                <w:szCs w:val="21"/>
              </w:rPr>
              <w:t>速率</w:t>
            </w:r>
            <w:r>
              <w:rPr>
                <w:rFonts w:hint="eastAsia"/>
                <w:color w:val="auto"/>
                <w:szCs w:val="21"/>
              </w:rPr>
              <w:t>限值10</w:t>
            </w:r>
            <w:r>
              <w:rPr>
                <w:color w:val="auto"/>
                <w:szCs w:val="21"/>
              </w:rPr>
              <w:t>kg/h</w:t>
            </w:r>
            <w:r>
              <w:rPr>
                <w:rFonts w:hint="eastAsia"/>
                <w:color w:val="auto"/>
                <w:szCs w:val="21"/>
              </w:rPr>
              <w:t>；</w:t>
            </w:r>
            <w:r>
              <w:rPr>
                <w:color w:val="auto"/>
                <w:szCs w:val="21"/>
              </w:rPr>
              <w:t>无组织排放限值：</w:t>
            </w:r>
            <w:r>
              <w:rPr>
                <w:rFonts w:hint="eastAsia"/>
                <w:color w:val="auto"/>
                <w:szCs w:val="21"/>
              </w:rPr>
              <w:t>4</w:t>
            </w:r>
            <w:r>
              <w:rPr>
                <w:color w:val="auto"/>
                <w:szCs w:val="21"/>
              </w:rPr>
              <w:t>.0mg/m</w:t>
            </w:r>
            <w:r>
              <w:rPr>
                <w:color w:val="auto"/>
                <w:szCs w:val="21"/>
                <w:vertAlign w:val="superscript"/>
              </w:rPr>
              <w:t>3</w:t>
            </w:r>
            <w:r>
              <w:rPr>
                <w:rFonts w:hint="eastAsia"/>
                <w:color w:val="auto"/>
                <w:szCs w:val="21"/>
                <w:lang w:eastAsia="zh-CN"/>
              </w:rPr>
              <w:t>）</w:t>
            </w:r>
            <w:r>
              <w:rPr>
                <w:rFonts w:hint="eastAsia"/>
                <w:color w:val="auto"/>
                <w:szCs w:val="21"/>
              </w:rPr>
              <w:t>、</w:t>
            </w:r>
            <w:r>
              <w:rPr>
                <w:color w:val="auto"/>
                <w:szCs w:val="21"/>
              </w:rPr>
              <w:t>《工业涂装工序挥发性有机物排放标准》（DB41/1951-2020）</w:t>
            </w:r>
            <w:r>
              <w:rPr>
                <w:rFonts w:hint="eastAsia"/>
                <w:color w:val="auto"/>
                <w:szCs w:val="21"/>
                <w:lang w:eastAsia="zh-CN"/>
              </w:rPr>
              <w:t>（非甲烷总烃排放浓度50mg/m</w:t>
            </w:r>
            <w:r>
              <w:rPr>
                <w:rFonts w:hint="eastAsia"/>
                <w:color w:val="auto"/>
                <w:szCs w:val="21"/>
                <w:vertAlign w:val="superscript"/>
                <w:lang w:eastAsia="zh-CN"/>
              </w:rPr>
              <w:t>3</w:t>
            </w:r>
            <w:r>
              <w:rPr>
                <w:rFonts w:hint="eastAsia"/>
                <w:color w:val="auto"/>
                <w:szCs w:val="21"/>
                <w:lang w:eastAsia="zh-CN"/>
              </w:rPr>
              <w:t>，甲苯、二甲苯合计排放浓度20mg/m</w:t>
            </w:r>
            <w:r>
              <w:rPr>
                <w:rFonts w:hint="eastAsia"/>
                <w:color w:val="auto"/>
                <w:szCs w:val="21"/>
                <w:vertAlign w:val="superscript"/>
                <w:lang w:eastAsia="zh-CN"/>
              </w:rPr>
              <w:t>3</w:t>
            </w:r>
            <w:r>
              <w:rPr>
                <w:rFonts w:hint="eastAsia"/>
                <w:color w:val="auto"/>
                <w:szCs w:val="21"/>
                <w:lang w:eastAsia="zh-CN"/>
              </w:rPr>
              <w:t>）</w:t>
            </w:r>
            <w:r>
              <w:rPr>
                <w:rFonts w:hint="eastAsia"/>
                <w:color w:val="auto"/>
                <w:szCs w:val="21"/>
              </w:rPr>
              <w:t>、《</w:t>
            </w:r>
            <w:r>
              <w:rPr>
                <w:color w:val="auto"/>
                <w:szCs w:val="21"/>
              </w:rPr>
              <w:t>关于全省开展工业企业挥发性有机物专项治理工作中排放建议值的通知</w:t>
            </w:r>
            <w:r>
              <w:rPr>
                <w:rFonts w:hint="eastAsia"/>
                <w:color w:val="auto"/>
                <w:szCs w:val="21"/>
              </w:rPr>
              <w:t>》</w:t>
            </w:r>
            <w:r>
              <w:rPr>
                <w:color w:val="auto"/>
                <w:szCs w:val="21"/>
              </w:rPr>
              <w:t>（豫环攻坚办</w:t>
            </w:r>
            <w:r>
              <w:rPr>
                <w:rFonts w:hint="eastAsia"/>
                <w:color w:val="auto"/>
                <w:szCs w:val="21"/>
              </w:rPr>
              <w:t>〔2017〕</w:t>
            </w:r>
            <w:r>
              <w:rPr>
                <w:color w:val="auto"/>
                <w:szCs w:val="21"/>
              </w:rPr>
              <w:t>162号）</w:t>
            </w:r>
            <w:r>
              <w:rPr>
                <w:rFonts w:hint="eastAsia"/>
                <w:color w:val="auto"/>
                <w:szCs w:val="21"/>
                <w:lang w:eastAsia="zh-CN"/>
              </w:rPr>
              <w:t>（</w:t>
            </w:r>
            <w:r>
              <w:rPr>
                <w:color w:val="auto"/>
                <w:szCs w:val="21"/>
              </w:rPr>
              <w:t>工业企业边界浓度限值：</w:t>
            </w:r>
            <w:r>
              <w:rPr>
                <w:rFonts w:hint="eastAsia"/>
                <w:color w:val="auto"/>
                <w:szCs w:val="21"/>
                <w:lang w:val="en-US" w:eastAsia="zh-CN"/>
              </w:rPr>
              <w:t>非甲烷总烃</w:t>
            </w:r>
            <w:r>
              <w:rPr>
                <w:color w:val="auto"/>
                <w:szCs w:val="21"/>
              </w:rPr>
              <w:t>2.0mg/m</w:t>
            </w:r>
            <w:r>
              <w:rPr>
                <w:color w:val="auto"/>
                <w:szCs w:val="21"/>
                <w:vertAlign w:val="superscript"/>
              </w:rPr>
              <w:t>3</w:t>
            </w:r>
            <w:r>
              <w:rPr>
                <w:rFonts w:hint="eastAsia"/>
                <w:color w:val="auto"/>
                <w:szCs w:val="21"/>
                <w:vertAlign w:val="baseline"/>
                <w:lang w:eastAsia="zh-CN"/>
              </w:rPr>
              <w:t>，</w:t>
            </w:r>
            <w:r>
              <w:rPr>
                <w:color w:val="auto"/>
                <w:szCs w:val="21"/>
              </w:rPr>
              <w:t>甲苯：0.6mg/m</w:t>
            </w:r>
            <w:r>
              <w:rPr>
                <w:color w:val="auto"/>
                <w:szCs w:val="21"/>
                <w:vertAlign w:val="superscript"/>
              </w:rPr>
              <w:t>3</w:t>
            </w:r>
            <w:r>
              <w:rPr>
                <w:color w:val="auto"/>
                <w:szCs w:val="21"/>
              </w:rPr>
              <w:t>、二甲苯：0.2mg/m</w:t>
            </w:r>
            <w:r>
              <w:rPr>
                <w:color w:val="auto"/>
                <w:szCs w:val="21"/>
                <w:vertAlign w:val="superscript"/>
              </w:rPr>
              <w:t>3</w:t>
            </w:r>
            <w:r>
              <w:rPr>
                <w:rFonts w:hint="eastAsia"/>
                <w:color w:val="auto"/>
                <w:szCs w:val="21"/>
                <w:lang w:eastAsia="zh-CN"/>
              </w:rPr>
              <w:t>）</w:t>
            </w:r>
            <w:r>
              <w:rPr>
                <w:rFonts w:hint="eastAsia"/>
                <w:color w:val="auto"/>
                <w:szCs w:val="21"/>
              </w:rPr>
              <w:t>、《重污染天气重点行业应急减排措施制定技术指南（2020年修订版）》的函》（环办大气函〔2020〕340号）</w:t>
            </w:r>
            <w:r>
              <w:rPr>
                <w:rFonts w:hint="eastAsia"/>
                <w:color w:val="auto"/>
                <w:szCs w:val="21"/>
                <w:lang w:eastAsia="zh-CN"/>
              </w:rPr>
              <w:t>（颗粒物有组织≤10mg/m</w:t>
            </w:r>
            <w:r>
              <w:rPr>
                <w:rFonts w:hint="eastAsia"/>
                <w:color w:val="auto"/>
                <w:szCs w:val="21"/>
                <w:vertAlign w:val="superscript"/>
                <w:lang w:eastAsia="zh-CN"/>
              </w:rPr>
              <w:t>3</w:t>
            </w:r>
            <w:r>
              <w:rPr>
                <w:rFonts w:hint="eastAsia"/>
                <w:color w:val="auto"/>
                <w:szCs w:val="21"/>
                <w:lang w:eastAsia="zh-CN"/>
              </w:rPr>
              <w:t>，非甲烷总烃≤20mg/m</w:t>
            </w:r>
            <w:r>
              <w:rPr>
                <w:rFonts w:hint="eastAsia"/>
                <w:color w:val="auto"/>
                <w:szCs w:val="21"/>
                <w:vertAlign w:val="superscript"/>
                <w:lang w:eastAsia="zh-CN"/>
              </w:rPr>
              <w:t>3</w:t>
            </w:r>
            <w:r>
              <w:rPr>
                <w:rFonts w:hint="eastAsia"/>
                <w:color w:val="auto"/>
                <w:szCs w:val="21"/>
                <w:lang w:eastAsia="zh-CN"/>
              </w:rPr>
              <w:t>）、</w:t>
            </w:r>
            <w:r>
              <w:rPr>
                <w:rFonts w:hint="eastAsia"/>
                <w:color w:val="auto"/>
                <w:sz w:val="21"/>
                <w:lang w:eastAsia="zh-CN"/>
              </w:rPr>
              <w:t>《重污染天气重点行业应急减排措施制定技术指南（2020年修订版）》中家具制造行业A级企业要求（有组织≤10mg/m</w:t>
            </w:r>
            <w:r>
              <w:rPr>
                <w:rFonts w:hint="eastAsia"/>
                <w:color w:val="auto"/>
                <w:sz w:val="21"/>
                <w:vertAlign w:val="superscript"/>
                <w:lang w:eastAsia="zh-CN"/>
              </w:rPr>
              <w:t>3</w:t>
            </w:r>
            <w:r>
              <w:rPr>
                <w:rFonts w:hint="eastAsia"/>
                <w:color w:val="auto"/>
                <w:sz w:val="21"/>
                <w:lang w:eastAsia="zh-CN"/>
              </w:rPr>
              <w:t>）</w:t>
            </w:r>
          </w:p>
        </w:tc>
      </w:tr>
      <w:tr w14:paraId="79CFD2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1150" w:type="dxa"/>
            <w:vMerge w:val="continue"/>
            <w:vAlign w:val="center"/>
          </w:tcPr>
          <w:p w14:paraId="244B0539">
            <w:pPr>
              <w:adjustRightInd w:val="0"/>
              <w:snapToGrid w:val="0"/>
              <w:jc w:val="center"/>
              <w:rPr>
                <w:color w:val="auto"/>
                <w:szCs w:val="21"/>
              </w:rPr>
            </w:pPr>
          </w:p>
        </w:tc>
        <w:tc>
          <w:tcPr>
            <w:tcW w:w="1656" w:type="dxa"/>
            <w:tcBorders>
              <w:bottom w:val="single" w:color="000000" w:sz="4" w:space="0"/>
            </w:tcBorders>
            <w:vAlign w:val="center"/>
          </w:tcPr>
          <w:p w14:paraId="4D67FD58">
            <w:pPr>
              <w:jc w:val="center"/>
              <w:rPr>
                <w:rFonts w:hint="eastAsia"/>
                <w:bCs/>
                <w:color w:val="auto"/>
                <w:szCs w:val="21"/>
              </w:rPr>
            </w:pPr>
            <w:r>
              <w:rPr>
                <w:rFonts w:hint="eastAsia"/>
                <w:color w:val="auto"/>
                <w:szCs w:val="21"/>
              </w:rPr>
              <w:t>二车间砂光粉尘</w:t>
            </w:r>
          </w:p>
        </w:tc>
        <w:tc>
          <w:tcPr>
            <w:tcW w:w="1317" w:type="dxa"/>
            <w:tcBorders>
              <w:bottom w:val="single" w:color="000000" w:sz="4" w:space="0"/>
            </w:tcBorders>
            <w:vAlign w:val="center"/>
          </w:tcPr>
          <w:p w14:paraId="07006E97">
            <w:pPr>
              <w:jc w:val="center"/>
              <w:rPr>
                <w:rFonts w:hint="eastAsia"/>
                <w:color w:val="auto"/>
                <w:szCs w:val="21"/>
              </w:rPr>
            </w:pPr>
            <w:r>
              <w:rPr>
                <w:rFonts w:hint="eastAsia"/>
                <w:color w:val="auto"/>
                <w:szCs w:val="21"/>
              </w:rPr>
              <w:t>颗粒物</w:t>
            </w:r>
          </w:p>
        </w:tc>
        <w:tc>
          <w:tcPr>
            <w:tcW w:w="2074" w:type="dxa"/>
            <w:tcBorders>
              <w:bottom w:val="single" w:color="000000" w:sz="4" w:space="0"/>
            </w:tcBorders>
            <w:vAlign w:val="center"/>
          </w:tcPr>
          <w:p w14:paraId="477E69DF">
            <w:pPr>
              <w:jc w:val="center"/>
              <w:rPr>
                <w:rFonts w:hint="eastAsia" w:ascii="宋体" w:hAnsi="宋体"/>
                <w:bCs/>
                <w:color w:val="auto"/>
                <w:szCs w:val="21"/>
              </w:rPr>
            </w:pPr>
            <w:r>
              <w:rPr>
                <w:rFonts w:hint="eastAsia"/>
                <w:color w:val="auto"/>
                <w:szCs w:val="21"/>
              </w:rPr>
              <w:t>集气管道</w:t>
            </w:r>
            <w:r>
              <w:rPr>
                <w:color w:val="auto"/>
                <w:szCs w:val="21"/>
              </w:rPr>
              <w:t>+</w:t>
            </w:r>
            <w:r>
              <w:rPr>
                <w:rFonts w:hint="eastAsia"/>
                <w:color w:val="auto"/>
                <w:szCs w:val="21"/>
                <w:lang w:val="en-US" w:eastAsia="zh-CN"/>
              </w:rPr>
              <w:t>中央除尘器</w:t>
            </w:r>
            <w:r>
              <w:rPr>
                <w:color w:val="auto"/>
                <w:szCs w:val="21"/>
              </w:rPr>
              <w:t>+15m排气筒</w:t>
            </w:r>
          </w:p>
        </w:tc>
        <w:tc>
          <w:tcPr>
            <w:tcW w:w="2858" w:type="dxa"/>
            <w:vMerge w:val="continue"/>
            <w:vAlign w:val="center"/>
          </w:tcPr>
          <w:p w14:paraId="272C799E">
            <w:pPr>
              <w:adjustRightInd w:val="0"/>
              <w:snapToGrid w:val="0"/>
              <w:jc w:val="center"/>
              <w:rPr>
                <w:color w:val="auto"/>
                <w:szCs w:val="21"/>
              </w:rPr>
            </w:pPr>
          </w:p>
        </w:tc>
      </w:tr>
      <w:tr w14:paraId="761668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1150" w:type="dxa"/>
            <w:vMerge w:val="continue"/>
            <w:vAlign w:val="center"/>
          </w:tcPr>
          <w:p w14:paraId="41911842">
            <w:pPr>
              <w:adjustRightInd w:val="0"/>
              <w:snapToGrid w:val="0"/>
              <w:jc w:val="center"/>
              <w:rPr>
                <w:color w:val="auto"/>
                <w:szCs w:val="21"/>
              </w:rPr>
            </w:pPr>
          </w:p>
        </w:tc>
        <w:tc>
          <w:tcPr>
            <w:tcW w:w="1656" w:type="dxa"/>
            <w:tcBorders>
              <w:bottom w:val="single" w:color="000000" w:sz="4" w:space="0"/>
            </w:tcBorders>
            <w:vAlign w:val="center"/>
          </w:tcPr>
          <w:p w14:paraId="44BA286B">
            <w:pPr>
              <w:jc w:val="center"/>
              <w:rPr>
                <w:rFonts w:hint="eastAsia"/>
                <w:bCs/>
                <w:color w:val="auto"/>
                <w:szCs w:val="21"/>
              </w:rPr>
            </w:pPr>
            <w:r>
              <w:rPr>
                <w:rFonts w:hint="eastAsia"/>
                <w:color w:val="auto"/>
                <w:szCs w:val="21"/>
              </w:rPr>
              <w:t>三车间</w:t>
            </w:r>
            <w:r>
              <w:rPr>
                <w:rFonts w:hint="eastAsia"/>
                <w:color w:val="auto"/>
                <w:szCs w:val="21"/>
                <w:lang w:val="en-US" w:eastAsia="zh-CN"/>
              </w:rPr>
              <w:t>木加工、</w:t>
            </w:r>
            <w:r>
              <w:rPr>
                <w:rFonts w:hint="eastAsia"/>
                <w:color w:val="auto"/>
                <w:szCs w:val="21"/>
              </w:rPr>
              <w:t>砂光粉尘</w:t>
            </w:r>
          </w:p>
        </w:tc>
        <w:tc>
          <w:tcPr>
            <w:tcW w:w="1317" w:type="dxa"/>
            <w:tcBorders>
              <w:bottom w:val="single" w:color="000000" w:sz="4" w:space="0"/>
            </w:tcBorders>
            <w:vAlign w:val="center"/>
          </w:tcPr>
          <w:p w14:paraId="20E3FE04">
            <w:pPr>
              <w:jc w:val="center"/>
              <w:rPr>
                <w:rFonts w:hint="eastAsia"/>
                <w:color w:val="auto"/>
                <w:szCs w:val="21"/>
              </w:rPr>
            </w:pPr>
            <w:r>
              <w:rPr>
                <w:rFonts w:hint="eastAsia"/>
                <w:color w:val="auto"/>
                <w:szCs w:val="21"/>
              </w:rPr>
              <w:t>颗粒物</w:t>
            </w:r>
          </w:p>
        </w:tc>
        <w:tc>
          <w:tcPr>
            <w:tcW w:w="2074" w:type="dxa"/>
            <w:tcBorders>
              <w:bottom w:val="single" w:color="000000" w:sz="4" w:space="0"/>
            </w:tcBorders>
            <w:vAlign w:val="center"/>
          </w:tcPr>
          <w:p w14:paraId="4A7F0A53">
            <w:pPr>
              <w:jc w:val="center"/>
              <w:rPr>
                <w:rFonts w:hint="eastAsia" w:ascii="宋体" w:hAnsi="宋体"/>
                <w:bCs/>
                <w:color w:val="auto"/>
                <w:szCs w:val="21"/>
              </w:rPr>
            </w:pPr>
            <w:r>
              <w:rPr>
                <w:rFonts w:hint="eastAsia"/>
                <w:color w:val="auto"/>
                <w:szCs w:val="21"/>
              </w:rPr>
              <w:t>集气管道</w:t>
            </w:r>
            <w:r>
              <w:rPr>
                <w:color w:val="auto"/>
                <w:szCs w:val="21"/>
              </w:rPr>
              <w:t>+</w:t>
            </w:r>
            <w:r>
              <w:rPr>
                <w:rFonts w:hint="eastAsia"/>
                <w:color w:val="auto"/>
                <w:szCs w:val="21"/>
                <w:lang w:val="en-US" w:eastAsia="zh-CN"/>
              </w:rPr>
              <w:t>中央除尘器</w:t>
            </w:r>
            <w:r>
              <w:rPr>
                <w:color w:val="auto"/>
                <w:szCs w:val="21"/>
              </w:rPr>
              <w:t>+15m排气筒</w:t>
            </w:r>
          </w:p>
        </w:tc>
        <w:tc>
          <w:tcPr>
            <w:tcW w:w="2858" w:type="dxa"/>
            <w:vMerge w:val="continue"/>
            <w:vAlign w:val="center"/>
          </w:tcPr>
          <w:p w14:paraId="5F1B16D0">
            <w:pPr>
              <w:adjustRightInd w:val="0"/>
              <w:snapToGrid w:val="0"/>
              <w:jc w:val="center"/>
              <w:rPr>
                <w:color w:val="auto"/>
                <w:szCs w:val="21"/>
              </w:rPr>
            </w:pPr>
          </w:p>
        </w:tc>
      </w:tr>
      <w:tr w14:paraId="11C652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1150" w:type="dxa"/>
            <w:vMerge w:val="continue"/>
            <w:vAlign w:val="center"/>
          </w:tcPr>
          <w:p w14:paraId="7E82F026">
            <w:pPr>
              <w:adjustRightInd w:val="0"/>
              <w:snapToGrid w:val="0"/>
              <w:jc w:val="center"/>
              <w:rPr>
                <w:color w:val="auto"/>
                <w:szCs w:val="21"/>
              </w:rPr>
            </w:pPr>
          </w:p>
        </w:tc>
        <w:tc>
          <w:tcPr>
            <w:tcW w:w="1656" w:type="dxa"/>
            <w:tcBorders>
              <w:bottom w:val="single" w:color="000000" w:sz="4" w:space="0"/>
            </w:tcBorders>
            <w:vAlign w:val="center"/>
          </w:tcPr>
          <w:p w14:paraId="2A475D7A">
            <w:pPr>
              <w:jc w:val="center"/>
              <w:rPr>
                <w:color w:val="auto"/>
                <w:szCs w:val="21"/>
              </w:rPr>
            </w:pPr>
            <w:r>
              <w:rPr>
                <w:rFonts w:hint="eastAsia"/>
                <w:color w:val="auto"/>
                <w:szCs w:val="21"/>
              </w:rPr>
              <w:t>拼</w:t>
            </w:r>
            <w:r>
              <w:rPr>
                <w:rFonts w:hint="eastAsia"/>
                <w:color w:val="auto"/>
                <w:szCs w:val="21"/>
                <w:lang w:val="en-US" w:eastAsia="zh-CN"/>
              </w:rPr>
              <w:t>板</w:t>
            </w:r>
            <w:r>
              <w:rPr>
                <w:rFonts w:hint="eastAsia"/>
                <w:color w:val="auto"/>
                <w:szCs w:val="21"/>
              </w:rPr>
              <w:t>冷压、贴皮热压、封边、调漆、喷漆、UV油漆辊涂、晾干、修色</w:t>
            </w:r>
            <w:r>
              <w:rPr>
                <w:rFonts w:hint="eastAsia"/>
                <w:color w:val="auto"/>
                <w:szCs w:val="21"/>
                <w:lang w:eastAsia="zh-CN"/>
              </w:rPr>
              <w:t>、</w:t>
            </w:r>
            <w:r>
              <w:rPr>
                <w:rFonts w:hint="eastAsia"/>
                <w:color w:val="auto"/>
                <w:szCs w:val="21"/>
                <w:lang w:val="en-US" w:eastAsia="zh-CN"/>
              </w:rPr>
              <w:t>危废暂存</w:t>
            </w:r>
            <w:r>
              <w:rPr>
                <w:rFonts w:hint="eastAsia"/>
                <w:color w:val="auto"/>
                <w:szCs w:val="21"/>
              </w:rPr>
              <w:t>废气</w:t>
            </w:r>
          </w:p>
        </w:tc>
        <w:tc>
          <w:tcPr>
            <w:tcW w:w="1317" w:type="dxa"/>
            <w:tcBorders>
              <w:bottom w:val="single" w:color="000000" w:sz="4" w:space="0"/>
            </w:tcBorders>
            <w:vAlign w:val="center"/>
          </w:tcPr>
          <w:p w14:paraId="16E4AEFB">
            <w:pPr>
              <w:jc w:val="center"/>
              <w:rPr>
                <w:color w:val="auto"/>
                <w:szCs w:val="21"/>
              </w:rPr>
            </w:pPr>
            <w:r>
              <w:rPr>
                <w:rFonts w:hint="eastAsia"/>
                <w:color w:val="auto"/>
                <w:szCs w:val="21"/>
              </w:rPr>
              <w:t>颗粒物、甲苯、二甲苯、非甲烷总烃</w:t>
            </w:r>
          </w:p>
        </w:tc>
        <w:tc>
          <w:tcPr>
            <w:tcW w:w="2074" w:type="dxa"/>
            <w:tcBorders>
              <w:bottom w:val="single" w:color="000000" w:sz="4" w:space="0"/>
            </w:tcBorders>
            <w:vAlign w:val="center"/>
          </w:tcPr>
          <w:p w14:paraId="1D23DD85">
            <w:pPr>
              <w:jc w:val="center"/>
              <w:rPr>
                <w:color w:val="auto"/>
                <w:szCs w:val="21"/>
              </w:rPr>
            </w:pPr>
            <w:r>
              <w:rPr>
                <w:rFonts w:hint="eastAsia"/>
                <w:color w:val="auto"/>
                <w:szCs w:val="21"/>
              </w:rPr>
              <w:t>密闭喷漆房（过滤棉）、集气罩</w:t>
            </w:r>
            <w:r>
              <w:rPr>
                <w:color w:val="auto"/>
                <w:szCs w:val="21"/>
              </w:rPr>
              <w:t>+</w:t>
            </w:r>
            <w:r>
              <w:rPr>
                <w:rFonts w:hint="eastAsia"/>
                <w:color w:val="auto"/>
                <w:szCs w:val="21"/>
              </w:rPr>
              <w:t>“活性炭吸附</w:t>
            </w:r>
            <w:r>
              <w:rPr>
                <w:rFonts w:hint="eastAsia"/>
                <w:color w:val="auto"/>
                <w:szCs w:val="21"/>
                <w:lang w:eastAsia="zh-CN"/>
              </w:rPr>
              <w:t>、</w:t>
            </w:r>
            <w:r>
              <w:rPr>
                <w:rFonts w:hint="eastAsia"/>
                <w:color w:val="auto"/>
                <w:szCs w:val="21"/>
              </w:rPr>
              <w:t>脱附+</w:t>
            </w:r>
            <w:r>
              <w:rPr>
                <w:rFonts w:hint="eastAsia"/>
                <w:color w:val="auto"/>
                <w:szCs w:val="21"/>
                <w:lang w:val="en-US" w:eastAsia="zh-CN"/>
              </w:rPr>
              <w:t>催化燃烧</w:t>
            </w:r>
            <w:r>
              <w:rPr>
                <w:rFonts w:hint="eastAsia"/>
                <w:color w:val="auto"/>
                <w:szCs w:val="21"/>
              </w:rPr>
              <w:t>”</w:t>
            </w:r>
            <w:r>
              <w:rPr>
                <w:color w:val="auto"/>
                <w:szCs w:val="21"/>
              </w:rPr>
              <w:t>+15m排气筒</w:t>
            </w:r>
          </w:p>
        </w:tc>
        <w:tc>
          <w:tcPr>
            <w:tcW w:w="2858" w:type="dxa"/>
            <w:vMerge w:val="continue"/>
            <w:vAlign w:val="center"/>
          </w:tcPr>
          <w:p w14:paraId="66153A42">
            <w:pPr>
              <w:adjustRightInd w:val="0"/>
              <w:snapToGrid w:val="0"/>
              <w:jc w:val="center"/>
              <w:rPr>
                <w:color w:val="auto"/>
                <w:szCs w:val="21"/>
              </w:rPr>
            </w:pPr>
          </w:p>
        </w:tc>
      </w:tr>
      <w:tr w14:paraId="2BCA3B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50" w:type="dxa"/>
            <w:vAlign w:val="center"/>
          </w:tcPr>
          <w:p w14:paraId="58E7141F">
            <w:pPr>
              <w:adjustRightInd w:val="0"/>
              <w:snapToGrid w:val="0"/>
              <w:jc w:val="center"/>
              <w:rPr>
                <w:color w:val="auto"/>
                <w:szCs w:val="21"/>
              </w:rPr>
            </w:pPr>
            <w:r>
              <w:rPr>
                <w:color w:val="auto"/>
                <w:szCs w:val="21"/>
              </w:rPr>
              <w:t>地表水环境</w:t>
            </w:r>
          </w:p>
        </w:tc>
        <w:tc>
          <w:tcPr>
            <w:tcW w:w="1656" w:type="dxa"/>
            <w:vAlign w:val="center"/>
          </w:tcPr>
          <w:p w14:paraId="61597421">
            <w:pPr>
              <w:adjustRightInd w:val="0"/>
              <w:snapToGrid w:val="0"/>
              <w:jc w:val="center"/>
              <w:rPr>
                <w:rFonts w:hint="default" w:eastAsia="宋体"/>
                <w:color w:val="auto"/>
                <w:szCs w:val="21"/>
                <w:lang w:val="en-US" w:eastAsia="zh-CN"/>
              </w:rPr>
            </w:pPr>
            <w:r>
              <w:rPr>
                <w:color w:val="auto"/>
                <w:szCs w:val="21"/>
              </w:rPr>
              <w:t>生活污水</w:t>
            </w:r>
            <w:r>
              <w:rPr>
                <w:rFonts w:hint="eastAsia"/>
                <w:color w:val="auto"/>
                <w:szCs w:val="21"/>
                <w:lang w:eastAsia="zh-CN"/>
              </w:rPr>
              <w:t>、</w:t>
            </w:r>
            <w:r>
              <w:rPr>
                <w:rFonts w:hint="eastAsia"/>
                <w:b/>
                <w:bCs/>
                <w:color w:val="auto"/>
                <w:szCs w:val="21"/>
                <w:u w:val="single"/>
                <w:lang w:val="en-US" w:eastAsia="zh-CN"/>
              </w:rPr>
              <w:t>制备废水</w:t>
            </w:r>
          </w:p>
        </w:tc>
        <w:tc>
          <w:tcPr>
            <w:tcW w:w="1317" w:type="dxa"/>
            <w:vAlign w:val="center"/>
          </w:tcPr>
          <w:p w14:paraId="4FA18FDD">
            <w:pPr>
              <w:adjustRightInd w:val="0"/>
              <w:snapToGrid w:val="0"/>
              <w:jc w:val="center"/>
              <w:rPr>
                <w:color w:val="auto"/>
                <w:szCs w:val="21"/>
              </w:rPr>
            </w:pPr>
            <w:r>
              <w:rPr>
                <w:color w:val="auto"/>
                <w:szCs w:val="21"/>
              </w:rPr>
              <w:t>COD、</w:t>
            </w:r>
            <w:r>
              <w:rPr>
                <w:rFonts w:hint="eastAsia"/>
                <w:color w:val="auto"/>
                <w:szCs w:val="21"/>
              </w:rPr>
              <w:t>SS、</w:t>
            </w:r>
            <w:r>
              <w:rPr>
                <w:color w:val="auto"/>
                <w:szCs w:val="21"/>
              </w:rPr>
              <w:t>氨氮</w:t>
            </w:r>
            <w:r>
              <w:rPr>
                <w:rFonts w:hint="eastAsia"/>
                <w:color w:val="auto"/>
                <w:szCs w:val="21"/>
              </w:rPr>
              <w:t>、BOD</w:t>
            </w:r>
            <w:r>
              <w:rPr>
                <w:rFonts w:hint="eastAsia"/>
                <w:color w:val="auto"/>
                <w:szCs w:val="21"/>
                <w:vertAlign w:val="subscript"/>
              </w:rPr>
              <w:t>5</w:t>
            </w:r>
          </w:p>
        </w:tc>
        <w:tc>
          <w:tcPr>
            <w:tcW w:w="2074" w:type="dxa"/>
            <w:vAlign w:val="center"/>
          </w:tcPr>
          <w:p w14:paraId="004AAC31">
            <w:pPr>
              <w:adjustRightInd w:val="0"/>
              <w:snapToGrid w:val="0"/>
              <w:jc w:val="center"/>
              <w:rPr>
                <w:rFonts w:hint="default"/>
                <w:color w:val="auto"/>
                <w:szCs w:val="21"/>
                <w:lang w:val="en-US"/>
              </w:rPr>
            </w:pPr>
            <w:r>
              <w:rPr>
                <w:bCs/>
                <w:color w:val="auto"/>
                <w:szCs w:val="21"/>
              </w:rPr>
              <w:t>经厂区</w:t>
            </w:r>
            <w:r>
              <w:rPr>
                <w:rFonts w:hint="eastAsia"/>
                <w:bCs/>
                <w:color w:val="auto"/>
                <w:szCs w:val="21"/>
                <w:lang w:val="en-US" w:eastAsia="zh-CN"/>
              </w:rPr>
              <w:t>自建</w:t>
            </w:r>
            <w:r>
              <w:rPr>
                <w:rFonts w:hint="eastAsia"/>
                <w:bCs/>
                <w:color w:val="auto"/>
                <w:szCs w:val="21"/>
              </w:rPr>
              <w:t>化粪池</w:t>
            </w:r>
            <w:r>
              <w:rPr>
                <w:rFonts w:hint="eastAsia"/>
                <w:color w:val="auto"/>
                <w:lang w:eastAsia="zh-CN"/>
              </w:rPr>
              <w:t>（</w:t>
            </w:r>
            <w:r>
              <w:rPr>
                <w:rFonts w:hint="eastAsia"/>
                <w:color w:val="auto"/>
                <w:lang w:val="en-US" w:eastAsia="zh-CN"/>
              </w:rPr>
              <w:t>12m</w:t>
            </w:r>
            <w:r>
              <w:rPr>
                <w:rFonts w:hint="eastAsia"/>
                <w:color w:val="auto"/>
                <w:vertAlign w:val="superscript"/>
                <w:lang w:val="en-US" w:eastAsia="zh-CN"/>
              </w:rPr>
              <w:t>3</w:t>
            </w:r>
            <w:r>
              <w:rPr>
                <w:rFonts w:hint="eastAsia"/>
                <w:color w:val="auto"/>
                <w:lang w:eastAsia="zh-CN"/>
              </w:rPr>
              <w:t>）</w:t>
            </w:r>
            <w:r>
              <w:rPr>
                <w:bCs/>
                <w:color w:val="auto"/>
                <w:szCs w:val="21"/>
              </w:rPr>
              <w:t>处理后，排入</w:t>
            </w:r>
            <w:r>
              <w:rPr>
                <w:rFonts w:hint="eastAsia"/>
                <w:bCs/>
                <w:color w:val="auto"/>
                <w:szCs w:val="21"/>
              </w:rPr>
              <w:t>清丰中州水务有限公司第二污水处理厂</w:t>
            </w:r>
          </w:p>
        </w:tc>
        <w:tc>
          <w:tcPr>
            <w:tcW w:w="2858" w:type="dxa"/>
            <w:vAlign w:val="center"/>
          </w:tcPr>
          <w:p w14:paraId="5D542924">
            <w:pPr>
              <w:adjustRightInd w:val="0"/>
              <w:snapToGrid w:val="0"/>
              <w:jc w:val="center"/>
              <w:rPr>
                <w:color w:val="auto"/>
                <w:szCs w:val="21"/>
              </w:rPr>
            </w:pPr>
            <w:r>
              <w:rPr>
                <w:rFonts w:hint="eastAsia"/>
                <w:bCs/>
                <w:color w:val="auto"/>
                <w:szCs w:val="21"/>
              </w:rPr>
              <w:t>清丰中州水务有限公司第二污水处理厂</w:t>
            </w:r>
            <w:r>
              <w:rPr>
                <w:bCs/>
                <w:color w:val="auto"/>
                <w:szCs w:val="21"/>
              </w:rPr>
              <w:t>受纳水质标准以及《污水综合排放标准》（GB8978-1996）表4三级标准（COD：</w:t>
            </w:r>
            <w:r>
              <w:rPr>
                <w:bCs/>
                <w:color w:val="auto"/>
              </w:rPr>
              <w:t>350mg/L</w:t>
            </w:r>
            <w:r>
              <w:rPr>
                <w:bCs/>
                <w:color w:val="auto"/>
                <w:szCs w:val="21"/>
              </w:rPr>
              <w:t>，BOD</w:t>
            </w:r>
            <w:r>
              <w:rPr>
                <w:bCs/>
                <w:color w:val="auto"/>
                <w:szCs w:val="21"/>
                <w:vertAlign w:val="subscript"/>
              </w:rPr>
              <w:t>5</w:t>
            </w:r>
            <w:r>
              <w:rPr>
                <w:bCs/>
                <w:color w:val="auto"/>
                <w:szCs w:val="21"/>
              </w:rPr>
              <w:t>：</w:t>
            </w:r>
            <w:r>
              <w:rPr>
                <w:bCs/>
                <w:color w:val="auto"/>
              </w:rPr>
              <w:t>1</w:t>
            </w:r>
            <w:r>
              <w:rPr>
                <w:rFonts w:hint="eastAsia"/>
                <w:bCs/>
                <w:color w:val="auto"/>
              </w:rPr>
              <w:t>6</w:t>
            </w:r>
            <w:r>
              <w:rPr>
                <w:bCs/>
                <w:color w:val="auto"/>
              </w:rPr>
              <w:t>0mg/L</w:t>
            </w:r>
            <w:r>
              <w:rPr>
                <w:bCs/>
                <w:color w:val="auto"/>
                <w:szCs w:val="21"/>
              </w:rPr>
              <w:t>，SS：</w:t>
            </w:r>
            <w:r>
              <w:rPr>
                <w:bCs/>
                <w:color w:val="auto"/>
              </w:rPr>
              <w:t>2</w:t>
            </w:r>
            <w:r>
              <w:rPr>
                <w:rFonts w:hint="eastAsia"/>
                <w:bCs/>
                <w:color w:val="auto"/>
              </w:rPr>
              <w:t>0</w:t>
            </w:r>
            <w:r>
              <w:rPr>
                <w:bCs/>
                <w:color w:val="auto"/>
              </w:rPr>
              <w:t>0mg/L</w:t>
            </w:r>
            <w:r>
              <w:rPr>
                <w:bCs/>
                <w:color w:val="auto"/>
                <w:szCs w:val="21"/>
              </w:rPr>
              <w:t>，NH</w:t>
            </w:r>
            <w:r>
              <w:rPr>
                <w:bCs/>
                <w:color w:val="auto"/>
                <w:szCs w:val="21"/>
                <w:vertAlign w:val="subscript"/>
              </w:rPr>
              <w:t>3</w:t>
            </w:r>
            <w:r>
              <w:rPr>
                <w:bCs/>
                <w:color w:val="auto"/>
                <w:szCs w:val="21"/>
              </w:rPr>
              <w:t>-N：</w:t>
            </w:r>
            <w:r>
              <w:rPr>
                <w:rFonts w:hint="eastAsia"/>
                <w:bCs/>
                <w:color w:val="auto"/>
              </w:rPr>
              <w:t>40</w:t>
            </w:r>
            <w:r>
              <w:rPr>
                <w:bCs/>
                <w:color w:val="auto"/>
              </w:rPr>
              <w:t>mg/L</w:t>
            </w:r>
            <w:r>
              <w:rPr>
                <w:bCs/>
                <w:color w:val="auto"/>
                <w:szCs w:val="21"/>
              </w:rPr>
              <w:t>）</w:t>
            </w:r>
          </w:p>
        </w:tc>
      </w:tr>
      <w:tr w14:paraId="164FA7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50" w:type="dxa"/>
            <w:vAlign w:val="center"/>
          </w:tcPr>
          <w:p w14:paraId="4DB7D409">
            <w:pPr>
              <w:adjustRightInd w:val="0"/>
              <w:snapToGrid w:val="0"/>
              <w:jc w:val="center"/>
              <w:rPr>
                <w:color w:val="auto"/>
                <w:szCs w:val="21"/>
              </w:rPr>
            </w:pPr>
            <w:r>
              <w:rPr>
                <w:color w:val="auto"/>
                <w:szCs w:val="21"/>
              </w:rPr>
              <w:t>声环境</w:t>
            </w:r>
          </w:p>
        </w:tc>
        <w:tc>
          <w:tcPr>
            <w:tcW w:w="1656" w:type="dxa"/>
            <w:vAlign w:val="center"/>
          </w:tcPr>
          <w:p w14:paraId="2015EEA7">
            <w:pPr>
              <w:adjustRightInd w:val="0"/>
              <w:snapToGrid w:val="0"/>
              <w:jc w:val="center"/>
              <w:rPr>
                <w:color w:val="auto"/>
                <w:szCs w:val="21"/>
              </w:rPr>
            </w:pPr>
            <w:r>
              <w:rPr>
                <w:color w:val="auto"/>
                <w:szCs w:val="21"/>
              </w:rPr>
              <w:t>厂界</w:t>
            </w:r>
          </w:p>
        </w:tc>
        <w:tc>
          <w:tcPr>
            <w:tcW w:w="1317" w:type="dxa"/>
            <w:vAlign w:val="center"/>
          </w:tcPr>
          <w:p w14:paraId="4D58BED4">
            <w:pPr>
              <w:adjustRightInd w:val="0"/>
              <w:snapToGrid w:val="0"/>
              <w:jc w:val="center"/>
              <w:rPr>
                <w:color w:val="auto"/>
                <w:szCs w:val="21"/>
              </w:rPr>
            </w:pPr>
            <w:r>
              <w:rPr>
                <w:color w:val="auto"/>
                <w:szCs w:val="21"/>
              </w:rPr>
              <w:t>机械噪声</w:t>
            </w:r>
          </w:p>
        </w:tc>
        <w:tc>
          <w:tcPr>
            <w:tcW w:w="2074" w:type="dxa"/>
            <w:vAlign w:val="center"/>
          </w:tcPr>
          <w:p w14:paraId="2A124EBC">
            <w:pPr>
              <w:adjustRightInd w:val="0"/>
              <w:snapToGrid w:val="0"/>
              <w:jc w:val="center"/>
              <w:rPr>
                <w:color w:val="auto"/>
                <w:szCs w:val="21"/>
              </w:rPr>
            </w:pPr>
            <w:r>
              <w:rPr>
                <w:rFonts w:hint="eastAsia"/>
                <w:color w:val="auto"/>
                <w:szCs w:val="21"/>
              </w:rPr>
              <w:t>基础减振</w:t>
            </w:r>
            <w:r>
              <w:rPr>
                <w:color w:val="auto"/>
                <w:szCs w:val="21"/>
              </w:rPr>
              <w:t>、厂房隔音等措施</w:t>
            </w:r>
          </w:p>
        </w:tc>
        <w:tc>
          <w:tcPr>
            <w:tcW w:w="2858" w:type="dxa"/>
            <w:vAlign w:val="center"/>
          </w:tcPr>
          <w:p w14:paraId="4BFB841B">
            <w:pPr>
              <w:snapToGrid w:val="0"/>
              <w:jc w:val="center"/>
              <w:rPr>
                <w:color w:val="auto"/>
                <w:szCs w:val="21"/>
              </w:rPr>
            </w:pPr>
            <w:r>
              <w:rPr>
                <w:color w:val="auto"/>
                <w:szCs w:val="21"/>
              </w:rPr>
              <w:t>《工业企业厂界环境噪声排放标准》（GB12348-2008）3类标准</w:t>
            </w:r>
            <w:r>
              <w:rPr>
                <w:rFonts w:hint="eastAsia"/>
                <w:bCs/>
                <w:color w:val="auto"/>
                <w:szCs w:val="21"/>
              </w:rPr>
              <w:t>（昼间&lt;65dB(A)）</w:t>
            </w:r>
          </w:p>
        </w:tc>
      </w:tr>
      <w:tr w14:paraId="12051A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50" w:type="dxa"/>
            <w:vAlign w:val="center"/>
          </w:tcPr>
          <w:p w14:paraId="3A3EF40A">
            <w:pPr>
              <w:adjustRightInd w:val="0"/>
              <w:snapToGrid w:val="0"/>
              <w:jc w:val="center"/>
              <w:rPr>
                <w:color w:val="auto"/>
                <w:szCs w:val="21"/>
              </w:rPr>
            </w:pPr>
            <w:r>
              <w:rPr>
                <w:color w:val="auto"/>
                <w:szCs w:val="21"/>
              </w:rPr>
              <w:t>电磁辐射</w:t>
            </w:r>
          </w:p>
        </w:tc>
        <w:tc>
          <w:tcPr>
            <w:tcW w:w="7905" w:type="dxa"/>
            <w:gridSpan w:val="4"/>
            <w:vAlign w:val="center"/>
          </w:tcPr>
          <w:p w14:paraId="291A98E3">
            <w:pPr>
              <w:adjustRightInd w:val="0"/>
              <w:snapToGrid w:val="0"/>
              <w:jc w:val="center"/>
              <w:rPr>
                <w:color w:val="auto"/>
                <w:szCs w:val="21"/>
              </w:rPr>
            </w:pPr>
            <w:r>
              <w:rPr>
                <w:color w:val="auto"/>
                <w:szCs w:val="21"/>
              </w:rPr>
              <w:t>/</w:t>
            </w:r>
          </w:p>
        </w:tc>
      </w:tr>
      <w:tr w14:paraId="006F4B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150" w:type="dxa"/>
            <w:vAlign w:val="center"/>
          </w:tcPr>
          <w:p w14:paraId="7A291704">
            <w:pPr>
              <w:adjustRightInd w:val="0"/>
              <w:snapToGrid w:val="0"/>
              <w:jc w:val="center"/>
              <w:rPr>
                <w:color w:val="auto"/>
                <w:szCs w:val="21"/>
              </w:rPr>
            </w:pPr>
            <w:r>
              <w:rPr>
                <w:color w:val="auto"/>
                <w:szCs w:val="21"/>
              </w:rPr>
              <w:t>固体废物</w:t>
            </w:r>
          </w:p>
        </w:tc>
        <w:tc>
          <w:tcPr>
            <w:tcW w:w="7905" w:type="dxa"/>
            <w:gridSpan w:val="4"/>
            <w:vAlign w:val="center"/>
          </w:tcPr>
          <w:p w14:paraId="0A0A9708">
            <w:pPr>
              <w:adjustRightInd w:val="0"/>
              <w:snapToGrid w:val="0"/>
              <w:jc w:val="center"/>
              <w:rPr>
                <w:color w:val="auto"/>
                <w:szCs w:val="21"/>
              </w:rPr>
            </w:pPr>
            <w:r>
              <w:rPr>
                <w:rFonts w:hint="eastAsia"/>
                <w:color w:val="auto"/>
                <w:szCs w:val="21"/>
              </w:rPr>
              <w:t>废</w:t>
            </w:r>
            <w:r>
              <w:rPr>
                <w:color w:val="auto"/>
                <w:szCs w:val="21"/>
              </w:rPr>
              <w:t>边角料、除尘器收粉尘、</w:t>
            </w:r>
            <w:r>
              <w:rPr>
                <w:rFonts w:hint="eastAsia"/>
                <w:color w:val="auto"/>
                <w:szCs w:val="21"/>
              </w:rPr>
              <w:t>废砂纸</w:t>
            </w:r>
            <w:r>
              <w:rPr>
                <w:color w:val="auto"/>
                <w:szCs w:val="21"/>
              </w:rPr>
              <w:t>收集后外售；</w:t>
            </w:r>
            <w:r>
              <w:rPr>
                <w:rFonts w:hint="eastAsia"/>
                <w:b/>
                <w:bCs/>
                <w:color w:val="auto"/>
                <w:szCs w:val="21"/>
                <w:u w:val="single"/>
              </w:rPr>
              <w:t>饮水机RO膜</w:t>
            </w:r>
            <w:r>
              <w:rPr>
                <w:rFonts w:hint="eastAsia"/>
                <w:b/>
                <w:bCs/>
                <w:color w:val="auto"/>
                <w:szCs w:val="21"/>
                <w:u w:val="single"/>
                <w:lang w:val="en-US" w:eastAsia="zh-CN"/>
              </w:rPr>
              <w:t>一年更换一次，由厂家回收处理；</w:t>
            </w:r>
            <w:r>
              <w:rPr>
                <w:color w:val="auto"/>
                <w:szCs w:val="21"/>
              </w:rPr>
              <w:t>职工生活垃圾由环卫部门统一处理；</w:t>
            </w:r>
            <w:r>
              <w:rPr>
                <w:rFonts w:hint="eastAsia"/>
                <w:color w:val="auto"/>
                <w:szCs w:val="21"/>
                <w:lang w:val="en-US" w:eastAsia="zh-CN"/>
              </w:rPr>
              <w:t>油磨粉尘、</w:t>
            </w:r>
            <w:r>
              <w:rPr>
                <w:rFonts w:hint="eastAsia"/>
                <w:color w:val="auto"/>
                <w:szCs w:val="21"/>
              </w:rPr>
              <w:t>废活性炭、</w:t>
            </w:r>
            <w:r>
              <w:rPr>
                <w:rFonts w:hint="eastAsia"/>
                <w:color w:val="auto"/>
                <w:szCs w:val="21"/>
                <w:lang w:val="en-US" w:eastAsia="zh-CN"/>
              </w:rPr>
              <w:t>废机油、</w:t>
            </w:r>
            <w:r>
              <w:rPr>
                <w:rFonts w:hint="eastAsia"/>
                <w:color w:val="auto"/>
                <w:szCs w:val="21"/>
              </w:rPr>
              <w:t>废液压油、</w:t>
            </w:r>
            <w:r>
              <w:rPr>
                <w:rFonts w:hint="eastAsia"/>
                <w:color w:val="auto"/>
                <w:szCs w:val="21"/>
                <w:lang w:val="en-US" w:eastAsia="zh-CN"/>
              </w:rPr>
              <w:t>废机油桶、废液压油桶、</w:t>
            </w:r>
            <w:r>
              <w:rPr>
                <w:rFonts w:hint="eastAsia"/>
                <w:color w:val="auto"/>
                <w:szCs w:val="21"/>
              </w:rPr>
              <w:t>废过滤棉、</w:t>
            </w:r>
            <w:r>
              <w:rPr>
                <w:rFonts w:hint="eastAsia"/>
                <w:color w:val="auto"/>
                <w:szCs w:val="21"/>
                <w:lang w:val="en-US" w:eastAsia="zh-CN"/>
              </w:rPr>
              <w:t>废包装桶、</w:t>
            </w:r>
            <w:r>
              <w:rPr>
                <w:rFonts w:hint="eastAsia"/>
                <w:color w:val="auto"/>
                <w:szCs w:val="21"/>
              </w:rPr>
              <w:t>废催化剂</w:t>
            </w:r>
            <w:r>
              <w:rPr>
                <w:rFonts w:hint="eastAsia"/>
                <w:color w:val="auto"/>
                <w:szCs w:val="21"/>
                <w:lang w:eastAsia="zh-CN"/>
              </w:rPr>
              <w:t>、</w:t>
            </w:r>
            <w:r>
              <w:rPr>
                <w:rFonts w:hint="eastAsia"/>
                <w:color w:val="auto"/>
                <w:szCs w:val="21"/>
                <w:lang w:val="en-US" w:eastAsia="zh-CN"/>
              </w:rPr>
              <w:t>废UV灯管</w:t>
            </w:r>
            <w:r>
              <w:rPr>
                <w:color w:val="auto"/>
                <w:szCs w:val="21"/>
              </w:rPr>
              <w:t>交有资质单位处理。</w:t>
            </w:r>
          </w:p>
        </w:tc>
      </w:tr>
      <w:tr w14:paraId="2B10EF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1" w:hRule="atLeast"/>
          <w:jc w:val="center"/>
        </w:trPr>
        <w:tc>
          <w:tcPr>
            <w:tcW w:w="1150" w:type="dxa"/>
            <w:vAlign w:val="center"/>
          </w:tcPr>
          <w:p w14:paraId="05763EE3">
            <w:pPr>
              <w:adjustRightInd w:val="0"/>
              <w:snapToGrid w:val="0"/>
              <w:jc w:val="center"/>
              <w:rPr>
                <w:color w:val="auto"/>
                <w:szCs w:val="21"/>
              </w:rPr>
            </w:pPr>
            <w:r>
              <w:rPr>
                <w:color w:val="auto"/>
                <w:szCs w:val="21"/>
              </w:rPr>
              <w:t>土壤及地下水污染防治措施</w:t>
            </w:r>
          </w:p>
        </w:tc>
        <w:tc>
          <w:tcPr>
            <w:tcW w:w="7905" w:type="dxa"/>
            <w:gridSpan w:val="4"/>
            <w:vAlign w:val="center"/>
          </w:tcPr>
          <w:p w14:paraId="4E3415BE">
            <w:pPr>
              <w:adjustRightInd w:val="0"/>
              <w:snapToGrid w:val="0"/>
              <w:jc w:val="center"/>
              <w:rPr>
                <w:color w:val="auto"/>
                <w:szCs w:val="21"/>
              </w:rPr>
            </w:pPr>
            <w:r>
              <w:rPr>
                <w:color w:val="auto"/>
                <w:szCs w:val="21"/>
              </w:rPr>
              <w:t>场地硬化、防渗、防漏</w:t>
            </w:r>
          </w:p>
        </w:tc>
      </w:tr>
      <w:tr w14:paraId="5FCC82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0" w:type="dxa"/>
            <w:vAlign w:val="center"/>
          </w:tcPr>
          <w:p w14:paraId="16A3E130">
            <w:pPr>
              <w:adjustRightInd w:val="0"/>
              <w:snapToGrid w:val="0"/>
              <w:jc w:val="center"/>
              <w:rPr>
                <w:color w:val="auto"/>
                <w:szCs w:val="21"/>
              </w:rPr>
            </w:pPr>
            <w:r>
              <w:rPr>
                <w:color w:val="auto"/>
                <w:szCs w:val="21"/>
              </w:rPr>
              <w:t>生态保护措施</w:t>
            </w:r>
          </w:p>
        </w:tc>
        <w:tc>
          <w:tcPr>
            <w:tcW w:w="7905" w:type="dxa"/>
            <w:gridSpan w:val="4"/>
            <w:vAlign w:val="center"/>
          </w:tcPr>
          <w:p w14:paraId="175A1210">
            <w:pPr>
              <w:adjustRightInd w:val="0"/>
              <w:snapToGrid w:val="0"/>
              <w:jc w:val="center"/>
              <w:rPr>
                <w:color w:val="auto"/>
                <w:szCs w:val="21"/>
              </w:rPr>
            </w:pPr>
            <w:r>
              <w:rPr>
                <w:rFonts w:hint="eastAsia"/>
                <w:color w:val="auto"/>
                <w:szCs w:val="21"/>
              </w:rPr>
              <w:t>/</w:t>
            </w:r>
          </w:p>
        </w:tc>
      </w:tr>
      <w:tr w14:paraId="53374C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150" w:type="dxa"/>
            <w:vAlign w:val="center"/>
          </w:tcPr>
          <w:p w14:paraId="5CF218DE">
            <w:pPr>
              <w:adjustRightInd w:val="0"/>
              <w:snapToGrid w:val="0"/>
              <w:jc w:val="center"/>
              <w:rPr>
                <w:color w:val="auto"/>
                <w:spacing w:val="-8"/>
                <w:szCs w:val="21"/>
              </w:rPr>
            </w:pPr>
            <w:r>
              <w:rPr>
                <w:color w:val="auto"/>
                <w:spacing w:val="-8"/>
                <w:szCs w:val="21"/>
              </w:rPr>
              <w:t>环境风险</w:t>
            </w:r>
          </w:p>
          <w:p w14:paraId="7F35C200">
            <w:pPr>
              <w:adjustRightInd w:val="0"/>
              <w:snapToGrid w:val="0"/>
              <w:jc w:val="center"/>
              <w:rPr>
                <w:color w:val="auto"/>
                <w:spacing w:val="-8"/>
                <w:szCs w:val="21"/>
              </w:rPr>
            </w:pPr>
            <w:r>
              <w:rPr>
                <w:color w:val="auto"/>
                <w:spacing w:val="-8"/>
                <w:szCs w:val="21"/>
              </w:rPr>
              <w:t>防范措施</w:t>
            </w:r>
          </w:p>
        </w:tc>
        <w:tc>
          <w:tcPr>
            <w:tcW w:w="7905" w:type="dxa"/>
            <w:gridSpan w:val="4"/>
            <w:vAlign w:val="center"/>
          </w:tcPr>
          <w:p w14:paraId="1AB8EBB0">
            <w:pPr>
              <w:adjustRightInd w:val="0"/>
              <w:snapToGrid w:val="0"/>
              <w:spacing w:line="460" w:lineRule="exact"/>
              <w:ind w:firstLine="420" w:firstLineChars="200"/>
              <w:jc w:val="left"/>
              <w:rPr>
                <w:color w:val="auto"/>
                <w:szCs w:val="21"/>
              </w:rPr>
            </w:pPr>
            <w:r>
              <w:rPr>
                <w:color w:val="auto"/>
                <w:kern w:val="24"/>
                <w:szCs w:val="21"/>
              </w:rPr>
              <w:t>在生产车间、办公等区域配备相应数量的便携式手提灭火器和消防栓</w:t>
            </w:r>
            <w:r>
              <w:rPr>
                <w:rFonts w:hint="eastAsia"/>
                <w:color w:val="auto"/>
                <w:kern w:val="24"/>
                <w:szCs w:val="21"/>
              </w:rPr>
              <w:t>。对各种原料应按有关消防规范分类储存，以降低事故发生率。易燃物储存区要形成相对独立区，并在周围设防火墙，隔离带</w:t>
            </w:r>
            <w:r>
              <w:rPr>
                <w:color w:val="auto"/>
                <w:kern w:val="24"/>
                <w:szCs w:val="21"/>
              </w:rPr>
              <w:t>并在醒目位置写有“禁止吸烟”等的标语</w:t>
            </w:r>
            <w:r>
              <w:rPr>
                <w:rFonts w:hint="eastAsia"/>
                <w:color w:val="auto"/>
                <w:kern w:val="24"/>
                <w:szCs w:val="21"/>
              </w:rPr>
              <w:t>。</w:t>
            </w:r>
          </w:p>
        </w:tc>
      </w:tr>
      <w:tr w14:paraId="495A35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0" w:hRule="atLeast"/>
          <w:jc w:val="center"/>
        </w:trPr>
        <w:tc>
          <w:tcPr>
            <w:tcW w:w="1150" w:type="dxa"/>
            <w:vAlign w:val="center"/>
          </w:tcPr>
          <w:p w14:paraId="07B88CE7">
            <w:pPr>
              <w:adjustRightInd w:val="0"/>
              <w:snapToGrid w:val="0"/>
              <w:jc w:val="center"/>
              <w:rPr>
                <w:color w:val="auto"/>
                <w:spacing w:val="-8"/>
                <w:szCs w:val="21"/>
              </w:rPr>
            </w:pPr>
            <w:r>
              <w:rPr>
                <w:color w:val="auto"/>
                <w:spacing w:val="-8"/>
                <w:szCs w:val="21"/>
              </w:rPr>
              <w:t>其他环境</w:t>
            </w:r>
          </w:p>
          <w:p w14:paraId="28702398">
            <w:pPr>
              <w:adjustRightInd w:val="0"/>
              <w:snapToGrid w:val="0"/>
              <w:jc w:val="center"/>
              <w:rPr>
                <w:color w:val="auto"/>
                <w:spacing w:val="-8"/>
                <w:szCs w:val="21"/>
              </w:rPr>
            </w:pPr>
            <w:r>
              <w:rPr>
                <w:color w:val="auto"/>
                <w:spacing w:val="-8"/>
                <w:szCs w:val="21"/>
              </w:rPr>
              <w:t>管理要求</w:t>
            </w:r>
          </w:p>
        </w:tc>
        <w:tc>
          <w:tcPr>
            <w:tcW w:w="7905" w:type="dxa"/>
            <w:gridSpan w:val="4"/>
            <w:vAlign w:val="center"/>
          </w:tcPr>
          <w:p w14:paraId="38FE27A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olor w:val="auto"/>
              </w:rPr>
            </w:pPr>
            <w:r>
              <w:rPr>
                <w:rFonts w:hint="eastAsia"/>
                <w:color w:val="auto"/>
              </w:rPr>
              <w:t>1、根据《排污许可管理条例》、《固定污染源排污许可分类管理名录（2019年版）》申请排污许可证，按照排污许可证要求实行自行监测和定期报告：依法开展自行监测，保证设备正常运行、要保存始记录，建立准确完整的环境管理台账。如实向环境保护部门报告排污许可证执行情况，依法向社会公开污染物排放数据并对数据真实性负责。排放情况与排污许可证要求不符的，应及时向生态环境部门报告。</w:t>
            </w:r>
          </w:p>
          <w:p w14:paraId="3DCF192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olor w:val="auto"/>
              </w:rPr>
            </w:pPr>
            <w:r>
              <w:rPr>
                <w:rFonts w:hint="eastAsia"/>
                <w:color w:val="auto"/>
              </w:rPr>
              <w:t>2、项目相关环境保护设施竣工后，尽快组织完成竣工验收。</w:t>
            </w:r>
          </w:p>
          <w:p w14:paraId="4B47CEA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olor w:val="auto"/>
              </w:rPr>
            </w:pPr>
            <w:r>
              <w:rPr>
                <w:rFonts w:hint="eastAsia"/>
                <w:color w:val="auto"/>
              </w:rPr>
              <w:t>3、落实重污染天气应急管控措施、遵守法律规定的最新环境保护要求等。</w:t>
            </w:r>
          </w:p>
          <w:p w14:paraId="31495FC3">
            <w:pPr>
              <w:pStyle w:val="32"/>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420" w:firstLineChars="200"/>
              <w:jc w:val="both"/>
              <w:textAlignment w:val="auto"/>
              <w:rPr>
                <w:color w:val="auto"/>
              </w:rPr>
            </w:pPr>
            <w:r>
              <w:rPr>
                <w:rFonts w:hint="eastAsia" w:ascii="Times New Roman" w:hAnsi="Times New Roman" w:eastAsia="宋体" w:cs="Times New Roman"/>
                <w:b w:val="0"/>
                <w:bCs/>
                <w:color w:val="auto"/>
                <w:kern w:val="2"/>
                <w:sz w:val="21"/>
                <w:szCs w:val="24"/>
                <w:lang w:val="en-US" w:eastAsia="zh-CN" w:bidi="ar-SA"/>
              </w:rPr>
              <w:t>4、结合当前环保管理要求，评价建议建设单位对本项目厂容厂貌规范建设，厂区围墙不能低于2.5m；厂区地面进行全部硬化；生产车间全部封闭等。</w:t>
            </w:r>
          </w:p>
          <w:p w14:paraId="0C6A9F35">
            <w:pPr>
              <w:rPr>
                <w:color w:val="auto"/>
              </w:rPr>
            </w:pPr>
          </w:p>
          <w:p w14:paraId="6A20FB45">
            <w:pPr>
              <w:pStyle w:val="32"/>
              <w:rPr>
                <w:color w:val="auto"/>
              </w:rPr>
            </w:pPr>
          </w:p>
          <w:p w14:paraId="724FAD3C">
            <w:pPr>
              <w:rPr>
                <w:color w:val="auto"/>
              </w:rPr>
            </w:pPr>
          </w:p>
          <w:p w14:paraId="0C4D3168">
            <w:pPr>
              <w:rPr>
                <w:color w:val="auto"/>
              </w:rPr>
            </w:pPr>
          </w:p>
          <w:p w14:paraId="56929178">
            <w:pPr>
              <w:pStyle w:val="32"/>
              <w:rPr>
                <w:color w:val="auto"/>
              </w:rPr>
            </w:pPr>
          </w:p>
          <w:p w14:paraId="59FDBCE7">
            <w:pPr>
              <w:rPr>
                <w:color w:val="auto"/>
              </w:rPr>
            </w:pPr>
          </w:p>
          <w:p w14:paraId="35053536">
            <w:pPr>
              <w:pStyle w:val="32"/>
              <w:rPr>
                <w:color w:val="auto"/>
              </w:rPr>
            </w:pPr>
          </w:p>
          <w:p w14:paraId="08DCAF41">
            <w:pPr>
              <w:rPr>
                <w:color w:val="auto"/>
              </w:rPr>
            </w:pPr>
          </w:p>
          <w:p w14:paraId="171B9B25">
            <w:pPr>
              <w:pStyle w:val="32"/>
              <w:rPr>
                <w:color w:val="auto"/>
              </w:rPr>
            </w:pPr>
          </w:p>
          <w:p w14:paraId="24BFF13F">
            <w:pPr>
              <w:rPr>
                <w:color w:val="auto"/>
              </w:rPr>
            </w:pPr>
          </w:p>
          <w:p w14:paraId="129011C4">
            <w:pPr>
              <w:pStyle w:val="32"/>
              <w:rPr>
                <w:color w:val="auto"/>
              </w:rPr>
            </w:pPr>
          </w:p>
          <w:p w14:paraId="7704B05D">
            <w:pPr>
              <w:rPr>
                <w:color w:val="auto"/>
              </w:rPr>
            </w:pPr>
          </w:p>
          <w:p w14:paraId="01D08179">
            <w:pPr>
              <w:pStyle w:val="32"/>
              <w:rPr>
                <w:color w:val="auto"/>
              </w:rPr>
            </w:pPr>
          </w:p>
          <w:p w14:paraId="72050936">
            <w:pPr>
              <w:rPr>
                <w:color w:val="auto"/>
              </w:rPr>
            </w:pPr>
          </w:p>
          <w:p w14:paraId="26597A00">
            <w:pPr>
              <w:pStyle w:val="32"/>
              <w:rPr>
                <w:color w:val="auto"/>
              </w:rPr>
            </w:pPr>
          </w:p>
          <w:p w14:paraId="42920416">
            <w:pPr>
              <w:pStyle w:val="32"/>
              <w:rPr>
                <w:color w:val="auto"/>
              </w:rPr>
            </w:pPr>
          </w:p>
        </w:tc>
      </w:tr>
    </w:tbl>
    <w:p w14:paraId="0E19CC62">
      <w:pPr>
        <w:pStyle w:val="21"/>
        <w:widowControl w:val="0"/>
        <w:snapToGrid w:val="0"/>
        <w:spacing w:before="0" w:beforeAutospacing="0" w:after="0" w:afterAutospacing="0"/>
        <w:jc w:val="center"/>
        <w:outlineLvl w:val="0"/>
        <w:rPr>
          <w:rFonts w:ascii="黑体" w:hAnsi="黑体" w:eastAsia="黑体"/>
          <w:snapToGrid w:val="0"/>
          <w:color w:val="auto"/>
          <w:sz w:val="30"/>
          <w:szCs w:val="30"/>
        </w:rPr>
      </w:pPr>
      <w:r>
        <w:rPr>
          <w:snapToGrid w:val="0"/>
          <w:color w:val="auto"/>
        </w:rPr>
        <w:br w:type="page"/>
      </w:r>
      <w:bookmarkStart w:id="107" w:name="_Toc17542"/>
      <w:bookmarkStart w:id="108" w:name="_Toc27039"/>
      <w:bookmarkStart w:id="109" w:name="_Toc1835"/>
      <w:r>
        <w:rPr>
          <w:rFonts w:hint="eastAsia" w:cs="宋体"/>
          <w:b/>
          <w:bCs/>
          <w:snapToGrid w:val="0"/>
          <w:color w:val="auto"/>
          <w:sz w:val="30"/>
          <w:szCs w:val="30"/>
        </w:rPr>
        <w:t>六、结论</w:t>
      </w:r>
      <w:bookmarkEnd w:id="107"/>
      <w:bookmarkEnd w:id="108"/>
      <w:bookmarkEnd w:id="109"/>
    </w:p>
    <w:tbl>
      <w:tblPr>
        <w:tblStyle w:val="25"/>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6FBF12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22" w:hRule="atLeast"/>
          <w:jc w:val="center"/>
        </w:trPr>
        <w:tc>
          <w:tcPr>
            <w:tcW w:w="8865" w:type="dxa"/>
            <w:vAlign w:val="center"/>
          </w:tcPr>
          <w:p w14:paraId="2D951A2B">
            <w:pPr>
              <w:spacing w:line="360" w:lineRule="auto"/>
              <w:ind w:firstLine="480" w:firstLineChars="200"/>
              <w:rPr>
                <w:color w:val="auto"/>
                <w:sz w:val="24"/>
              </w:rPr>
            </w:pPr>
            <w:r>
              <w:rPr>
                <w:rFonts w:hint="eastAsia"/>
                <w:color w:val="auto"/>
                <w:sz w:val="24"/>
              </w:rPr>
              <w:t>本项目符合国家当前的产业政策，项目运营期产生的废气、废水、噪声、固废等在采取评价提出的相应污染防治措施后，均可得到有效的治理或综合利用，实现达标排放。因此，本项目在严格落实评价提出的污染防治措施的前提下，从环保角度分析，本项目建设</w:t>
            </w:r>
            <w:r>
              <w:rPr>
                <w:color w:val="auto"/>
                <w:sz w:val="24"/>
              </w:rPr>
              <w:t>可行。</w:t>
            </w:r>
          </w:p>
          <w:p w14:paraId="1C677E17">
            <w:pPr>
              <w:spacing w:line="360" w:lineRule="auto"/>
              <w:ind w:firstLine="480" w:firstLineChars="200"/>
              <w:rPr>
                <w:color w:val="auto"/>
                <w:sz w:val="24"/>
              </w:rPr>
            </w:pPr>
          </w:p>
          <w:p w14:paraId="55C2005E">
            <w:pPr>
              <w:spacing w:line="360" w:lineRule="auto"/>
              <w:ind w:firstLine="480" w:firstLineChars="200"/>
              <w:rPr>
                <w:color w:val="auto"/>
                <w:sz w:val="24"/>
              </w:rPr>
            </w:pPr>
          </w:p>
          <w:p w14:paraId="55C6D443">
            <w:pPr>
              <w:spacing w:line="360" w:lineRule="auto"/>
              <w:ind w:firstLine="480" w:firstLineChars="200"/>
              <w:rPr>
                <w:color w:val="auto"/>
                <w:sz w:val="24"/>
              </w:rPr>
            </w:pPr>
          </w:p>
          <w:p w14:paraId="2BAC03DB">
            <w:pPr>
              <w:spacing w:line="360" w:lineRule="auto"/>
              <w:ind w:firstLine="480" w:firstLineChars="200"/>
              <w:rPr>
                <w:color w:val="auto"/>
                <w:sz w:val="24"/>
              </w:rPr>
            </w:pPr>
          </w:p>
          <w:p w14:paraId="7805742B">
            <w:pPr>
              <w:spacing w:line="360" w:lineRule="auto"/>
              <w:ind w:firstLine="480" w:firstLineChars="200"/>
              <w:rPr>
                <w:color w:val="auto"/>
                <w:sz w:val="24"/>
              </w:rPr>
            </w:pPr>
          </w:p>
          <w:p w14:paraId="6EAE7BFE">
            <w:pPr>
              <w:spacing w:line="360" w:lineRule="auto"/>
              <w:ind w:firstLine="480" w:firstLineChars="200"/>
              <w:rPr>
                <w:color w:val="auto"/>
                <w:sz w:val="24"/>
              </w:rPr>
            </w:pPr>
          </w:p>
          <w:p w14:paraId="69A25433">
            <w:pPr>
              <w:spacing w:line="360" w:lineRule="auto"/>
              <w:ind w:firstLine="480" w:firstLineChars="200"/>
              <w:rPr>
                <w:rFonts w:hint="eastAsia"/>
                <w:color w:val="auto"/>
                <w:sz w:val="24"/>
              </w:rPr>
            </w:pPr>
          </w:p>
        </w:tc>
      </w:tr>
    </w:tbl>
    <w:p w14:paraId="2C08B67D">
      <w:pPr>
        <w:rPr>
          <w:color w:val="auto"/>
        </w:rPr>
        <w:sectPr>
          <w:pgSz w:w="11905" w:h="16838"/>
          <w:pgMar w:top="1440" w:right="1800" w:bottom="1440" w:left="1800" w:header="851" w:footer="1077" w:gutter="0"/>
          <w:pgNumType w:fmt="decimal"/>
          <w:cols w:space="720" w:num="1"/>
          <w:docGrid w:linePitch="312" w:charSpace="0"/>
        </w:sectPr>
      </w:pPr>
    </w:p>
    <w:p w14:paraId="7647B5A3">
      <w:pPr>
        <w:pStyle w:val="21"/>
        <w:adjustRightInd w:val="0"/>
        <w:snapToGrid w:val="0"/>
        <w:spacing w:before="0" w:beforeAutospacing="0" w:after="0" w:afterAutospacing="0" w:line="360" w:lineRule="auto"/>
        <w:outlineLvl w:val="0"/>
        <w:rPr>
          <w:rFonts w:hint="eastAsia" w:ascii="黑体" w:hAnsi="黑体" w:eastAsia="黑体"/>
          <w:snapToGrid w:val="0"/>
          <w:color w:val="auto"/>
          <w:sz w:val="32"/>
          <w:szCs w:val="32"/>
        </w:rPr>
      </w:pPr>
      <w:bookmarkStart w:id="110" w:name="_Toc6897"/>
      <w:bookmarkStart w:id="111" w:name="_Toc30304"/>
      <w:bookmarkStart w:id="112" w:name="_Toc3914"/>
      <w:r>
        <w:rPr>
          <w:rFonts w:hint="eastAsia" w:ascii="黑体" w:hAnsi="黑体" w:eastAsia="黑体"/>
          <w:snapToGrid w:val="0"/>
          <w:color w:val="auto"/>
          <w:sz w:val="32"/>
          <w:szCs w:val="32"/>
        </w:rPr>
        <w:t>附表</w:t>
      </w:r>
      <w:bookmarkEnd w:id="110"/>
      <w:bookmarkEnd w:id="111"/>
      <w:bookmarkEnd w:id="112"/>
      <w:bookmarkStart w:id="113" w:name="_Toc12809"/>
      <w:bookmarkStart w:id="114" w:name="_Toc16337"/>
    </w:p>
    <w:p w14:paraId="4AB02099">
      <w:pPr>
        <w:pStyle w:val="21"/>
        <w:adjustRightInd w:val="0"/>
        <w:snapToGrid w:val="0"/>
        <w:spacing w:before="0" w:beforeAutospacing="0" w:after="0" w:afterAutospacing="0"/>
        <w:jc w:val="center"/>
        <w:outlineLvl w:val="0"/>
        <w:rPr>
          <w:rFonts w:hint="eastAsia" w:ascii="方正小标宋_GBK" w:hAnsi="黑体" w:eastAsia="方正小标宋_GBK"/>
          <w:snapToGrid w:val="0"/>
          <w:color w:val="auto"/>
          <w:sz w:val="38"/>
          <w:szCs w:val="38"/>
        </w:rPr>
      </w:pPr>
      <w:bookmarkStart w:id="115" w:name="_Toc7613"/>
      <w:r>
        <w:rPr>
          <w:rFonts w:hint="eastAsia" w:ascii="方正小标宋_GBK" w:hAnsi="黑体" w:eastAsia="方正小标宋_GBK"/>
          <w:snapToGrid w:val="0"/>
          <w:color w:val="auto"/>
          <w:sz w:val="38"/>
          <w:szCs w:val="38"/>
        </w:rPr>
        <w:t>建设项目污染物排放量汇总表</w:t>
      </w:r>
      <w:bookmarkEnd w:id="113"/>
      <w:bookmarkEnd w:id="114"/>
      <w:bookmarkEnd w:id="115"/>
    </w:p>
    <w:tbl>
      <w:tblPr>
        <w:tblStyle w:val="25"/>
        <w:tblW w:w="1388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1559"/>
        <w:gridCol w:w="1560"/>
        <w:gridCol w:w="1156"/>
        <w:gridCol w:w="1544"/>
        <w:gridCol w:w="1785"/>
        <w:gridCol w:w="1575"/>
        <w:gridCol w:w="2205"/>
        <w:gridCol w:w="1395"/>
      </w:tblGrid>
      <w:tr w14:paraId="7EFF8D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06" w:type="dxa"/>
            <w:tcBorders>
              <w:tl2br w:val="single" w:color="auto" w:sz="4" w:space="0"/>
            </w:tcBorders>
            <w:tcMar>
              <w:left w:w="28" w:type="dxa"/>
              <w:right w:w="28" w:type="dxa"/>
            </w:tcMar>
            <w:vAlign w:val="center"/>
          </w:tcPr>
          <w:p w14:paraId="43C48481">
            <w:pPr>
              <w:pStyle w:val="51"/>
              <w:spacing w:before="0" w:beforeLines="0" w:after="0" w:afterLines="0" w:line="240" w:lineRule="auto"/>
              <w:ind w:right="0"/>
              <w:rPr>
                <w:rFonts w:ascii="Times New Roman" w:eastAsia="黑体"/>
                <w:snapToGrid w:val="0"/>
                <w:color w:val="auto"/>
                <w:spacing w:val="-6"/>
                <w:kern w:val="21"/>
                <w:szCs w:val="21"/>
              </w:rPr>
            </w:pPr>
            <w:r>
              <w:rPr>
                <w:rFonts w:ascii="Times New Roman" w:eastAsia="黑体"/>
                <w:snapToGrid w:val="0"/>
                <w:color w:val="auto"/>
                <w:spacing w:val="-6"/>
                <w:kern w:val="21"/>
                <w:szCs w:val="21"/>
              </w:rPr>
              <w:t>项目</w:t>
            </w:r>
          </w:p>
          <w:p w14:paraId="0441542D">
            <w:pPr>
              <w:pStyle w:val="51"/>
              <w:spacing w:before="0" w:beforeLines="0" w:after="0" w:afterLines="0" w:line="240" w:lineRule="auto"/>
              <w:ind w:right="0"/>
              <w:rPr>
                <w:rFonts w:ascii="Times New Roman" w:eastAsia="黑体"/>
                <w:snapToGrid w:val="0"/>
                <w:color w:val="auto"/>
                <w:spacing w:val="-6"/>
                <w:kern w:val="21"/>
                <w:szCs w:val="21"/>
              </w:rPr>
            </w:pPr>
            <w:r>
              <w:rPr>
                <w:rFonts w:ascii="Times New Roman" w:eastAsia="黑体"/>
                <w:snapToGrid w:val="0"/>
                <w:color w:val="auto"/>
                <w:spacing w:val="-6"/>
                <w:kern w:val="21"/>
                <w:szCs w:val="21"/>
              </w:rPr>
              <w:t>分类</w:t>
            </w:r>
          </w:p>
        </w:tc>
        <w:tc>
          <w:tcPr>
            <w:tcW w:w="1559" w:type="dxa"/>
            <w:tcMar>
              <w:left w:w="28" w:type="dxa"/>
              <w:right w:w="28" w:type="dxa"/>
            </w:tcMar>
            <w:vAlign w:val="center"/>
          </w:tcPr>
          <w:p w14:paraId="33B161AE">
            <w:pPr>
              <w:pStyle w:val="51"/>
              <w:spacing w:before="0" w:beforeLines="0" w:after="0" w:afterLines="0" w:line="240" w:lineRule="auto"/>
              <w:ind w:right="0"/>
              <w:rPr>
                <w:rFonts w:ascii="Times New Roman" w:eastAsia="黑体"/>
                <w:snapToGrid w:val="0"/>
                <w:color w:val="auto"/>
                <w:spacing w:val="-6"/>
                <w:kern w:val="21"/>
                <w:szCs w:val="21"/>
              </w:rPr>
            </w:pPr>
            <w:r>
              <w:rPr>
                <w:rFonts w:ascii="Times New Roman" w:eastAsia="黑体"/>
                <w:snapToGrid w:val="0"/>
                <w:color w:val="auto"/>
                <w:spacing w:val="-6"/>
                <w:kern w:val="21"/>
                <w:szCs w:val="21"/>
              </w:rPr>
              <w:t>污染物名称</w:t>
            </w:r>
          </w:p>
        </w:tc>
        <w:tc>
          <w:tcPr>
            <w:tcW w:w="1560" w:type="dxa"/>
            <w:tcMar>
              <w:left w:w="28" w:type="dxa"/>
              <w:right w:w="28" w:type="dxa"/>
            </w:tcMar>
            <w:vAlign w:val="center"/>
          </w:tcPr>
          <w:p w14:paraId="24AD045C">
            <w:pPr>
              <w:pStyle w:val="51"/>
              <w:spacing w:before="0" w:beforeLines="0" w:after="0" w:afterLines="0" w:line="240" w:lineRule="auto"/>
              <w:ind w:right="0"/>
              <w:rPr>
                <w:rFonts w:ascii="Times New Roman" w:eastAsia="黑体"/>
                <w:snapToGrid w:val="0"/>
                <w:color w:val="auto"/>
                <w:spacing w:val="-6"/>
                <w:kern w:val="21"/>
                <w:szCs w:val="21"/>
              </w:rPr>
            </w:pPr>
            <w:r>
              <w:rPr>
                <w:rFonts w:ascii="Times New Roman" w:eastAsia="黑体"/>
                <w:snapToGrid w:val="0"/>
                <w:color w:val="auto"/>
                <w:spacing w:val="-6"/>
                <w:kern w:val="21"/>
                <w:szCs w:val="21"/>
              </w:rPr>
              <w:t>现有工程</w:t>
            </w:r>
          </w:p>
          <w:p w14:paraId="2CBBF94C">
            <w:pPr>
              <w:pStyle w:val="51"/>
              <w:spacing w:before="0" w:beforeLines="0" w:after="0" w:afterLines="0" w:line="240" w:lineRule="auto"/>
              <w:ind w:right="0"/>
              <w:rPr>
                <w:rFonts w:ascii="Times New Roman" w:eastAsia="黑体"/>
                <w:snapToGrid w:val="0"/>
                <w:color w:val="auto"/>
                <w:spacing w:val="-6"/>
                <w:kern w:val="21"/>
                <w:szCs w:val="21"/>
              </w:rPr>
            </w:pPr>
            <w:r>
              <w:rPr>
                <w:rFonts w:ascii="Times New Roman" w:eastAsia="黑体"/>
                <w:snapToGrid w:val="0"/>
                <w:color w:val="auto"/>
                <w:spacing w:val="-6"/>
                <w:kern w:val="21"/>
                <w:szCs w:val="21"/>
              </w:rPr>
              <w:t>排放量（固体废物产生量）</w:t>
            </w: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1 \* GB3 \* MERGEFORMAT </w:instrText>
            </w:r>
            <w:r>
              <w:rPr>
                <w:rFonts w:ascii="Times New Roman" w:eastAsia="黑体"/>
                <w:snapToGrid w:val="0"/>
                <w:color w:val="auto"/>
                <w:spacing w:val="-6"/>
                <w:kern w:val="21"/>
                <w:szCs w:val="21"/>
              </w:rPr>
              <w:fldChar w:fldCharType="separate"/>
            </w:r>
            <w:r>
              <w:rPr>
                <w:rFonts w:ascii="Times New Roman" w:eastAsia="黑体"/>
                <w:color w:val="auto"/>
                <w:kern w:val="2"/>
                <w:szCs w:val="21"/>
              </w:rPr>
              <w:t>①</w:t>
            </w:r>
            <w:r>
              <w:rPr>
                <w:rFonts w:ascii="Times New Roman" w:eastAsia="黑体"/>
                <w:snapToGrid w:val="0"/>
                <w:color w:val="auto"/>
                <w:spacing w:val="-6"/>
                <w:kern w:val="21"/>
                <w:szCs w:val="21"/>
              </w:rPr>
              <w:fldChar w:fldCharType="end"/>
            </w:r>
          </w:p>
        </w:tc>
        <w:tc>
          <w:tcPr>
            <w:tcW w:w="1156" w:type="dxa"/>
            <w:tcMar>
              <w:left w:w="28" w:type="dxa"/>
              <w:right w:w="28" w:type="dxa"/>
            </w:tcMar>
            <w:vAlign w:val="center"/>
          </w:tcPr>
          <w:p w14:paraId="7B80D418">
            <w:pPr>
              <w:pStyle w:val="51"/>
              <w:spacing w:before="0" w:beforeLines="0" w:after="0" w:afterLines="0" w:line="240" w:lineRule="auto"/>
              <w:ind w:right="0"/>
              <w:rPr>
                <w:rFonts w:ascii="Times New Roman" w:eastAsia="黑体"/>
                <w:snapToGrid w:val="0"/>
                <w:color w:val="auto"/>
                <w:spacing w:val="-6"/>
                <w:kern w:val="21"/>
                <w:szCs w:val="21"/>
              </w:rPr>
            </w:pPr>
            <w:r>
              <w:rPr>
                <w:rFonts w:ascii="Times New Roman" w:eastAsia="黑体"/>
                <w:snapToGrid w:val="0"/>
                <w:color w:val="auto"/>
                <w:spacing w:val="-6"/>
                <w:kern w:val="21"/>
                <w:szCs w:val="21"/>
              </w:rPr>
              <w:t>现有工程</w:t>
            </w:r>
          </w:p>
          <w:p w14:paraId="1100F41B">
            <w:pPr>
              <w:pStyle w:val="51"/>
              <w:spacing w:before="0" w:beforeLines="0" w:after="0" w:afterLines="0" w:line="240" w:lineRule="auto"/>
              <w:ind w:right="0"/>
              <w:rPr>
                <w:rFonts w:ascii="Times New Roman" w:eastAsia="黑体"/>
                <w:snapToGrid w:val="0"/>
                <w:color w:val="auto"/>
                <w:spacing w:val="-6"/>
                <w:kern w:val="21"/>
                <w:szCs w:val="21"/>
              </w:rPr>
            </w:pPr>
            <w:r>
              <w:rPr>
                <w:rFonts w:ascii="Times New Roman" w:eastAsia="黑体"/>
                <w:snapToGrid w:val="0"/>
                <w:color w:val="auto"/>
                <w:spacing w:val="-6"/>
                <w:kern w:val="21"/>
                <w:szCs w:val="21"/>
              </w:rPr>
              <w:t>许可排放量</w:t>
            </w:r>
          </w:p>
          <w:p w14:paraId="19ECD3A9">
            <w:pPr>
              <w:pStyle w:val="51"/>
              <w:spacing w:before="0" w:beforeLines="0" w:after="0" w:afterLines="0" w:line="240" w:lineRule="auto"/>
              <w:ind w:right="0"/>
              <w:rPr>
                <w:rFonts w:ascii="Times New Roman" w:eastAsia="黑体"/>
                <w:snapToGrid w:val="0"/>
                <w:color w:val="auto"/>
                <w:spacing w:val="-6"/>
                <w:kern w:val="21"/>
                <w:szCs w:val="21"/>
              </w:rPr>
            </w:pP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2 \* GB3 \* MERGEFORMAT </w:instrText>
            </w:r>
            <w:r>
              <w:rPr>
                <w:rFonts w:ascii="Times New Roman" w:eastAsia="黑体"/>
                <w:snapToGrid w:val="0"/>
                <w:color w:val="auto"/>
                <w:spacing w:val="-6"/>
                <w:kern w:val="21"/>
                <w:szCs w:val="21"/>
              </w:rPr>
              <w:fldChar w:fldCharType="separate"/>
            </w:r>
            <w:r>
              <w:rPr>
                <w:rFonts w:ascii="Times New Roman" w:eastAsia="黑体"/>
                <w:snapToGrid w:val="0"/>
                <w:color w:val="auto"/>
                <w:spacing w:val="-6"/>
                <w:kern w:val="21"/>
                <w:szCs w:val="21"/>
              </w:rPr>
              <w:t>②</w:t>
            </w:r>
            <w:r>
              <w:rPr>
                <w:rFonts w:ascii="Times New Roman" w:eastAsia="黑体"/>
                <w:snapToGrid w:val="0"/>
                <w:color w:val="auto"/>
                <w:spacing w:val="-6"/>
                <w:kern w:val="21"/>
                <w:szCs w:val="21"/>
              </w:rPr>
              <w:fldChar w:fldCharType="end"/>
            </w:r>
          </w:p>
        </w:tc>
        <w:tc>
          <w:tcPr>
            <w:tcW w:w="1544" w:type="dxa"/>
            <w:tcMar>
              <w:left w:w="28" w:type="dxa"/>
              <w:right w:w="28" w:type="dxa"/>
            </w:tcMar>
            <w:vAlign w:val="center"/>
          </w:tcPr>
          <w:p w14:paraId="50CCC81B">
            <w:pPr>
              <w:pStyle w:val="51"/>
              <w:spacing w:before="0" w:beforeLines="0" w:after="0" w:afterLines="0" w:line="240" w:lineRule="auto"/>
              <w:ind w:right="0"/>
              <w:rPr>
                <w:rFonts w:ascii="Times New Roman" w:eastAsia="黑体"/>
                <w:snapToGrid w:val="0"/>
                <w:color w:val="auto"/>
                <w:spacing w:val="-6"/>
                <w:kern w:val="21"/>
                <w:szCs w:val="21"/>
              </w:rPr>
            </w:pPr>
            <w:r>
              <w:rPr>
                <w:rFonts w:ascii="Times New Roman" w:eastAsia="黑体"/>
                <w:snapToGrid w:val="0"/>
                <w:color w:val="auto"/>
                <w:spacing w:val="-6"/>
                <w:kern w:val="21"/>
                <w:szCs w:val="21"/>
              </w:rPr>
              <w:t>在建工程</w:t>
            </w:r>
          </w:p>
          <w:p w14:paraId="3C0C80C0">
            <w:pPr>
              <w:pStyle w:val="51"/>
              <w:spacing w:before="0" w:beforeLines="0" w:after="0" w:afterLines="0" w:line="240" w:lineRule="auto"/>
              <w:ind w:right="0"/>
              <w:rPr>
                <w:rFonts w:ascii="Times New Roman" w:eastAsia="黑体"/>
                <w:snapToGrid w:val="0"/>
                <w:color w:val="auto"/>
                <w:spacing w:val="-6"/>
                <w:kern w:val="21"/>
                <w:szCs w:val="21"/>
              </w:rPr>
            </w:pPr>
            <w:r>
              <w:rPr>
                <w:rFonts w:ascii="Times New Roman" w:eastAsia="黑体"/>
                <w:snapToGrid w:val="0"/>
                <w:color w:val="auto"/>
                <w:spacing w:val="-6"/>
                <w:kern w:val="21"/>
                <w:szCs w:val="21"/>
              </w:rPr>
              <w:t>排放量（固体废物产生量）</w:t>
            </w: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3 \* GB3 \* MERGEFORMAT </w:instrText>
            </w:r>
            <w:r>
              <w:rPr>
                <w:rFonts w:ascii="Times New Roman" w:eastAsia="黑体"/>
                <w:snapToGrid w:val="0"/>
                <w:color w:val="auto"/>
                <w:spacing w:val="-6"/>
                <w:kern w:val="21"/>
                <w:szCs w:val="21"/>
              </w:rPr>
              <w:fldChar w:fldCharType="separate"/>
            </w:r>
            <w:r>
              <w:rPr>
                <w:rFonts w:ascii="Times New Roman" w:eastAsia="黑体"/>
                <w:color w:val="auto"/>
                <w:kern w:val="2"/>
                <w:szCs w:val="21"/>
              </w:rPr>
              <w:t>③</w:t>
            </w:r>
            <w:r>
              <w:rPr>
                <w:rFonts w:ascii="Times New Roman" w:eastAsia="黑体"/>
                <w:snapToGrid w:val="0"/>
                <w:color w:val="auto"/>
                <w:spacing w:val="-6"/>
                <w:kern w:val="21"/>
                <w:szCs w:val="21"/>
              </w:rPr>
              <w:fldChar w:fldCharType="end"/>
            </w:r>
          </w:p>
        </w:tc>
        <w:tc>
          <w:tcPr>
            <w:tcW w:w="1785" w:type="dxa"/>
            <w:tcMar>
              <w:left w:w="28" w:type="dxa"/>
              <w:right w:w="28" w:type="dxa"/>
            </w:tcMar>
            <w:vAlign w:val="center"/>
          </w:tcPr>
          <w:p w14:paraId="72C134FE">
            <w:pPr>
              <w:pStyle w:val="51"/>
              <w:spacing w:before="0" w:beforeLines="0" w:after="0" w:afterLines="0" w:line="240" w:lineRule="auto"/>
              <w:ind w:right="0"/>
              <w:rPr>
                <w:rFonts w:ascii="Times New Roman" w:eastAsia="黑体"/>
                <w:snapToGrid w:val="0"/>
                <w:color w:val="auto"/>
                <w:spacing w:val="-6"/>
                <w:kern w:val="21"/>
                <w:szCs w:val="21"/>
              </w:rPr>
            </w:pPr>
            <w:r>
              <w:rPr>
                <w:rFonts w:ascii="Times New Roman" w:eastAsia="黑体"/>
                <w:snapToGrid w:val="0"/>
                <w:color w:val="auto"/>
                <w:spacing w:val="-6"/>
                <w:kern w:val="21"/>
                <w:szCs w:val="21"/>
              </w:rPr>
              <w:t>本项目</w:t>
            </w:r>
          </w:p>
          <w:p w14:paraId="59A9D378">
            <w:pPr>
              <w:pStyle w:val="51"/>
              <w:spacing w:before="0" w:beforeLines="0" w:after="0" w:afterLines="0" w:line="240" w:lineRule="auto"/>
              <w:ind w:right="0"/>
              <w:rPr>
                <w:rFonts w:ascii="Times New Roman" w:eastAsia="黑体"/>
                <w:snapToGrid w:val="0"/>
                <w:color w:val="auto"/>
                <w:spacing w:val="-6"/>
                <w:kern w:val="21"/>
                <w:szCs w:val="21"/>
              </w:rPr>
            </w:pPr>
            <w:r>
              <w:rPr>
                <w:rFonts w:ascii="Times New Roman" w:eastAsia="黑体"/>
                <w:snapToGrid w:val="0"/>
                <w:color w:val="auto"/>
                <w:spacing w:val="-6"/>
                <w:kern w:val="21"/>
                <w:szCs w:val="21"/>
              </w:rPr>
              <w:t>排放量（固体废物产生量）</w:t>
            </w: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4 \* GB3 \* MERGEFORMAT </w:instrText>
            </w:r>
            <w:r>
              <w:rPr>
                <w:rFonts w:ascii="Times New Roman" w:eastAsia="黑体"/>
                <w:snapToGrid w:val="0"/>
                <w:color w:val="auto"/>
                <w:spacing w:val="-6"/>
                <w:kern w:val="21"/>
                <w:szCs w:val="21"/>
              </w:rPr>
              <w:fldChar w:fldCharType="separate"/>
            </w:r>
            <w:r>
              <w:rPr>
                <w:rFonts w:ascii="Times New Roman" w:eastAsia="黑体"/>
                <w:color w:val="auto"/>
                <w:kern w:val="2"/>
                <w:szCs w:val="21"/>
              </w:rPr>
              <w:t>④</w:t>
            </w:r>
            <w:r>
              <w:rPr>
                <w:rFonts w:ascii="Times New Roman" w:eastAsia="黑体"/>
                <w:snapToGrid w:val="0"/>
                <w:color w:val="auto"/>
                <w:spacing w:val="-6"/>
                <w:kern w:val="21"/>
                <w:szCs w:val="21"/>
              </w:rPr>
              <w:fldChar w:fldCharType="end"/>
            </w:r>
          </w:p>
        </w:tc>
        <w:tc>
          <w:tcPr>
            <w:tcW w:w="1575" w:type="dxa"/>
            <w:tcMar>
              <w:left w:w="28" w:type="dxa"/>
              <w:right w:w="28" w:type="dxa"/>
            </w:tcMar>
            <w:vAlign w:val="center"/>
          </w:tcPr>
          <w:p w14:paraId="1D05A7FA">
            <w:pPr>
              <w:pStyle w:val="51"/>
              <w:spacing w:before="0" w:beforeLines="0" w:after="0" w:afterLines="0" w:line="240" w:lineRule="auto"/>
              <w:ind w:right="0"/>
              <w:rPr>
                <w:rFonts w:ascii="Times New Roman" w:eastAsia="黑体"/>
                <w:snapToGrid w:val="0"/>
                <w:color w:val="auto"/>
                <w:spacing w:val="-16"/>
                <w:kern w:val="21"/>
                <w:szCs w:val="21"/>
              </w:rPr>
            </w:pPr>
            <w:r>
              <w:rPr>
                <w:rFonts w:ascii="Times New Roman" w:eastAsia="黑体"/>
                <w:snapToGrid w:val="0"/>
                <w:color w:val="auto"/>
                <w:spacing w:val="-16"/>
                <w:kern w:val="21"/>
                <w:szCs w:val="21"/>
              </w:rPr>
              <w:t>以新带老削减量</w:t>
            </w:r>
          </w:p>
          <w:p w14:paraId="3366E654">
            <w:pPr>
              <w:pStyle w:val="51"/>
              <w:spacing w:before="0" w:beforeLines="0" w:after="0" w:afterLines="0" w:line="240" w:lineRule="auto"/>
              <w:ind w:right="0"/>
              <w:rPr>
                <w:rFonts w:ascii="Times New Roman" w:eastAsia="黑体"/>
                <w:snapToGrid w:val="0"/>
                <w:color w:val="auto"/>
                <w:spacing w:val="-16"/>
                <w:kern w:val="21"/>
                <w:szCs w:val="21"/>
              </w:rPr>
            </w:pPr>
            <w:r>
              <w:rPr>
                <w:rFonts w:ascii="Times New Roman" w:eastAsia="黑体"/>
                <w:snapToGrid w:val="0"/>
                <w:color w:val="auto"/>
                <w:spacing w:val="-16"/>
                <w:kern w:val="21"/>
                <w:szCs w:val="21"/>
              </w:rPr>
              <w:t>（新建项目不填）</w:t>
            </w:r>
            <w:r>
              <w:rPr>
                <w:rFonts w:ascii="Times New Roman" w:eastAsia="黑体"/>
                <w:snapToGrid w:val="0"/>
                <w:color w:val="auto"/>
                <w:spacing w:val="-16"/>
                <w:kern w:val="21"/>
                <w:szCs w:val="21"/>
              </w:rPr>
              <w:fldChar w:fldCharType="begin"/>
            </w:r>
            <w:r>
              <w:rPr>
                <w:rFonts w:ascii="Times New Roman" w:eastAsia="黑体"/>
                <w:snapToGrid w:val="0"/>
                <w:color w:val="auto"/>
                <w:spacing w:val="-16"/>
                <w:kern w:val="21"/>
                <w:szCs w:val="21"/>
              </w:rPr>
              <w:instrText xml:space="preserve"> = 5 \* GB3 \* MERGEFORMAT </w:instrText>
            </w:r>
            <w:r>
              <w:rPr>
                <w:rFonts w:ascii="Times New Roman" w:eastAsia="黑体"/>
                <w:snapToGrid w:val="0"/>
                <w:color w:val="auto"/>
                <w:spacing w:val="-16"/>
                <w:kern w:val="21"/>
                <w:szCs w:val="21"/>
              </w:rPr>
              <w:fldChar w:fldCharType="separate"/>
            </w:r>
            <w:r>
              <w:rPr>
                <w:rFonts w:ascii="Times New Roman" w:eastAsia="黑体"/>
                <w:color w:val="auto"/>
                <w:kern w:val="2"/>
                <w:szCs w:val="21"/>
              </w:rPr>
              <w:t>⑤</w:t>
            </w:r>
            <w:r>
              <w:rPr>
                <w:rFonts w:ascii="Times New Roman" w:eastAsia="黑体"/>
                <w:snapToGrid w:val="0"/>
                <w:color w:val="auto"/>
                <w:spacing w:val="-16"/>
                <w:kern w:val="21"/>
                <w:szCs w:val="21"/>
              </w:rPr>
              <w:fldChar w:fldCharType="end"/>
            </w:r>
          </w:p>
        </w:tc>
        <w:tc>
          <w:tcPr>
            <w:tcW w:w="2205" w:type="dxa"/>
            <w:tcMar>
              <w:left w:w="28" w:type="dxa"/>
              <w:right w:w="28" w:type="dxa"/>
            </w:tcMar>
            <w:vAlign w:val="center"/>
          </w:tcPr>
          <w:p w14:paraId="42723787">
            <w:pPr>
              <w:pStyle w:val="51"/>
              <w:spacing w:before="0" w:beforeLines="0" w:after="0" w:afterLines="0" w:line="240" w:lineRule="auto"/>
              <w:ind w:right="0"/>
              <w:rPr>
                <w:rFonts w:ascii="Times New Roman" w:eastAsia="黑体"/>
                <w:snapToGrid w:val="0"/>
                <w:color w:val="auto"/>
                <w:spacing w:val="-16"/>
                <w:kern w:val="21"/>
                <w:szCs w:val="21"/>
              </w:rPr>
            </w:pPr>
            <w:r>
              <w:rPr>
                <w:rFonts w:ascii="Times New Roman" w:eastAsia="黑体"/>
                <w:snapToGrid w:val="0"/>
                <w:color w:val="auto"/>
                <w:spacing w:val="-16"/>
                <w:kern w:val="21"/>
                <w:szCs w:val="21"/>
              </w:rPr>
              <w:t>本项目建成后</w:t>
            </w:r>
          </w:p>
          <w:p w14:paraId="4A3969F5">
            <w:pPr>
              <w:pStyle w:val="51"/>
              <w:spacing w:before="0" w:beforeLines="0" w:after="0" w:afterLines="0" w:line="240" w:lineRule="auto"/>
              <w:ind w:right="0"/>
              <w:rPr>
                <w:rFonts w:ascii="Times New Roman" w:eastAsia="黑体"/>
                <w:snapToGrid w:val="0"/>
                <w:color w:val="auto"/>
                <w:spacing w:val="-16"/>
                <w:kern w:val="21"/>
                <w:szCs w:val="21"/>
              </w:rPr>
            </w:pPr>
            <w:r>
              <w:rPr>
                <w:rFonts w:ascii="Times New Roman" w:eastAsia="黑体"/>
                <w:snapToGrid w:val="0"/>
                <w:color w:val="auto"/>
                <w:spacing w:val="-16"/>
                <w:kern w:val="21"/>
                <w:szCs w:val="21"/>
              </w:rPr>
              <w:t>全厂排放量（固体废物产生量）</w:t>
            </w:r>
            <w:r>
              <w:rPr>
                <w:rFonts w:ascii="Times New Roman" w:eastAsia="黑体"/>
                <w:snapToGrid w:val="0"/>
                <w:color w:val="auto"/>
                <w:spacing w:val="-16"/>
                <w:kern w:val="21"/>
                <w:szCs w:val="21"/>
              </w:rPr>
              <w:fldChar w:fldCharType="begin"/>
            </w:r>
            <w:r>
              <w:rPr>
                <w:rFonts w:ascii="Times New Roman" w:eastAsia="黑体"/>
                <w:snapToGrid w:val="0"/>
                <w:color w:val="auto"/>
                <w:spacing w:val="-16"/>
                <w:kern w:val="21"/>
                <w:szCs w:val="21"/>
              </w:rPr>
              <w:instrText xml:space="preserve"> = 6 \* GB3 \* MERGEFORMAT </w:instrText>
            </w:r>
            <w:r>
              <w:rPr>
                <w:rFonts w:ascii="Times New Roman" w:eastAsia="黑体"/>
                <w:snapToGrid w:val="0"/>
                <w:color w:val="auto"/>
                <w:spacing w:val="-16"/>
                <w:kern w:val="21"/>
                <w:szCs w:val="21"/>
              </w:rPr>
              <w:fldChar w:fldCharType="separate"/>
            </w:r>
            <w:r>
              <w:rPr>
                <w:rFonts w:ascii="Times New Roman" w:eastAsia="黑体"/>
                <w:color w:val="auto"/>
                <w:kern w:val="2"/>
                <w:szCs w:val="21"/>
              </w:rPr>
              <w:t>⑥</w:t>
            </w:r>
            <w:r>
              <w:rPr>
                <w:rFonts w:ascii="Times New Roman" w:eastAsia="黑体"/>
                <w:snapToGrid w:val="0"/>
                <w:color w:val="auto"/>
                <w:spacing w:val="-16"/>
                <w:kern w:val="21"/>
                <w:szCs w:val="21"/>
              </w:rPr>
              <w:fldChar w:fldCharType="end"/>
            </w:r>
          </w:p>
        </w:tc>
        <w:tc>
          <w:tcPr>
            <w:tcW w:w="1395" w:type="dxa"/>
            <w:tcMar>
              <w:left w:w="28" w:type="dxa"/>
              <w:right w:w="28" w:type="dxa"/>
            </w:tcMar>
            <w:vAlign w:val="center"/>
          </w:tcPr>
          <w:p w14:paraId="4B9EB0A4">
            <w:pPr>
              <w:pStyle w:val="51"/>
              <w:spacing w:before="0" w:beforeLines="0" w:after="0" w:afterLines="0" w:line="240" w:lineRule="auto"/>
              <w:ind w:right="0"/>
              <w:rPr>
                <w:rFonts w:ascii="Times New Roman" w:eastAsia="黑体"/>
                <w:snapToGrid w:val="0"/>
                <w:color w:val="auto"/>
                <w:spacing w:val="-6"/>
                <w:kern w:val="21"/>
                <w:szCs w:val="21"/>
              </w:rPr>
            </w:pPr>
            <w:r>
              <w:rPr>
                <w:rFonts w:ascii="Times New Roman" w:eastAsia="黑体"/>
                <w:snapToGrid w:val="0"/>
                <w:color w:val="auto"/>
                <w:spacing w:val="-6"/>
                <w:kern w:val="21"/>
                <w:szCs w:val="21"/>
              </w:rPr>
              <w:t>变化量</w:t>
            </w:r>
          </w:p>
          <w:p w14:paraId="49908FB1">
            <w:pPr>
              <w:pStyle w:val="51"/>
              <w:spacing w:before="0" w:beforeLines="0" w:after="0" w:afterLines="0" w:line="240" w:lineRule="auto"/>
              <w:ind w:right="0"/>
              <w:rPr>
                <w:rFonts w:ascii="Times New Roman" w:eastAsia="黑体"/>
                <w:snapToGrid w:val="0"/>
                <w:color w:val="auto"/>
                <w:spacing w:val="-6"/>
                <w:kern w:val="21"/>
                <w:szCs w:val="21"/>
              </w:rPr>
            </w:pP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7 \* GB3 \* MERGEFORMAT </w:instrText>
            </w:r>
            <w:r>
              <w:rPr>
                <w:rFonts w:ascii="Times New Roman" w:eastAsia="黑体"/>
                <w:snapToGrid w:val="0"/>
                <w:color w:val="auto"/>
                <w:spacing w:val="-6"/>
                <w:kern w:val="21"/>
                <w:szCs w:val="21"/>
              </w:rPr>
              <w:fldChar w:fldCharType="separate"/>
            </w:r>
            <w:r>
              <w:rPr>
                <w:rFonts w:ascii="Times New Roman" w:eastAsia="黑体"/>
                <w:color w:val="auto"/>
                <w:kern w:val="2"/>
                <w:szCs w:val="21"/>
              </w:rPr>
              <w:t>⑦</w:t>
            </w:r>
            <w:r>
              <w:rPr>
                <w:rFonts w:ascii="Times New Roman" w:eastAsia="黑体"/>
                <w:snapToGrid w:val="0"/>
                <w:color w:val="auto"/>
                <w:spacing w:val="-6"/>
                <w:kern w:val="21"/>
                <w:szCs w:val="21"/>
              </w:rPr>
              <w:fldChar w:fldCharType="end"/>
            </w:r>
          </w:p>
        </w:tc>
      </w:tr>
      <w:tr w14:paraId="101664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06" w:type="dxa"/>
            <w:vMerge w:val="restart"/>
            <w:vAlign w:val="center"/>
          </w:tcPr>
          <w:p w14:paraId="137CD34D">
            <w:pPr>
              <w:pStyle w:val="51"/>
              <w:autoSpaceDE/>
              <w:autoSpaceDN/>
              <w:spacing w:before="0" w:beforeLines="0" w:after="0" w:afterLines="0" w:line="240" w:lineRule="auto"/>
              <w:ind w:right="0"/>
              <w:textAlignment w:val="auto"/>
              <w:rPr>
                <w:rFonts w:ascii="Times New Roman"/>
                <w:snapToGrid w:val="0"/>
                <w:color w:val="auto"/>
                <w:kern w:val="21"/>
                <w:szCs w:val="21"/>
              </w:rPr>
            </w:pPr>
            <w:r>
              <w:rPr>
                <w:rFonts w:ascii="Times New Roman"/>
                <w:snapToGrid w:val="0"/>
                <w:color w:val="auto"/>
                <w:kern w:val="21"/>
                <w:szCs w:val="21"/>
              </w:rPr>
              <w:t>废气</w:t>
            </w:r>
          </w:p>
        </w:tc>
        <w:tc>
          <w:tcPr>
            <w:tcW w:w="1559" w:type="dxa"/>
            <w:vAlign w:val="center"/>
          </w:tcPr>
          <w:p w14:paraId="576FED3A">
            <w:pPr>
              <w:pStyle w:val="51"/>
              <w:autoSpaceDE/>
              <w:autoSpaceDN/>
              <w:spacing w:before="0" w:beforeLines="0" w:after="0" w:afterLines="0" w:line="240" w:lineRule="auto"/>
              <w:ind w:right="0"/>
              <w:textAlignment w:val="auto"/>
              <w:rPr>
                <w:rFonts w:ascii="Times New Roman"/>
                <w:snapToGrid w:val="0"/>
                <w:color w:val="auto"/>
                <w:kern w:val="21"/>
                <w:szCs w:val="21"/>
              </w:rPr>
            </w:pPr>
            <w:r>
              <w:rPr>
                <w:rFonts w:ascii="Times New Roman"/>
                <w:snapToGrid w:val="0"/>
                <w:color w:val="auto"/>
                <w:kern w:val="21"/>
                <w:szCs w:val="21"/>
              </w:rPr>
              <w:t>颗粒物</w:t>
            </w:r>
          </w:p>
        </w:tc>
        <w:tc>
          <w:tcPr>
            <w:tcW w:w="1560" w:type="dxa"/>
            <w:vAlign w:val="center"/>
          </w:tcPr>
          <w:p w14:paraId="1C61CBA0">
            <w:pPr>
              <w:pStyle w:val="51"/>
              <w:autoSpaceDE/>
              <w:autoSpaceDN/>
              <w:spacing w:before="0" w:beforeLines="0" w:after="0" w:afterLines="0" w:line="240" w:lineRule="auto"/>
              <w:ind w:right="0"/>
              <w:textAlignment w:val="auto"/>
              <w:rPr>
                <w:rFonts w:ascii="Times New Roman"/>
                <w:snapToGrid w:val="0"/>
                <w:color w:val="auto"/>
                <w:kern w:val="21"/>
                <w:szCs w:val="21"/>
              </w:rPr>
            </w:pPr>
          </w:p>
        </w:tc>
        <w:tc>
          <w:tcPr>
            <w:tcW w:w="1156" w:type="dxa"/>
            <w:vAlign w:val="center"/>
          </w:tcPr>
          <w:p w14:paraId="025CF4FE">
            <w:pPr>
              <w:pStyle w:val="51"/>
              <w:autoSpaceDE/>
              <w:autoSpaceDN/>
              <w:spacing w:before="0" w:beforeLines="0" w:after="0" w:afterLines="0" w:line="240" w:lineRule="auto"/>
              <w:ind w:right="0"/>
              <w:textAlignment w:val="auto"/>
              <w:rPr>
                <w:rFonts w:ascii="Times New Roman"/>
                <w:snapToGrid w:val="0"/>
                <w:color w:val="auto"/>
                <w:kern w:val="21"/>
                <w:szCs w:val="21"/>
              </w:rPr>
            </w:pPr>
          </w:p>
        </w:tc>
        <w:tc>
          <w:tcPr>
            <w:tcW w:w="1544" w:type="dxa"/>
            <w:vAlign w:val="center"/>
          </w:tcPr>
          <w:p w14:paraId="0480F0BA">
            <w:pPr>
              <w:pStyle w:val="51"/>
              <w:autoSpaceDE/>
              <w:autoSpaceDN/>
              <w:spacing w:before="0" w:beforeLines="0" w:after="0" w:afterLines="0" w:line="240" w:lineRule="auto"/>
              <w:ind w:right="0"/>
              <w:textAlignment w:val="auto"/>
              <w:rPr>
                <w:rFonts w:ascii="Times New Roman"/>
                <w:snapToGrid w:val="0"/>
                <w:color w:val="auto"/>
                <w:kern w:val="21"/>
                <w:szCs w:val="21"/>
              </w:rPr>
            </w:pPr>
          </w:p>
        </w:tc>
        <w:tc>
          <w:tcPr>
            <w:tcW w:w="1785" w:type="dxa"/>
            <w:vAlign w:val="center"/>
          </w:tcPr>
          <w:p w14:paraId="478DD6E3">
            <w:pPr>
              <w:pStyle w:val="51"/>
              <w:autoSpaceDE/>
              <w:autoSpaceDN/>
              <w:spacing w:before="0" w:beforeLines="0" w:after="0" w:afterLines="0" w:line="240" w:lineRule="auto"/>
              <w:ind w:right="0"/>
              <w:textAlignment w:val="auto"/>
              <w:rPr>
                <w:rFonts w:ascii="Times New Roman"/>
                <w:color w:val="auto"/>
                <w:szCs w:val="21"/>
              </w:rPr>
            </w:pPr>
            <w:r>
              <w:rPr>
                <w:rFonts w:hint="eastAsia" w:ascii="Times New Roman"/>
                <w:b/>
                <w:bCs/>
                <w:color w:val="auto"/>
                <w:szCs w:val="21"/>
                <w:u w:val="single"/>
              </w:rPr>
              <w:t>0.</w:t>
            </w:r>
            <w:r>
              <w:rPr>
                <w:rFonts w:hint="eastAsia" w:ascii="Times New Roman"/>
                <w:b/>
                <w:bCs/>
                <w:color w:val="auto"/>
                <w:szCs w:val="21"/>
                <w:u w:val="single"/>
                <w:lang w:val="en-US" w:eastAsia="zh-CN"/>
              </w:rPr>
              <w:t>7555</w:t>
            </w:r>
            <w:r>
              <w:rPr>
                <w:rFonts w:ascii="Times New Roman"/>
                <w:color w:val="auto"/>
                <w:szCs w:val="21"/>
              </w:rPr>
              <w:t>t/a</w:t>
            </w:r>
          </w:p>
        </w:tc>
        <w:tc>
          <w:tcPr>
            <w:tcW w:w="1575" w:type="dxa"/>
            <w:vAlign w:val="center"/>
          </w:tcPr>
          <w:p w14:paraId="1DE12E8B">
            <w:pPr>
              <w:pStyle w:val="51"/>
              <w:autoSpaceDE/>
              <w:autoSpaceDN/>
              <w:spacing w:before="0" w:beforeLines="0" w:after="0" w:afterLines="0" w:line="240" w:lineRule="auto"/>
              <w:ind w:right="0"/>
              <w:textAlignment w:val="auto"/>
              <w:rPr>
                <w:rFonts w:ascii="Times New Roman"/>
                <w:snapToGrid w:val="0"/>
                <w:color w:val="auto"/>
                <w:kern w:val="21"/>
                <w:szCs w:val="21"/>
              </w:rPr>
            </w:pPr>
          </w:p>
        </w:tc>
        <w:tc>
          <w:tcPr>
            <w:tcW w:w="2205" w:type="dxa"/>
            <w:vAlign w:val="center"/>
          </w:tcPr>
          <w:p w14:paraId="77D05F95">
            <w:pPr>
              <w:pStyle w:val="51"/>
              <w:autoSpaceDE/>
              <w:autoSpaceDN/>
              <w:spacing w:before="0" w:beforeLines="0" w:after="0" w:afterLines="0" w:line="240" w:lineRule="auto"/>
              <w:ind w:right="0" w:rightChars="0"/>
              <w:textAlignment w:val="auto"/>
              <w:rPr>
                <w:rFonts w:ascii="Times New Roman"/>
                <w:snapToGrid w:val="0"/>
                <w:color w:val="auto"/>
                <w:kern w:val="21"/>
                <w:szCs w:val="21"/>
              </w:rPr>
            </w:pPr>
            <w:r>
              <w:rPr>
                <w:rFonts w:hint="eastAsia" w:ascii="Times New Roman"/>
                <w:b/>
                <w:bCs/>
                <w:color w:val="auto"/>
                <w:szCs w:val="21"/>
                <w:u w:val="single"/>
              </w:rPr>
              <w:t>0.</w:t>
            </w:r>
            <w:r>
              <w:rPr>
                <w:rFonts w:hint="eastAsia" w:ascii="Times New Roman"/>
                <w:b/>
                <w:bCs/>
                <w:color w:val="auto"/>
                <w:szCs w:val="21"/>
                <w:u w:val="single"/>
                <w:lang w:val="en-US" w:eastAsia="zh-CN"/>
              </w:rPr>
              <w:t>7555</w:t>
            </w:r>
            <w:r>
              <w:rPr>
                <w:rFonts w:ascii="Times New Roman"/>
                <w:color w:val="auto"/>
                <w:szCs w:val="21"/>
              </w:rPr>
              <w:t>t/a</w:t>
            </w:r>
          </w:p>
        </w:tc>
        <w:tc>
          <w:tcPr>
            <w:tcW w:w="1395" w:type="dxa"/>
            <w:vAlign w:val="center"/>
          </w:tcPr>
          <w:p w14:paraId="7E75C217">
            <w:pPr>
              <w:pStyle w:val="51"/>
              <w:autoSpaceDE/>
              <w:autoSpaceDN/>
              <w:spacing w:before="0" w:beforeLines="0" w:after="0" w:afterLines="0" w:line="240" w:lineRule="auto"/>
              <w:ind w:right="0" w:rightChars="0"/>
              <w:textAlignment w:val="auto"/>
              <w:rPr>
                <w:rFonts w:ascii="Times New Roman"/>
                <w:snapToGrid w:val="0"/>
                <w:color w:val="auto"/>
                <w:kern w:val="21"/>
                <w:szCs w:val="21"/>
              </w:rPr>
            </w:pPr>
            <w:r>
              <w:rPr>
                <w:rFonts w:hint="eastAsia" w:ascii="Times New Roman"/>
                <w:color w:val="auto"/>
                <w:szCs w:val="21"/>
              </w:rPr>
              <w:t>+</w:t>
            </w:r>
            <w:r>
              <w:rPr>
                <w:rFonts w:hint="eastAsia" w:ascii="Times New Roman"/>
                <w:b/>
                <w:bCs/>
                <w:color w:val="auto"/>
                <w:szCs w:val="21"/>
                <w:u w:val="single"/>
              </w:rPr>
              <w:t>0.</w:t>
            </w:r>
            <w:r>
              <w:rPr>
                <w:rFonts w:hint="eastAsia" w:ascii="Times New Roman"/>
                <w:b/>
                <w:bCs/>
                <w:color w:val="auto"/>
                <w:szCs w:val="21"/>
                <w:u w:val="single"/>
                <w:lang w:val="en-US" w:eastAsia="zh-CN"/>
              </w:rPr>
              <w:t>7555</w:t>
            </w:r>
            <w:r>
              <w:rPr>
                <w:rFonts w:ascii="Times New Roman"/>
                <w:color w:val="auto"/>
                <w:szCs w:val="21"/>
              </w:rPr>
              <w:t>t/a</w:t>
            </w:r>
          </w:p>
        </w:tc>
      </w:tr>
      <w:tr w14:paraId="64366E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1106" w:type="dxa"/>
            <w:vMerge w:val="continue"/>
            <w:vAlign w:val="center"/>
          </w:tcPr>
          <w:p w14:paraId="35F020D7">
            <w:pPr>
              <w:pStyle w:val="51"/>
              <w:autoSpaceDE/>
              <w:autoSpaceDN/>
              <w:spacing w:before="0" w:beforeLines="0" w:after="0" w:afterLines="0" w:line="240" w:lineRule="auto"/>
              <w:ind w:right="0"/>
              <w:textAlignment w:val="auto"/>
              <w:rPr>
                <w:rFonts w:ascii="Times New Roman"/>
                <w:snapToGrid w:val="0"/>
                <w:color w:val="auto"/>
                <w:kern w:val="21"/>
                <w:szCs w:val="21"/>
              </w:rPr>
            </w:pPr>
          </w:p>
        </w:tc>
        <w:tc>
          <w:tcPr>
            <w:tcW w:w="1559" w:type="dxa"/>
            <w:vAlign w:val="center"/>
          </w:tcPr>
          <w:p w14:paraId="229D30FA">
            <w:pPr>
              <w:pStyle w:val="51"/>
              <w:autoSpaceDE/>
              <w:autoSpaceDN/>
              <w:spacing w:before="0" w:beforeLines="0" w:after="0" w:afterLines="0" w:line="240" w:lineRule="auto"/>
              <w:ind w:right="0"/>
              <w:textAlignment w:val="auto"/>
              <w:rPr>
                <w:rFonts w:ascii="Times New Roman"/>
                <w:snapToGrid w:val="0"/>
                <w:color w:val="auto"/>
                <w:kern w:val="21"/>
                <w:szCs w:val="21"/>
              </w:rPr>
            </w:pPr>
            <w:r>
              <w:rPr>
                <w:rFonts w:hint="eastAsia" w:ascii="Times New Roman"/>
                <w:snapToGrid w:val="0"/>
                <w:color w:val="auto"/>
                <w:kern w:val="21"/>
                <w:szCs w:val="21"/>
              </w:rPr>
              <w:t>甲苯+二甲苯</w:t>
            </w:r>
          </w:p>
        </w:tc>
        <w:tc>
          <w:tcPr>
            <w:tcW w:w="1560" w:type="dxa"/>
            <w:vAlign w:val="center"/>
          </w:tcPr>
          <w:p w14:paraId="30BF4AA8">
            <w:pPr>
              <w:pStyle w:val="51"/>
              <w:autoSpaceDE/>
              <w:autoSpaceDN/>
              <w:spacing w:before="0" w:beforeLines="0" w:after="0" w:afterLines="0" w:line="240" w:lineRule="auto"/>
              <w:ind w:right="0"/>
              <w:textAlignment w:val="auto"/>
              <w:rPr>
                <w:rFonts w:ascii="Times New Roman"/>
                <w:snapToGrid w:val="0"/>
                <w:color w:val="auto"/>
                <w:kern w:val="21"/>
                <w:szCs w:val="21"/>
              </w:rPr>
            </w:pPr>
          </w:p>
        </w:tc>
        <w:tc>
          <w:tcPr>
            <w:tcW w:w="1156" w:type="dxa"/>
            <w:vAlign w:val="center"/>
          </w:tcPr>
          <w:p w14:paraId="0B1AB113">
            <w:pPr>
              <w:pStyle w:val="51"/>
              <w:autoSpaceDE/>
              <w:autoSpaceDN/>
              <w:spacing w:before="0" w:beforeLines="0" w:after="0" w:afterLines="0" w:line="240" w:lineRule="auto"/>
              <w:ind w:right="0"/>
              <w:textAlignment w:val="auto"/>
              <w:rPr>
                <w:rFonts w:ascii="Times New Roman"/>
                <w:snapToGrid w:val="0"/>
                <w:color w:val="auto"/>
                <w:kern w:val="21"/>
                <w:szCs w:val="21"/>
              </w:rPr>
            </w:pPr>
          </w:p>
        </w:tc>
        <w:tc>
          <w:tcPr>
            <w:tcW w:w="1544" w:type="dxa"/>
            <w:vAlign w:val="center"/>
          </w:tcPr>
          <w:p w14:paraId="5C2FBFE5">
            <w:pPr>
              <w:pStyle w:val="51"/>
              <w:autoSpaceDE/>
              <w:autoSpaceDN/>
              <w:spacing w:before="0" w:beforeLines="0" w:after="0" w:afterLines="0" w:line="240" w:lineRule="auto"/>
              <w:ind w:right="0"/>
              <w:textAlignment w:val="auto"/>
              <w:rPr>
                <w:rFonts w:ascii="Times New Roman"/>
                <w:snapToGrid w:val="0"/>
                <w:color w:val="auto"/>
                <w:kern w:val="21"/>
                <w:szCs w:val="21"/>
              </w:rPr>
            </w:pPr>
          </w:p>
        </w:tc>
        <w:tc>
          <w:tcPr>
            <w:tcW w:w="1785" w:type="dxa"/>
            <w:vAlign w:val="center"/>
          </w:tcPr>
          <w:p w14:paraId="1D98668E">
            <w:pPr>
              <w:pStyle w:val="51"/>
              <w:autoSpaceDE/>
              <w:autoSpaceDN/>
              <w:spacing w:before="0" w:beforeLines="0" w:after="0" w:afterLines="0" w:line="240" w:lineRule="auto"/>
              <w:ind w:right="0" w:rightChars="0"/>
              <w:textAlignment w:val="auto"/>
              <w:rPr>
                <w:rFonts w:ascii="Times New Roman"/>
                <w:color w:val="auto"/>
                <w:szCs w:val="21"/>
              </w:rPr>
            </w:pPr>
            <w:r>
              <w:rPr>
                <w:rFonts w:hint="eastAsia" w:ascii="Times New Roman"/>
                <w:b/>
                <w:bCs/>
                <w:color w:val="auto"/>
                <w:szCs w:val="21"/>
                <w:u w:val="single"/>
                <w:lang w:val="en-US" w:eastAsia="zh-CN"/>
              </w:rPr>
              <w:t>0.2910</w:t>
            </w:r>
            <w:r>
              <w:rPr>
                <w:rFonts w:ascii="Times New Roman"/>
                <w:color w:val="auto"/>
                <w:szCs w:val="21"/>
              </w:rPr>
              <w:t>t/a</w:t>
            </w:r>
          </w:p>
        </w:tc>
        <w:tc>
          <w:tcPr>
            <w:tcW w:w="1575" w:type="dxa"/>
            <w:vAlign w:val="center"/>
          </w:tcPr>
          <w:p w14:paraId="38263DD5">
            <w:pPr>
              <w:pStyle w:val="51"/>
              <w:autoSpaceDE/>
              <w:autoSpaceDN/>
              <w:spacing w:before="0" w:beforeLines="0" w:after="0" w:afterLines="0" w:line="240" w:lineRule="auto"/>
              <w:ind w:right="0" w:rightChars="0"/>
              <w:textAlignment w:val="auto"/>
              <w:rPr>
                <w:rFonts w:ascii="Times New Roman"/>
                <w:snapToGrid w:val="0"/>
                <w:color w:val="auto"/>
                <w:kern w:val="21"/>
                <w:szCs w:val="21"/>
              </w:rPr>
            </w:pPr>
          </w:p>
        </w:tc>
        <w:tc>
          <w:tcPr>
            <w:tcW w:w="2205" w:type="dxa"/>
            <w:vAlign w:val="center"/>
          </w:tcPr>
          <w:p w14:paraId="30A4E981">
            <w:pPr>
              <w:pStyle w:val="51"/>
              <w:autoSpaceDE/>
              <w:autoSpaceDN/>
              <w:spacing w:before="0" w:beforeLines="0" w:after="0" w:afterLines="0" w:line="240" w:lineRule="auto"/>
              <w:ind w:right="0" w:rightChars="0"/>
              <w:textAlignment w:val="auto"/>
              <w:rPr>
                <w:rFonts w:ascii="Times New Roman"/>
                <w:color w:val="auto"/>
                <w:szCs w:val="21"/>
              </w:rPr>
            </w:pPr>
            <w:r>
              <w:rPr>
                <w:rFonts w:hint="eastAsia" w:ascii="Times New Roman"/>
                <w:b/>
                <w:bCs/>
                <w:color w:val="auto"/>
                <w:szCs w:val="21"/>
                <w:u w:val="single"/>
                <w:lang w:val="en-US" w:eastAsia="zh-CN"/>
              </w:rPr>
              <w:t>0.2910</w:t>
            </w:r>
            <w:r>
              <w:rPr>
                <w:rFonts w:ascii="Times New Roman"/>
                <w:color w:val="auto"/>
                <w:szCs w:val="21"/>
              </w:rPr>
              <w:t>t/a</w:t>
            </w:r>
          </w:p>
        </w:tc>
        <w:tc>
          <w:tcPr>
            <w:tcW w:w="1395" w:type="dxa"/>
            <w:vAlign w:val="center"/>
          </w:tcPr>
          <w:p w14:paraId="7DE1D45C">
            <w:pPr>
              <w:pStyle w:val="51"/>
              <w:autoSpaceDE/>
              <w:autoSpaceDN/>
              <w:spacing w:before="0" w:beforeLines="0" w:after="0" w:afterLines="0" w:line="240" w:lineRule="auto"/>
              <w:ind w:right="0" w:rightChars="0"/>
              <w:textAlignment w:val="auto"/>
              <w:rPr>
                <w:rFonts w:hint="eastAsia"/>
                <w:color w:val="auto"/>
                <w:szCs w:val="21"/>
              </w:rPr>
            </w:pPr>
            <w:r>
              <w:rPr>
                <w:rFonts w:hint="eastAsia" w:ascii="Times New Roman"/>
                <w:color w:val="auto"/>
                <w:szCs w:val="21"/>
              </w:rPr>
              <w:t>+</w:t>
            </w:r>
            <w:r>
              <w:rPr>
                <w:rFonts w:hint="eastAsia" w:ascii="Times New Roman"/>
                <w:b/>
                <w:bCs/>
                <w:color w:val="auto"/>
                <w:szCs w:val="21"/>
                <w:u w:val="single"/>
                <w:lang w:val="en-US" w:eastAsia="zh-CN"/>
              </w:rPr>
              <w:t>0.2910</w:t>
            </w:r>
            <w:r>
              <w:rPr>
                <w:rFonts w:ascii="Times New Roman"/>
                <w:color w:val="auto"/>
                <w:szCs w:val="21"/>
              </w:rPr>
              <w:t>t/a</w:t>
            </w:r>
          </w:p>
        </w:tc>
      </w:tr>
      <w:tr w14:paraId="200D7F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06" w:type="dxa"/>
            <w:vMerge w:val="continue"/>
            <w:vAlign w:val="center"/>
          </w:tcPr>
          <w:p w14:paraId="41C88126">
            <w:pPr>
              <w:pStyle w:val="51"/>
              <w:autoSpaceDE/>
              <w:autoSpaceDN/>
              <w:spacing w:before="0" w:beforeLines="0" w:after="0" w:afterLines="0" w:line="240" w:lineRule="auto"/>
              <w:ind w:right="0"/>
              <w:textAlignment w:val="auto"/>
              <w:rPr>
                <w:rFonts w:ascii="Times New Roman"/>
                <w:snapToGrid w:val="0"/>
                <w:color w:val="auto"/>
                <w:kern w:val="21"/>
                <w:szCs w:val="21"/>
              </w:rPr>
            </w:pPr>
          </w:p>
        </w:tc>
        <w:tc>
          <w:tcPr>
            <w:tcW w:w="1559" w:type="dxa"/>
            <w:vAlign w:val="center"/>
          </w:tcPr>
          <w:p w14:paraId="3596450F">
            <w:pPr>
              <w:pStyle w:val="51"/>
              <w:autoSpaceDE/>
              <w:autoSpaceDN/>
              <w:spacing w:before="0" w:beforeLines="0" w:after="0" w:afterLines="0" w:line="240" w:lineRule="auto"/>
              <w:ind w:right="0"/>
              <w:textAlignment w:val="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rPr>
              <w:t>非甲烷总烃</w:t>
            </w:r>
            <w:r>
              <w:rPr>
                <w:rFonts w:hint="eastAsia" w:ascii="Times New Roman"/>
                <w:snapToGrid w:val="0"/>
                <w:color w:val="auto"/>
                <w:kern w:val="21"/>
                <w:szCs w:val="21"/>
                <w:lang w:eastAsia="zh-CN"/>
              </w:rPr>
              <w:t>（</w:t>
            </w:r>
            <w:r>
              <w:rPr>
                <w:rFonts w:hint="eastAsia" w:ascii="Times New Roman"/>
                <w:snapToGrid w:val="0"/>
                <w:color w:val="auto"/>
                <w:kern w:val="21"/>
                <w:szCs w:val="21"/>
                <w:lang w:val="en-US" w:eastAsia="zh-CN"/>
              </w:rPr>
              <w:t>不含甲苯+二甲苯</w:t>
            </w:r>
            <w:r>
              <w:rPr>
                <w:rFonts w:hint="eastAsia" w:ascii="Times New Roman"/>
                <w:snapToGrid w:val="0"/>
                <w:color w:val="auto"/>
                <w:kern w:val="21"/>
                <w:szCs w:val="21"/>
                <w:lang w:eastAsia="zh-CN"/>
              </w:rPr>
              <w:t>）</w:t>
            </w:r>
          </w:p>
        </w:tc>
        <w:tc>
          <w:tcPr>
            <w:tcW w:w="1560" w:type="dxa"/>
            <w:vAlign w:val="center"/>
          </w:tcPr>
          <w:p w14:paraId="36EEF736">
            <w:pPr>
              <w:pStyle w:val="51"/>
              <w:autoSpaceDE/>
              <w:autoSpaceDN/>
              <w:spacing w:before="0" w:beforeLines="0" w:after="0" w:afterLines="0" w:line="240" w:lineRule="auto"/>
              <w:ind w:right="0"/>
              <w:textAlignment w:val="auto"/>
              <w:rPr>
                <w:rFonts w:ascii="Times New Roman"/>
                <w:snapToGrid w:val="0"/>
                <w:color w:val="auto"/>
                <w:kern w:val="21"/>
                <w:szCs w:val="21"/>
              </w:rPr>
            </w:pPr>
          </w:p>
        </w:tc>
        <w:tc>
          <w:tcPr>
            <w:tcW w:w="1156" w:type="dxa"/>
            <w:vAlign w:val="center"/>
          </w:tcPr>
          <w:p w14:paraId="050764D0">
            <w:pPr>
              <w:pStyle w:val="51"/>
              <w:autoSpaceDE/>
              <w:autoSpaceDN/>
              <w:spacing w:before="0" w:beforeLines="0" w:after="0" w:afterLines="0" w:line="240" w:lineRule="auto"/>
              <w:ind w:right="0"/>
              <w:textAlignment w:val="auto"/>
              <w:rPr>
                <w:rFonts w:ascii="Times New Roman"/>
                <w:snapToGrid w:val="0"/>
                <w:color w:val="auto"/>
                <w:kern w:val="21"/>
                <w:szCs w:val="21"/>
              </w:rPr>
            </w:pPr>
          </w:p>
        </w:tc>
        <w:tc>
          <w:tcPr>
            <w:tcW w:w="1544" w:type="dxa"/>
            <w:vAlign w:val="center"/>
          </w:tcPr>
          <w:p w14:paraId="4CA792C1">
            <w:pPr>
              <w:pStyle w:val="51"/>
              <w:autoSpaceDE/>
              <w:autoSpaceDN/>
              <w:spacing w:before="0" w:beforeLines="0" w:after="0" w:afterLines="0" w:line="240" w:lineRule="auto"/>
              <w:ind w:right="0"/>
              <w:textAlignment w:val="auto"/>
              <w:rPr>
                <w:rFonts w:ascii="Times New Roman"/>
                <w:snapToGrid w:val="0"/>
                <w:color w:val="auto"/>
                <w:kern w:val="21"/>
                <w:szCs w:val="21"/>
              </w:rPr>
            </w:pPr>
          </w:p>
        </w:tc>
        <w:tc>
          <w:tcPr>
            <w:tcW w:w="1785" w:type="dxa"/>
            <w:vAlign w:val="center"/>
          </w:tcPr>
          <w:p w14:paraId="1689D866">
            <w:pPr>
              <w:pStyle w:val="51"/>
              <w:autoSpaceDE/>
              <w:autoSpaceDN/>
              <w:spacing w:before="0" w:beforeLines="0" w:after="0" w:afterLines="0" w:line="240" w:lineRule="auto"/>
              <w:ind w:right="0" w:rightChars="0"/>
              <w:textAlignment w:val="auto"/>
              <w:rPr>
                <w:rFonts w:ascii="Times New Roman"/>
                <w:color w:val="auto"/>
                <w:szCs w:val="21"/>
              </w:rPr>
            </w:pPr>
            <w:r>
              <w:rPr>
                <w:rFonts w:hint="eastAsia" w:ascii="Times New Roman"/>
                <w:b/>
                <w:bCs/>
                <w:color w:val="auto"/>
                <w:szCs w:val="21"/>
                <w:u w:val="single"/>
                <w:lang w:val="en-US" w:eastAsia="zh-CN"/>
              </w:rPr>
              <w:t>1.4184</w:t>
            </w:r>
            <w:r>
              <w:rPr>
                <w:rFonts w:hint="eastAsia" w:ascii="Times New Roman"/>
                <w:color w:val="auto"/>
                <w:szCs w:val="21"/>
              </w:rPr>
              <w:t>t/a</w:t>
            </w:r>
          </w:p>
        </w:tc>
        <w:tc>
          <w:tcPr>
            <w:tcW w:w="1575" w:type="dxa"/>
            <w:vAlign w:val="center"/>
          </w:tcPr>
          <w:p w14:paraId="07AEE8F8">
            <w:pPr>
              <w:pStyle w:val="51"/>
              <w:autoSpaceDE/>
              <w:autoSpaceDN/>
              <w:spacing w:before="0" w:beforeLines="0" w:after="0" w:afterLines="0" w:line="240" w:lineRule="auto"/>
              <w:ind w:right="0" w:rightChars="0"/>
              <w:textAlignment w:val="auto"/>
              <w:rPr>
                <w:rFonts w:ascii="Times New Roman"/>
                <w:snapToGrid w:val="0"/>
                <w:color w:val="auto"/>
                <w:kern w:val="21"/>
                <w:szCs w:val="21"/>
              </w:rPr>
            </w:pPr>
          </w:p>
        </w:tc>
        <w:tc>
          <w:tcPr>
            <w:tcW w:w="2205" w:type="dxa"/>
            <w:vAlign w:val="center"/>
          </w:tcPr>
          <w:p w14:paraId="2DF7F133">
            <w:pPr>
              <w:pStyle w:val="51"/>
              <w:autoSpaceDE/>
              <w:autoSpaceDN/>
              <w:spacing w:before="0" w:beforeLines="0" w:after="0" w:afterLines="0" w:line="240" w:lineRule="auto"/>
              <w:ind w:right="0" w:rightChars="0"/>
              <w:textAlignment w:val="auto"/>
              <w:rPr>
                <w:rFonts w:ascii="Times New Roman"/>
                <w:color w:val="auto"/>
                <w:szCs w:val="21"/>
              </w:rPr>
            </w:pPr>
            <w:r>
              <w:rPr>
                <w:rFonts w:hint="eastAsia" w:ascii="Times New Roman"/>
                <w:b/>
                <w:bCs/>
                <w:color w:val="auto"/>
                <w:szCs w:val="21"/>
                <w:u w:val="single"/>
                <w:lang w:val="en-US" w:eastAsia="zh-CN"/>
              </w:rPr>
              <w:t>1.4184</w:t>
            </w:r>
            <w:r>
              <w:rPr>
                <w:rFonts w:hint="eastAsia" w:ascii="Times New Roman"/>
                <w:color w:val="auto"/>
                <w:szCs w:val="21"/>
              </w:rPr>
              <w:t>t/a</w:t>
            </w:r>
          </w:p>
        </w:tc>
        <w:tc>
          <w:tcPr>
            <w:tcW w:w="1395" w:type="dxa"/>
            <w:vAlign w:val="center"/>
          </w:tcPr>
          <w:p w14:paraId="4A9E62DC">
            <w:pPr>
              <w:pStyle w:val="51"/>
              <w:autoSpaceDE/>
              <w:autoSpaceDN/>
              <w:spacing w:before="0" w:beforeLines="0" w:after="0" w:afterLines="0" w:line="240" w:lineRule="auto"/>
              <w:ind w:right="0" w:rightChars="0"/>
              <w:textAlignment w:val="auto"/>
              <w:rPr>
                <w:rFonts w:hint="eastAsia"/>
                <w:color w:val="auto"/>
                <w:szCs w:val="21"/>
              </w:rPr>
            </w:pPr>
            <w:r>
              <w:rPr>
                <w:rFonts w:hint="eastAsia" w:ascii="Times New Roman"/>
                <w:color w:val="auto"/>
                <w:szCs w:val="21"/>
              </w:rPr>
              <w:t>+</w:t>
            </w:r>
            <w:r>
              <w:rPr>
                <w:rFonts w:hint="eastAsia" w:ascii="Times New Roman"/>
                <w:b/>
                <w:bCs/>
                <w:color w:val="auto"/>
                <w:szCs w:val="21"/>
                <w:u w:val="single"/>
                <w:lang w:val="en-US" w:eastAsia="zh-CN"/>
              </w:rPr>
              <w:t>1.4184</w:t>
            </w:r>
            <w:r>
              <w:rPr>
                <w:rFonts w:hint="eastAsia" w:ascii="Times New Roman"/>
                <w:color w:val="auto"/>
                <w:szCs w:val="21"/>
              </w:rPr>
              <w:t>t/a</w:t>
            </w:r>
          </w:p>
        </w:tc>
      </w:tr>
      <w:tr w14:paraId="4ABA5D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06" w:type="dxa"/>
            <w:vMerge w:val="restart"/>
            <w:vAlign w:val="center"/>
          </w:tcPr>
          <w:p w14:paraId="64BE9CEA">
            <w:pPr>
              <w:pStyle w:val="51"/>
              <w:autoSpaceDE/>
              <w:autoSpaceDN/>
              <w:spacing w:before="0" w:beforeLines="0" w:after="0" w:afterLines="0" w:line="240" w:lineRule="auto"/>
              <w:ind w:right="0"/>
              <w:textAlignment w:val="auto"/>
              <w:rPr>
                <w:rFonts w:ascii="Times New Roman"/>
                <w:snapToGrid w:val="0"/>
                <w:color w:val="auto"/>
                <w:kern w:val="21"/>
                <w:szCs w:val="21"/>
              </w:rPr>
            </w:pPr>
            <w:r>
              <w:rPr>
                <w:rFonts w:ascii="Times New Roman"/>
                <w:snapToGrid w:val="0"/>
                <w:color w:val="auto"/>
                <w:kern w:val="21"/>
                <w:szCs w:val="21"/>
              </w:rPr>
              <w:t>废水</w:t>
            </w:r>
          </w:p>
        </w:tc>
        <w:tc>
          <w:tcPr>
            <w:tcW w:w="1559" w:type="dxa"/>
            <w:vAlign w:val="center"/>
          </w:tcPr>
          <w:p w14:paraId="763A3496">
            <w:pPr>
              <w:tabs>
                <w:tab w:val="left" w:pos="3225"/>
              </w:tabs>
              <w:snapToGrid w:val="0"/>
              <w:jc w:val="center"/>
              <w:rPr>
                <w:snapToGrid w:val="0"/>
                <w:color w:val="auto"/>
                <w:kern w:val="21"/>
                <w:szCs w:val="21"/>
              </w:rPr>
            </w:pPr>
            <w:r>
              <w:rPr>
                <w:color w:val="auto"/>
                <w:szCs w:val="21"/>
              </w:rPr>
              <w:t>COD</w:t>
            </w:r>
          </w:p>
        </w:tc>
        <w:tc>
          <w:tcPr>
            <w:tcW w:w="1560" w:type="dxa"/>
            <w:vAlign w:val="center"/>
          </w:tcPr>
          <w:p w14:paraId="0B83B5E9">
            <w:pPr>
              <w:pStyle w:val="51"/>
              <w:autoSpaceDE/>
              <w:autoSpaceDN/>
              <w:spacing w:before="0" w:beforeLines="0" w:after="0" w:afterLines="0" w:line="240" w:lineRule="auto"/>
              <w:ind w:right="0"/>
              <w:textAlignment w:val="auto"/>
              <w:rPr>
                <w:rFonts w:ascii="Times New Roman"/>
                <w:snapToGrid w:val="0"/>
                <w:color w:val="auto"/>
                <w:kern w:val="21"/>
                <w:szCs w:val="21"/>
              </w:rPr>
            </w:pPr>
          </w:p>
        </w:tc>
        <w:tc>
          <w:tcPr>
            <w:tcW w:w="1156" w:type="dxa"/>
            <w:vAlign w:val="center"/>
          </w:tcPr>
          <w:p w14:paraId="66CA3930">
            <w:pPr>
              <w:pStyle w:val="51"/>
              <w:autoSpaceDE/>
              <w:autoSpaceDN/>
              <w:spacing w:before="0" w:beforeLines="0" w:after="0" w:afterLines="0" w:line="240" w:lineRule="auto"/>
              <w:ind w:right="0"/>
              <w:textAlignment w:val="auto"/>
              <w:rPr>
                <w:rFonts w:ascii="Times New Roman"/>
                <w:snapToGrid w:val="0"/>
                <w:color w:val="auto"/>
                <w:kern w:val="21"/>
                <w:szCs w:val="21"/>
              </w:rPr>
            </w:pPr>
          </w:p>
        </w:tc>
        <w:tc>
          <w:tcPr>
            <w:tcW w:w="1544" w:type="dxa"/>
            <w:vAlign w:val="center"/>
          </w:tcPr>
          <w:p w14:paraId="24994143">
            <w:pPr>
              <w:pStyle w:val="51"/>
              <w:autoSpaceDE/>
              <w:autoSpaceDN/>
              <w:spacing w:before="0" w:beforeLines="0" w:after="0" w:afterLines="0" w:line="240" w:lineRule="auto"/>
              <w:ind w:right="0"/>
              <w:textAlignment w:val="auto"/>
              <w:rPr>
                <w:rFonts w:ascii="Times New Roman"/>
                <w:snapToGrid w:val="0"/>
                <w:color w:val="auto"/>
                <w:kern w:val="21"/>
                <w:szCs w:val="21"/>
              </w:rPr>
            </w:pPr>
          </w:p>
        </w:tc>
        <w:tc>
          <w:tcPr>
            <w:tcW w:w="1785" w:type="dxa"/>
            <w:vAlign w:val="center"/>
          </w:tcPr>
          <w:p w14:paraId="6AFF44C8">
            <w:pPr>
              <w:pStyle w:val="51"/>
              <w:autoSpaceDE/>
              <w:autoSpaceDN/>
              <w:spacing w:before="0" w:beforeLines="0" w:after="0" w:afterLines="0" w:line="240" w:lineRule="auto"/>
              <w:ind w:right="0"/>
              <w:textAlignment w:val="auto"/>
              <w:rPr>
                <w:rFonts w:ascii="Times New Roman"/>
                <w:color w:val="auto"/>
                <w:szCs w:val="21"/>
              </w:rPr>
            </w:pPr>
            <w:r>
              <w:rPr>
                <w:rFonts w:ascii="Times New Roman"/>
                <w:color w:val="auto"/>
                <w:szCs w:val="21"/>
              </w:rPr>
              <w:t>0.</w:t>
            </w:r>
            <w:r>
              <w:rPr>
                <w:rFonts w:hint="eastAsia" w:ascii="Times New Roman"/>
                <w:color w:val="auto"/>
                <w:szCs w:val="21"/>
              </w:rPr>
              <w:t>0352</w:t>
            </w:r>
            <w:r>
              <w:rPr>
                <w:rFonts w:ascii="Times New Roman"/>
                <w:color w:val="auto"/>
                <w:szCs w:val="21"/>
              </w:rPr>
              <w:t>t/a</w:t>
            </w:r>
          </w:p>
        </w:tc>
        <w:tc>
          <w:tcPr>
            <w:tcW w:w="1575" w:type="dxa"/>
            <w:vAlign w:val="center"/>
          </w:tcPr>
          <w:p w14:paraId="2F6126B6">
            <w:pPr>
              <w:pStyle w:val="51"/>
              <w:autoSpaceDE/>
              <w:autoSpaceDN/>
              <w:spacing w:before="0" w:beforeLines="0" w:after="0" w:afterLines="0" w:line="240" w:lineRule="auto"/>
              <w:ind w:right="0"/>
              <w:textAlignment w:val="auto"/>
              <w:rPr>
                <w:rFonts w:ascii="Times New Roman"/>
                <w:snapToGrid w:val="0"/>
                <w:color w:val="auto"/>
                <w:kern w:val="21"/>
                <w:szCs w:val="21"/>
              </w:rPr>
            </w:pPr>
          </w:p>
        </w:tc>
        <w:tc>
          <w:tcPr>
            <w:tcW w:w="2205" w:type="dxa"/>
            <w:vAlign w:val="center"/>
          </w:tcPr>
          <w:p w14:paraId="1D429647">
            <w:pPr>
              <w:pStyle w:val="51"/>
              <w:autoSpaceDE/>
              <w:autoSpaceDN/>
              <w:spacing w:before="0" w:beforeLines="0" w:after="0" w:afterLines="0" w:line="240" w:lineRule="auto"/>
              <w:ind w:right="0"/>
              <w:textAlignment w:val="auto"/>
              <w:rPr>
                <w:rFonts w:ascii="Times New Roman"/>
                <w:snapToGrid w:val="0"/>
                <w:color w:val="auto"/>
                <w:kern w:val="21"/>
                <w:szCs w:val="21"/>
              </w:rPr>
            </w:pPr>
            <w:r>
              <w:rPr>
                <w:rFonts w:ascii="Times New Roman"/>
                <w:color w:val="auto"/>
                <w:szCs w:val="21"/>
              </w:rPr>
              <w:t>0.</w:t>
            </w:r>
            <w:r>
              <w:rPr>
                <w:rFonts w:hint="eastAsia" w:ascii="Times New Roman"/>
                <w:color w:val="auto"/>
                <w:szCs w:val="21"/>
              </w:rPr>
              <w:t>0352</w:t>
            </w:r>
            <w:r>
              <w:rPr>
                <w:rFonts w:ascii="Times New Roman"/>
                <w:color w:val="auto"/>
                <w:szCs w:val="21"/>
              </w:rPr>
              <w:t>t/a</w:t>
            </w:r>
          </w:p>
        </w:tc>
        <w:tc>
          <w:tcPr>
            <w:tcW w:w="1395" w:type="dxa"/>
            <w:vAlign w:val="center"/>
          </w:tcPr>
          <w:p w14:paraId="56389B1A">
            <w:pPr>
              <w:pStyle w:val="51"/>
              <w:autoSpaceDE/>
              <w:autoSpaceDN/>
              <w:spacing w:before="0" w:beforeLines="0" w:after="0" w:afterLines="0" w:line="240" w:lineRule="auto"/>
              <w:ind w:right="0"/>
              <w:textAlignment w:val="auto"/>
              <w:rPr>
                <w:rFonts w:ascii="Times New Roman"/>
                <w:snapToGrid w:val="0"/>
                <w:color w:val="auto"/>
                <w:kern w:val="21"/>
                <w:szCs w:val="21"/>
              </w:rPr>
            </w:pPr>
            <w:r>
              <w:rPr>
                <w:rFonts w:hint="eastAsia" w:ascii="Times New Roman"/>
                <w:color w:val="auto"/>
                <w:szCs w:val="21"/>
              </w:rPr>
              <w:t>+</w:t>
            </w:r>
            <w:r>
              <w:rPr>
                <w:rFonts w:ascii="Times New Roman"/>
                <w:color w:val="auto"/>
                <w:szCs w:val="21"/>
              </w:rPr>
              <w:t>0.</w:t>
            </w:r>
            <w:r>
              <w:rPr>
                <w:rFonts w:hint="eastAsia" w:ascii="Times New Roman"/>
                <w:color w:val="auto"/>
                <w:szCs w:val="21"/>
              </w:rPr>
              <w:t>0352</w:t>
            </w:r>
            <w:r>
              <w:rPr>
                <w:rFonts w:ascii="Times New Roman"/>
                <w:color w:val="auto"/>
                <w:szCs w:val="21"/>
              </w:rPr>
              <w:t>t/a</w:t>
            </w:r>
          </w:p>
        </w:tc>
      </w:tr>
      <w:tr w14:paraId="495D89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06" w:type="dxa"/>
            <w:vMerge w:val="continue"/>
            <w:vAlign w:val="center"/>
          </w:tcPr>
          <w:p w14:paraId="7407ABA2">
            <w:pPr>
              <w:pStyle w:val="51"/>
              <w:autoSpaceDE/>
              <w:autoSpaceDN/>
              <w:spacing w:before="0" w:beforeLines="0" w:after="0" w:afterLines="0" w:line="240" w:lineRule="auto"/>
              <w:ind w:right="0"/>
              <w:textAlignment w:val="auto"/>
              <w:rPr>
                <w:rFonts w:ascii="Times New Roman"/>
                <w:snapToGrid w:val="0"/>
                <w:color w:val="auto"/>
                <w:kern w:val="21"/>
                <w:szCs w:val="21"/>
              </w:rPr>
            </w:pPr>
          </w:p>
        </w:tc>
        <w:tc>
          <w:tcPr>
            <w:tcW w:w="1559" w:type="dxa"/>
            <w:vAlign w:val="center"/>
          </w:tcPr>
          <w:p w14:paraId="2800512D">
            <w:pPr>
              <w:tabs>
                <w:tab w:val="left" w:pos="3225"/>
              </w:tabs>
              <w:snapToGrid w:val="0"/>
              <w:jc w:val="center"/>
              <w:rPr>
                <w:snapToGrid w:val="0"/>
                <w:color w:val="auto"/>
                <w:kern w:val="21"/>
                <w:szCs w:val="21"/>
              </w:rPr>
            </w:pPr>
            <w:r>
              <w:rPr>
                <w:color w:val="auto"/>
                <w:szCs w:val="21"/>
              </w:rPr>
              <w:t>NH</w:t>
            </w:r>
            <w:r>
              <w:rPr>
                <w:color w:val="auto"/>
                <w:szCs w:val="21"/>
                <w:vertAlign w:val="subscript"/>
              </w:rPr>
              <w:t>3</w:t>
            </w:r>
            <w:r>
              <w:rPr>
                <w:color w:val="auto"/>
                <w:szCs w:val="21"/>
              </w:rPr>
              <w:t>-N</w:t>
            </w:r>
          </w:p>
        </w:tc>
        <w:tc>
          <w:tcPr>
            <w:tcW w:w="1560" w:type="dxa"/>
            <w:vAlign w:val="center"/>
          </w:tcPr>
          <w:p w14:paraId="1AD9F299">
            <w:pPr>
              <w:pStyle w:val="51"/>
              <w:autoSpaceDE/>
              <w:autoSpaceDN/>
              <w:spacing w:before="0" w:beforeLines="0" w:after="0" w:afterLines="0" w:line="240" w:lineRule="auto"/>
              <w:ind w:right="0"/>
              <w:textAlignment w:val="auto"/>
              <w:rPr>
                <w:rFonts w:ascii="Times New Roman"/>
                <w:snapToGrid w:val="0"/>
                <w:color w:val="auto"/>
                <w:kern w:val="21"/>
                <w:szCs w:val="21"/>
              </w:rPr>
            </w:pPr>
          </w:p>
        </w:tc>
        <w:tc>
          <w:tcPr>
            <w:tcW w:w="1156" w:type="dxa"/>
            <w:vAlign w:val="center"/>
          </w:tcPr>
          <w:p w14:paraId="08F0ADAE">
            <w:pPr>
              <w:pStyle w:val="51"/>
              <w:autoSpaceDE/>
              <w:autoSpaceDN/>
              <w:spacing w:before="0" w:beforeLines="0" w:after="0" w:afterLines="0" w:line="240" w:lineRule="auto"/>
              <w:ind w:right="0"/>
              <w:textAlignment w:val="auto"/>
              <w:rPr>
                <w:rFonts w:ascii="Times New Roman"/>
                <w:snapToGrid w:val="0"/>
                <w:color w:val="auto"/>
                <w:kern w:val="21"/>
                <w:szCs w:val="21"/>
              </w:rPr>
            </w:pPr>
          </w:p>
        </w:tc>
        <w:tc>
          <w:tcPr>
            <w:tcW w:w="1544" w:type="dxa"/>
            <w:vAlign w:val="center"/>
          </w:tcPr>
          <w:p w14:paraId="0BEA7AED">
            <w:pPr>
              <w:pStyle w:val="51"/>
              <w:autoSpaceDE/>
              <w:autoSpaceDN/>
              <w:spacing w:before="0" w:beforeLines="0" w:after="0" w:afterLines="0" w:line="240" w:lineRule="auto"/>
              <w:ind w:right="0"/>
              <w:textAlignment w:val="auto"/>
              <w:rPr>
                <w:rFonts w:ascii="Times New Roman"/>
                <w:snapToGrid w:val="0"/>
                <w:color w:val="auto"/>
                <w:kern w:val="21"/>
                <w:szCs w:val="21"/>
              </w:rPr>
            </w:pPr>
          </w:p>
        </w:tc>
        <w:tc>
          <w:tcPr>
            <w:tcW w:w="1785" w:type="dxa"/>
            <w:vAlign w:val="center"/>
          </w:tcPr>
          <w:p w14:paraId="7246036A">
            <w:pPr>
              <w:pStyle w:val="51"/>
              <w:autoSpaceDE/>
              <w:autoSpaceDN/>
              <w:spacing w:before="0" w:beforeLines="0" w:after="0" w:afterLines="0" w:line="240" w:lineRule="auto"/>
              <w:ind w:right="0"/>
              <w:textAlignment w:val="auto"/>
              <w:rPr>
                <w:rFonts w:ascii="Times New Roman"/>
                <w:color w:val="auto"/>
                <w:szCs w:val="21"/>
              </w:rPr>
            </w:pPr>
            <w:r>
              <w:rPr>
                <w:rFonts w:ascii="Times New Roman"/>
                <w:color w:val="auto"/>
                <w:szCs w:val="21"/>
              </w:rPr>
              <w:t>0.00</w:t>
            </w:r>
            <w:r>
              <w:rPr>
                <w:rFonts w:hint="eastAsia" w:ascii="Times New Roman"/>
                <w:color w:val="auto"/>
                <w:szCs w:val="21"/>
                <w:lang w:val="en-US" w:eastAsia="zh-CN"/>
              </w:rPr>
              <w:t>18</w:t>
            </w:r>
            <w:r>
              <w:rPr>
                <w:rFonts w:ascii="Times New Roman"/>
                <w:color w:val="auto"/>
                <w:szCs w:val="21"/>
              </w:rPr>
              <w:t>t/a</w:t>
            </w:r>
          </w:p>
        </w:tc>
        <w:tc>
          <w:tcPr>
            <w:tcW w:w="1575" w:type="dxa"/>
            <w:vAlign w:val="center"/>
          </w:tcPr>
          <w:p w14:paraId="1C56EF69">
            <w:pPr>
              <w:pStyle w:val="51"/>
              <w:autoSpaceDE/>
              <w:autoSpaceDN/>
              <w:spacing w:before="0" w:beforeLines="0" w:after="0" w:afterLines="0" w:line="240" w:lineRule="auto"/>
              <w:ind w:right="0"/>
              <w:textAlignment w:val="auto"/>
              <w:rPr>
                <w:rFonts w:ascii="Times New Roman"/>
                <w:snapToGrid w:val="0"/>
                <w:color w:val="auto"/>
                <w:kern w:val="21"/>
                <w:szCs w:val="21"/>
              </w:rPr>
            </w:pPr>
          </w:p>
        </w:tc>
        <w:tc>
          <w:tcPr>
            <w:tcW w:w="2205" w:type="dxa"/>
            <w:vAlign w:val="center"/>
          </w:tcPr>
          <w:p w14:paraId="213A959D">
            <w:pPr>
              <w:pStyle w:val="51"/>
              <w:autoSpaceDE/>
              <w:autoSpaceDN/>
              <w:spacing w:before="0" w:beforeLines="0" w:after="0" w:afterLines="0" w:line="240" w:lineRule="auto"/>
              <w:ind w:right="0"/>
              <w:textAlignment w:val="auto"/>
              <w:rPr>
                <w:rFonts w:ascii="Times New Roman"/>
                <w:snapToGrid w:val="0"/>
                <w:color w:val="auto"/>
                <w:kern w:val="21"/>
                <w:szCs w:val="21"/>
              </w:rPr>
            </w:pPr>
            <w:r>
              <w:rPr>
                <w:rFonts w:ascii="Times New Roman"/>
                <w:color w:val="auto"/>
                <w:szCs w:val="21"/>
              </w:rPr>
              <w:t>0.00</w:t>
            </w:r>
            <w:r>
              <w:rPr>
                <w:rFonts w:hint="eastAsia" w:ascii="Times New Roman"/>
                <w:color w:val="auto"/>
                <w:szCs w:val="21"/>
                <w:lang w:val="en-US" w:eastAsia="zh-CN"/>
              </w:rPr>
              <w:t>18</w:t>
            </w:r>
            <w:r>
              <w:rPr>
                <w:rFonts w:ascii="Times New Roman"/>
                <w:color w:val="auto"/>
                <w:szCs w:val="21"/>
              </w:rPr>
              <w:t>t/a</w:t>
            </w:r>
          </w:p>
        </w:tc>
        <w:tc>
          <w:tcPr>
            <w:tcW w:w="1395" w:type="dxa"/>
            <w:vAlign w:val="center"/>
          </w:tcPr>
          <w:p w14:paraId="41F15DCE">
            <w:pPr>
              <w:pStyle w:val="51"/>
              <w:autoSpaceDE/>
              <w:autoSpaceDN/>
              <w:spacing w:before="0" w:beforeLines="0" w:after="0" w:afterLines="0" w:line="240" w:lineRule="auto"/>
              <w:ind w:right="0"/>
              <w:textAlignment w:val="auto"/>
              <w:rPr>
                <w:rFonts w:ascii="Times New Roman"/>
                <w:snapToGrid w:val="0"/>
                <w:color w:val="auto"/>
                <w:kern w:val="21"/>
                <w:szCs w:val="21"/>
              </w:rPr>
            </w:pPr>
            <w:r>
              <w:rPr>
                <w:rFonts w:hint="eastAsia" w:ascii="Times New Roman"/>
                <w:color w:val="auto"/>
                <w:szCs w:val="21"/>
              </w:rPr>
              <w:t>+</w:t>
            </w:r>
            <w:r>
              <w:rPr>
                <w:rFonts w:ascii="Times New Roman"/>
                <w:color w:val="auto"/>
                <w:szCs w:val="21"/>
              </w:rPr>
              <w:t>0.00</w:t>
            </w:r>
            <w:r>
              <w:rPr>
                <w:rFonts w:hint="eastAsia" w:ascii="Times New Roman"/>
                <w:color w:val="auto"/>
                <w:szCs w:val="21"/>
                <w:lang w:val="en-US" w:eastAsia="zh-CN"/>
              </w:rPr>
              <w:t>18</w:t>
            </w:r>
            <w:r>
              <w:rPr>
                <w:rFonts w:ascii="Times New Roman"/>
                <w:color w:val="auto"/>
                <w:szCs w:val="21"/>
              </w:rPr>
              <w:t>t/a</w:t>
            </w:r>
          </w:p>
        </w:tc>
      </w:tr>
      <w:tr w14:paraId="6A4DA4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06" w:type="dxa"/>
            <w:vMerge w:val="restart"/>
            <w:vAlign w:val="center"/>
          </w:tcPr>
          <w:p w14:paraId="4EA5B73E">
            <w:pPr>
              <w:pStyle w:val="51"/>
              <w:autoSpaceDE/>
              <w:autoSpaceDN/>
              <w:spacing w:before="0" w:beforeLines="0" w:after="0" w:afterLines="0" w:line="240" w:lineRule="auto"/>
              <w:ind w:right="0"/>
              <w:textAlignment w:val="auto"/>
              <w:rPr>
                <w:rFonts w:ascii="Times New Roman"/>
                <w:snapToGrid w:val="0"/>
                <w:color w:val="auto"/>
                <w:kern w:val="21"/>
                <w:szCs w:val="21"/>
              </w:rPr>
            </w:pPr>
            <w:r>
              <w:rPr>
                <w:rFonts w:ascii="Times New Roman"/>
                <w:snapToGrid w:val="0"/>
                <w:color w:val="auto"/>
                <w:kern w:val="21"/>
                <w:szCs w:val="21"/>
              </w:rPr>
              <w:t>一般工业</w:t>
            </w:r>
          </w:p>
          <w:p w14:paraId="08B1AE42">
            <w:pPr>
              <w:pStyle w:val="51"/>
              <w:autoSpaceDE/>
              <w:autoSpaceDN/>
              <w:spacing w:before="0" w:beforeLines="0" w:after="0" w:afterLines="0" w:line="240" w:lineRule="auto"/>
              <w:ind w:right="0"/>
              <w:textAlignment w:val="auto"/>
              <w:rPr>
                <w:rFonts w:ascii="Times New Roman"/>
                <w:snapToGrid w:val="0"/>
                <w:color w:val="auto"/>
                <w:kern w:val="21"/>
                <w:szCs w:val="21"/>
              </w:rPr>
            </w:pPr>
            <w:r>
              <w:rPr>
                <w:rFonts w:ascii="Times New Roman"/>
                <w:snapToGrid w:val="0"/>
                <w:color w:val="auto"/>
                <w:kern w:val="21"/>
                <w:szCs w:val="21"/>
              </w:rPr>
              <w:t>固体废物</w:t>
            </w:r>
          </w:p>
        </w:tc>
        <w:tc>
          <w:tcPr>
            <w:tcW w:w="1559" w:type="dxa"/>
            <w:vAlign w:val="center"/>
          </w:tcPr>
          <w:p w14:paraId="65B78889">
            <w:pPr>
              <w:pStyle w:val="21"/>
              <w:snapToGrid w:val="0"/>
              <w:spacing w:before="0" w:beforeAutospacing="0" w:after="0" w:afterAutospacing="0"/>
              <w:jc w:val="center"/>
              <w:rPr>
                <w:rFonts w:ascii="Times New Roman" w:hAnsi="Times New Roman"/>
                <w:snapToGrid w:val="0"/>
                <w:color w:val="auto"/>
                <w:kern w:val="21"/>
                <w:sz w:val="21"/>
                <w:szCs w:val="21"/>
              </w:rPr>
            </w:pPr>
            <w:r>
              <w:rPr>
                <w:rFonts w:ascii="Times New Roman" w:hAnsi="Times New Roman"/>
                <w:color w:val="auto"/>
                <w:sz w:val="21"/>
                <w:szCs w:val="21"/>
              </w:rPr>
              <w:t>木材边角料</w:t>
            </w:r>
          </w:p>
        </w:tc>
        <w:tc>
          <w:tcPr>
            <w:tcW w:w="1560" w:type="dxa"/>
            <w:vAlign w:val="center"/>
          </w:tcPr>
          <w:p w14:paraId="700160CA">
            <w:pPr>
              <w:pStyle w:val="51"/>
              <w:autoSpaceDE/>
              <w:autoSpaceDN/>
              <w:spacing w:before="0" w:beforeLines="0" w:after="0" w:afterLines="0" w:line="240" w:lineRule="auto"/>
              <w:ind w:right="0"/>
              <w:textAlignment w:val="auto"/>
              <w:rPr>
                <w:rFonts w:ascii="Times New Roman"/>
                <w:snapToGrid w:val="0"/>
                <w:color w:val="auto"/>
                <w:kern w:val="21"/>
                <w:szCs w:val="21"/>
              </w:rPr>
            </w:pPr>
          </w:p>
        </w:tc>
        <w:tc>
          <w:tcPr>
            <w:tcW w:w="1156" w:type="dxa"/>
            <w:vAlign w:val="center"/>
          </w:tcPr>
          <w:p w14:paraId="48B7D525">
            <w:pPr>
              <w:pStyle w:val="51"/>
              <w:autoSpaceDE/>
              <w:autoSpaceDN/>
              <w:spacing w:before="0" w:beforeLines="0" w:after="0" w:afterLines="0" w:line="240" w:lineRule="auto"/>
              <w:ind w:right="0"/>
              <w:textAlignment w:val="auto"/>
              <w:rPr>
                <w:rFonts w:ascii="Times New Roman"/>
                <w:snapToGrid w:val="0"/>
                <w:color w:val="auto"/>
                <w:kern w:val="21"/>
                <w:szCs w:val="21"/>
              </w:rPr>
            </w:pPr>
          </w:p>
        </w:tc>
        <w:tc>
          <w:tcPr>
            <w:tcW w:w="1544" w:type="dxa"/>
            <w:vAlign w:val="center"/>
          </w:tcPr>
          <w:p w14:paraId="52172344">
            <w:pPr>
              <w:pStyle w:val="51"/>
              <w:autoSpaceDE/>
              <w:autoSpaceDN/>
              <w:spacing w:before="0" w:beforeLines="0" w:after="0" w:afterLines="0" w:line="240" w:lineRule="auto"/>
              <w:ind w:right="0"/>
              <w:textAlignment w:val="auto"/>
              <w:rPr>
                <w:rFonts w:ascii="Times New Roman"/>
                <w:snapToGrid w:val="0"/>
                <w:color w:val="auto"/>
                <w:kern w:val="21"/>
                <w:szCs w:val="21"/>
              </w:rPr>
            </w:pPr>
          </w:p>
        </w:tc>
        <w:tc>
          <w:tcPr>
            <w:tcW w:w="1785" w:type="dxa"/>
            <w:vAlign w:val="center"/>
          </w:tcPr>
          <w:p w14:paraId="160A910B">
            <w:pPr>
              <w:snapToGrid w:val="0"/>
              <w:jc w:val="center"/>
              <w:rPr>
                <w:snapToGrid w:val="0"/>
                <w:color w:val="auto"/>
                <w:kern w:val="21"/>
                <w:szCs w:val="21"/>
              </w:rPr>
            </w:pPr>
            <w:r>
              <w:rPr>
                <w:color w:val="auto"/>
                <w:szCs w:val="21"/>
              </w:rPr>
              <w:t>2.08t/a</w:t>
            </w:r>
          </w:p>
        </w:tc>
        <w:tc>
          <w:tcPr>
            <w:tcW w:w="1575" w:type="dxa"/>
            <w:vAlign w:val="center"/>
          </w:tcPr>
          <w:p w14:paraId="58D5966A">
            <w:pPr>
              <w:pStyle w:val="51"/>
              <w:autoSpaceDE/>
              <w:autoSpaceDN/>
              <w:spacing w:before="0" w:beforeLines="0" w:after="0" w:afterLines="0" w:line="240" w:lineRule="auto"/>
              <w:ind w:right="0"/>
              <w:textAlignment w:val="auto"/>
              <w:rPr>
                <w:rFonts w:ascii="Times New Roman"/>
                <w:snapToGrid w:val="0"/>
                <w:color w:val="auto"/>
                <w:kern w:val="21"/>
                <w:szCs w:val="21"/>
              </w:rPr>
            </w:pPr>
          </w:p>
        </w:tc>
        <w:tc>
          <w:tcPr>
            <w:tcW w:w="2205" w:type="dxa"/>
            <w:vAlign w:val="center"/>
          </w:tcPr>
          <w:p w14:paraId="744515AD">
            <w:pPr>
              <w:snapToGrid w:val="0"/>
              <w:jc w:val="center"/>
              <w:rPr>
                <w:snapToGrid w:val="0"/>
                <w:color w:val="auto"/>
                <w:kern w:val="21"/>
                <w:szCs w:val="21"/>
              </w:rPr>
            </w:pPr>
            <w:r>
              <w:rPr>
                <w:color w:val="auto"/>
                <w:szCs w:val="21"/>
              </w:rPr>
              <w:t>2.08t/a</w:t>
            </w:r>
          </w:p>
        </w:tc>
        <w:tc>
          <w:tcPr>
            <w:tcW w:w="1395" w:type="dxa"/>
            <w:vAlign w:val="center"/>
          </w:tcPr>
          <w:p w14:paraId="770181D6">
            <w:pPr>
              <w:snapToGrid w:val="0"/>
              <w:jc w:val="center"/>
              <w:rPr>
                <w:snapToGrid w:val="0"/>
                <w:color w:val="auto"/>
                <w:kern w:val="21"/>
                <w:szCs w:val="21"/>
              </w:rPr>
            </w:pPr>
            <w:r>
              <w:rPr>
                <w:rFonts w:hint="eastAsia"/>
                <w:color w:val="auto"/>
                <w:szCs w:val="21"/>
              </w:rPr>
              <w:t>+</w:t>
            </w:r>
            <w:r>
              <w:rPr>
                <w:color w:val="auto"/>
                <w:szCs w:val="21"/>
              </w:rPr>
              <w:t>2.08t/a</w:t>
            </w:r>
          </w:p>
        </w:tc>
      </w:tr>
      <w:tr w14:paraId="1EF47C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06" w:type="dxa"/>
            <w:vMerge w:val="continue"/>
            <w:vAlign w:val="center"/>
          </w:tcPr>
          <w:p w14:paraId="3B7EDA82">
            <w:pPr>
              <w:pStyle w:val="51"/>
              <w:autoSpaceDE/>
              <w:autoSpaceDN/>
              <w:spacing w:before="0" w:beforeLines="0" w:after="0" w:afterLines="0" w:line="240" w:lineRule="auto"/>
              <w:ind w:right="0"/>
              <w:textAlignment w:val="auto"/>
              <w:rPr>
                <w:rFonts w:ascii="Times New Roman"/>
                <w:snapToGrid w:val="0"/>
                <w:color w:val="auto"/>
                <w:kern w:val="21"/>
                <w:szCs w:val="21"/>
              </w:rPr>
            </w:pPr>
          </w:p>
        </w:tc>
        <w:tc>
          <w:tcPr>
            <w:tcW w:w="1559" w:type="dxa"/>
            <w:vAlign w:val="center"/>
          </w:tcPr>
          <w:p w14:paraId="10147613">
            <w:pPr>
              <w:snapToGrid w:val="0"/>
              <w:jc w:val="center"/>
              <w:rPr>
                <w:snapToGrid w:val="0"/>
                <w:color w:val="auto"/>
                <w:kern w:val="21"/>
                <w:szCs w:val="21"/>
              </w:rPr>
            </w:pPr>
            <w:r>
              <w:rPr>
                <w:color w:val="auto"/>
                <w:szCs w:val="21"/>
              </w:rPr>
              <w:t>除尘器收尘</w:t>
            </w:r>
          </w:p>
        </w:tc>
        <w:tc>
          <w:tcPr>
            <w:tcW w:w="1560" w:type="dxa"/>
            <w:vAlign w:val="center"/>
          </w:tcPr>
          <w:p w14:paraId="67EFA14C">
            <w:pPr>
              <w:pStyle w:val="51"/>
              <w:autoSpaceDE/>
              <w:autoSpaceDN/>
              <w:spacing w:before="0" w:beforeLines="0" w:after="0" w:afterLines="0" w:line="240" w:lineRule="auto"/>
              <w:ind w:right="0"/>
              <w:textAlignment w:val="auto"/>
              <w:rPr>
                <w:rFonts w:ascii="Times New Roman"/>
                <w:snapToGrid w:val="0"/>
                <w:color w:val="auto"/>
                <w:kern w:val="21"/>
                <w:szCs w:val="21"/>
              </w:rPr>
            </w:pPr>
          </w:p>
        </w:tc>
        <w:tc>
          <w:tcPr>
            <w:tcW w:w="1156" w:type="dxa"/>
            <w:vAlign w:val="center"/>
          </w:tcPr>
          <w:p w14:paraId="4E0C2D2A">
            <w:pPr>
              <w:pStyle w:val="51"/>
              <w:autoSpaceDE/>
              <w:autoSpaceDN/>
              <w:spacing w:before="0" w:beforeLines="0" w:after="0" w:afterLines="0" w:line="240" w:lineRule="auto"/>
              <w:ind w:right="0"/>
              <w:textAlignment w:val="auto"/>
              <w:rPr>
                <w:rFonts w:ascii="Times New Roman"/>
                <w:snapToGrid w:val="0"/>
                <w:color w:val="auto"/>
                <w:kern w:val="21"/>
                <w:szCs w:val="21"/>
              </w:rPr>
            </w:pPr>
          </w:p>
        </w:tc>
        <w:tc>
          <w:tcPr>
            <w:tcW w:w="1544" w:type="dxa"/>
            <w:vAlign w:val="center"/>
          </w:tcPr>
          <w:p w14:paraId="0260059D">
            <w:pPr>
              <w:pStyle w:val="51"/>
              <w:autoSpaceDE/>
              <w:autoSpaceDN/>
              <w:spacing w:before="0" w:beforeLines="0" w:after="0" w:afterLines="0" w:line="240" w:lineRule="auto"/>
              <w:ind w:right="0"/>
              <w:textAlignment w:val="auto"/>
              <w:rPr>
                <w:rFonts w:ascii="Times New Roman"/>
                <w:snapToGrid w:val="0"/>
                <w:color w:val="auto"/>
                <w:kern w:val="21"/>
                <w:szCs w:val="21"/>
              </w:rPr>
            </w:pPr>
          </w:p>
        </w:tc>
        <w:tc>
          <w:tcPr>
            <w:tcW w:w="1785" w:type="dxa"/>
            <w:vAlign w:val="center"/>
          </w:tcPr>
          <w:p w14:paraId="75A868E2">
            <w:pPr>
              <w:snapToGrid w:val="0"/>
              <w:jc w:val="center"/>
              <w:rPr>
                <w:rFonts w:hint="eastAsia"/>
                <w:color w:val="auto"/>
                <w:szCs w:val="21"/>
              </w:rPr>
            </w:pPr>
            <w:r>
              <w:rPr>
                <w:rFonts w:hint="eastAsia"/>
                <w:b/>
                <w:bCs/>
                <w:color w:val="auto"/>
                <w:szCs w:val="21"/>
                <w:highlight w:val="none"/>
                <w:u w:val="single"/>
                <w:lang w:val="en-US" w:eastAsia="zh-CN" w:bidi="ar"/>
              </w:rPr>
              <w:t>2.6605</w:t>
            </w:r>
            <w:r>
              <w:rPr>
                <w:color w:val="auto"/>
                <w:szCs w:val="21"/>
              </w:rPr>
              <w:t>t/a</w:t>
            </w:r>
          </w:p>
        </w:tc>
        <w:tc>
          <w:tcPr>
            <w:tcW w:w="1575" w:type="dxa"/>
            <w:vAlign w:val="center"/>
          </w:tcPr>
          <w:p w14:paraId="32B34EBF">
            <w:pPr>
              <w:pStyle w:val="51"/>
              <w:autoSpaceDE/>
              <w:autoSpaceDN/>
              <w:spacing w:before="0" w:beforeLines="0" w:after="0" w:afterLines="0" w:line="240" w:lineRule="auto"/>
              <w:ind w:right="0"/>
              <w:textAlignment w:val="auto"/>
              <w:rPr>
                <w:rFonts w:ascii="Times New Roman"/>
                <w:snapToGrid w:val="0"/>
                <w:color w:val="auto"/>
                <w:kern w:val="21"/>
                <w:szCs w:val="21"/>
              </w:rPr>
            </w:pPr>
          </w:p>
        </w:tc>
        <w:tc>
          <w:tcPr>
            <w:tcW w:w="2205" w:type="dxa"/>
            <w:vAlign w:val="center"/>
          </w:tcPr>
          <w:p w14:paraId="26566D9F">
            <w:pPr>
              <w:snapToGrid w:val="0"/>
              <w:jc w:val="center"/>
              <w:rPr>
                <w:rFonts w:hint="eastAsia"/>
                <w:color w:val="auto"/>
                <w:szCs w:val="21"/>
              </w:rPr>
            </w:pPr>
            <w:r>
              <w:rPr>
                <w:rFonts w:hint="eastAsia"/>
                <w:b/>
                <w:bCs/>
                <w:color w:val="auto"/>
                <w:szCs w:val="21"/>
                <w:highlight w:val="none"/>
                <w:u w:val="single"/>
                <w:lang w:val="en-US" w:eastAsia="zh-CN" w:bidi="ar"/>
              </w:rPr>
              <w:t>2.6605</w:t>
            </w:r>
            <w:r>
              <w:rPr>
                <w:color w:val="auto"/>
                <w:szCs w:val="21"/>
              </w:rPr>
              <w:t>t/a</w:t>
            </w:r>
          </w:p>
        </w:tc>
        <w:tc>
          <w:tcPr>
            <w:tcW w:w="1395" w:type="dxa"/>
            <w:vAlign w:val="center"/>
          </w:tcPr>
          <w:p w14:paraId="03B4F56A">
            <w:pPr>
              <w:snapToGrid w:val="0"/>
              <w:jc w:val="center"/>
              <w:rPr>
                <w:color w:val="auto"/>
                <w:kern w:val="0"/>
                <w:szCs w:val="21"/>
              </w:rPr>
            </w:pPr>
            <w:r>
              <w:rPr>
                <w:rFonts w:hint="eastAsia"/>
                <w:color w:val="auto"/>
                <w:szCs w:val="21"/>
              </w:rPr>
              <w:t>+</w:t>
            </w:r>
            <w:r>
              <w:rPr>
                <w:rFonts w:hint="eastAsia"/>
                <w:b/>
                <w:bCs/>
                <w:color w:val="auto"/>
                <w:szCs w:val="21"/>
                <w:highlight w:val="none"/>
                <w:u w:val="single"/>
                <w:lang w:val="en-US" w:eastAsia="zh-CN" w:bidi="ar"/>
              </w:rPr>
              <w:t>2.6605</w:t>
            </w:r>
            <w:r>
              <w:rPr>
                <w:color w:val="auto"/>
                <w:szCs w:val="21"/>
              </w:rPr>
              <w:t>t/a</w:t>
            </w:r>
          </w:p>
        </w:tc>
      </w:tr>
      <w:tr w14:paraId="33531C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06" w:type="dxa"/>
            <w:vMerge w:val="continue"/>
            <w:vAlign w:val="center"/>
          </w:tcPr>
          <w:p w14:paraId="7EF639AC">
            <w:pPr>
              <w:pStyle w:val="51"/>
              <w:autoSpaceDE/>
              <w:autoSpaceDN/>
              <w:spacing w:before="0" w:beforeLines="0" w:after="0" w:afterLines="0" w:line="240" w:lineRule="auto"/>
              <w:ind w:right="0"/>
              <w:textAlignment w:val="auto"/>
              <w:rPr>
                <w:rFonts w:ascii="Times New Roman"/>
                <w:snapToGrid w:val="0"/>
                <w:color w:val="auto"/>
                <w:kern w:val="21"/>
                <w:szCs w:val="21"/>
              </w:rPr>
            </w:pPr>
          </w:p>
        </w:tc>
        <w:tc>
          <w:tcPr>
            <w:tcW w:w="1559" w:type="dxa"/>
            <w:vAlign w:val="center"/>
          </w:tcPr>
          <w:p w14:paraId="29EDF868">
            <w:pPr>
              <w:pStyle w:val="21"/>
              <w:snapToGrid w:val="0"/>
              <w:spacing w:before="0" w:beforeAutospacing="0" w:after="0" w:afterAutospacing="0"/>
              <w:jc w:val="center"/>
              <w:rPr>
                <w:rFonts w:ascii="Times New Roman" w:hAnsi="Times New Roman"/>
                <w:snapToGrid w:val="0"/>
                <w:color w:val="auto"/>
                <w:kern w:val="21"/>
                <w:sz w:val="21"/>
                <w:szCs w:val="21"/>
              </w:rPr>
            </w:pPr>
            <w:r>
              <w:rPr>
                <w:rFonts w:ascii="Times New Roman" w:hAnsi="Times New Roman"/>
                <w:color w:val="auto"/>
                <w:sz w:val="21"/>
                <w:szCs w:val="21"/>
              </w:rPr>
              <w:t>废砂纸</w:t>
            </w:r>
          </w:p>
        </w:tc>
        <w:tc>
          <w:tcPr>
            <w:tcW w:w="1560" w:type="dxa"/>
            <w:vAlign w:val="center"/>
          </w:tcPr>
          <w:p w14:paraId="3853BCED">
            <w:pPr>
              <w:pStyle w:val="51"/>
              <w:autoSpaceDE/>
              <w:autoSpaceDN/>
              <w:spacing w:before="0" w:beforeLines="0" w:after="0" w:afterLines="0" w:line="240" w:lineRule="auto"/>
              <w:ind w:right="0"/>
              <w:textAlignment w:val="auto"/>
              <w:rPr>
                <w:rFonts w:ascii="Times New Roman"/>
                <w:snapToGrid w:val="0"/>
                <w:color w:val="auto"/>
                <w:kern w:val="21"/>
                <w:szCs w:val="21"/>
              </w:rPr>
            </w:pPr>
          </w:p>
        </w:tc>
        <w:tc>
          <w:tcPr>
            <w:tcW w:w="1156" w:type="dxa"/>
            <w:vAlign w:val="center"/>
          </w:tcPr>
          <w:p w14:paraId="5749B24A">
            <w:pPr>
              <w:pStyle w:val="51"/>
              <w:autoSpaceDE/>
              <w:autoSpaceDN/>
              <w:spacing w:before="0" w:beforeLines="0" w:after="0" w:afterLines="0" w:line="240" w:lineRule="auto"/>
              <w:ind w:right="0"/>
              <w:textAlignment w:val="auto"/>
              <w:rPr>
                <w:rFonts w:ascii="Times New Roman"/>
                <w:snapToGrid w:val="0"/>
                <w:color w:val="auto"/>
                <w:kern w:val="21"/>
                <w:szCs w:val="21"/>
              </w:rPr>
            </w:pPr>
          </w:p>
        </w:tc>
        <w:tc>
          <w:tcPr>
            <w:tcW w:w="1544" w:type="dxa"/>
            <w:vAlign w:val="center"/>
          </w:tcPr>
          <w:p w14:paraId="656E0991">
            <w:pPr>
              <w:pStyle w:val="51"/>
              <w:autoSpaceDE/>
              <w:autoSpaceDN/>
              <w:spacing w:before="0" w:beforeLines="0" w:after="0" w:afterLines="0" w:line="240" w:lineRule="auto"/>
              <w:ind w:right="0"/>
              <w:textAlignment w:val="auto"/>
              <w:rPr>
                <w:rFonts w:ascii="Times New Roman"/>
                <w:snapToGrid w:val="0"/>
                <w:color w:val="auto"/>
                <w:kern w:val="21"/>
                <w:szCs w:val="21"/>
              </w:rPr>
            </w:pPr>
          </w:p>
        </w:tc>
        <w:tc>
          <w:tcPr>
            <w:tcW w:w="1785" w:type="dxa"/>
            <w:vAlign w:val="center"/>
          </w:tcPr>
          <w:p w14:paraId="0B20AF2B">
            <w:pPr>
              <w:snapToGrid w:val="0"/>
              <w:jc w:val="center"/>
              <w:rPr>
                <w:snapToGrid w:val="0"/>
                <w:color w:val="auto"/>
                <w:kern w:val="21"/>
                <w:szCs w:val="21"/>
              </w:rPr>
            </w:pPr>
            <w:r>
              <w:rPr>
                <w:color w:val="auto"/>
                <w:szCs w:val="21"/>
                <w:lang w:bidi="ar"/>
              </w:rPr>
              <w:t>0.04</w:t>
            </w:r>
            <w:r>
              <w:rPr>
                <w:color w:val="auto"/>
                <w:szCs w:val="21"/>
              </w:rPr>
              <w:t>t/a</w:t>
            </w:r>
          </w:p>
        </w:tc>
        <w:tc>
          <w:tcPr>
            <w:tcW w:w="1575" w:type="dxa"/>
            <w:vAlign w:val="center"/>
          </w:tcPr>
          <w:p w14:paraId="7C73558A">
            <w:pPr>
              <w:pStyle w:val="51"/>
              <w:autoSpaceDE/>
              <w:autoSpaceDN/>
              <w:spacing w:before="0" w:beforeLines="0" w:after="0" w:afterLines="0" w:line="240" w:lineRule="auto"/>
              <w:ind w:right="0"/>
              <w:textAlignment w:val="auto"/>
              <w:rPr>
                <w:rFonts w:ascii="Times New Roman"/>
                <w:snapToGrid w:val="0"/>
                <w:color w:val="auto"/>
                <w:kern w:val="21"/>
                <w:szCs w:val="21"/>
              </w:rPr>
            </w:pPr>
          </w:p>
        </w:tc>
        <w:tc>
          <w:tcPr>
            <w:tcW w:w="2205" w:type="dxa"/>
            <w:vAlign w:val="center"/>
          </w:tcPr>
          <w:p w14:paraId="04517CB5">
            <w:pPr>
              <w:snapToGrid w:val="0"/>
              <w:jc w:val="center"/>
              <w:rPr>
                <w:snapToGrid w:val="0"/>
                <w:color w:val="auto"/>
                <w:kern w:val="21"/>
                <w:szCs w:val="21"/>
              </w:rPr>
            </w:pPr>
            <w:r>
              <w:rPr>
                <w:color w:val="auto"/>
                <w:szCs w:val="21"/>
                <w:lang w:bidi="ar"/>
              </w:rPr>
              <w:t>0.04</w:t>
            </w:r>
            <w:r>
              <w:rPr>
                <w:color w:val="auto"/>
                <w:szCs w:val="21"/>
              </w:rPr>
              <w:t>t/a</w:t>
            </w:r>
          </w:p>
        </w:tc>
        <w:tc>
          <w:tcPr>
            <w:tcW w:w="1395" w:type="dxa"/>
            <w:vAlign w:val="center"/>
          </w:tcPr>
          <w:p w14:paraId="74EFC0CB">
            <w:pPr>
              <w:snapToGrid w:val="0"/>
              <w:jc w:val="center"/>
              <w:rPr>
                <w:snapToGrid w:val="0"/>
                <w:color w:val="auto"/>
                <w:kern w:val="21"/>
                <w:szCs w:val="21"/>
              </w:rPr>
            </w:pPr>
            <w:r>
              <w:rPr>
                <w:rFonts w:hint="eastAsia"/>
                <w:color w:val="auto"/>
                <w:szCs w:val="21"/>
              </w:rPr>
              <w:t>+</w:t>
            </w:r>
            <w:r>
              <w:rPr>
                <w:color w:val="auto"/>
                <w:szCs w:val="21"/>
                <w:lang w:bidi="ar"/>
              </w:rPr>
              <w:t>0.04</w:t>
            </w:r>
            <w:r>
              <w:rPr>
                <w:color w:val="auto"/>
                <w:szCs w:val="21"/>
              </w:rPr>
              <w:t>t/a</w:t>
            </w:r>
          </w:p>
        </w:tc>
      </w:tr>
      <w:tr w14:paraId="2A65A7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06" w:type="dxa"/>
            <w:vMerge w:val="continue"/>
            <w:vAlign w:val="center"/>
          </w:tcPr>
          <w:p w14:paraId="35BCD486">
            <w:pPr>
              <w:pStyle w:val="51"/>
              <w:autoSpaceDE/>
              <w:autoSpaceDN/>
              <w:spacing w:before="0" w:beforeLines="0" w:after="0" w:afterLines="0" w:line="240" w:lineRule="auto"/>
              <w:ind w:right="0"/>
              <w:textAlignment w:val="auto"/>
              <w:rPr>
                <w:rFonts w:ascii="Times New Roman"/>
                <w:snapToGrid w:val="0"/>
                <w:color w:val="auto"/>
                <w:kern w:val="21"/>
                <w:szCs w:val="21"/>
              </w:rPr>
            </w:pPr>
          </w:p>
        </w:tc>
        <w:tc>
          <w:tcPr>
            <w:tcW w:w="1559" w:type="dxa"/>
            <w:vAlign w:val="center"/>
          </w:tcPr>
          <w:p w14:paraId="10CD2AB6">
            <w:pPr>
              <w:pStyle w:val="21"/>
              <w:snapToGrid w:val="0"/>
              <w:spacing w:before="0" w:beforeAutospacing="0" w:after="0" w:afterAutospacing="0"/>
              <w:jc w:val="center"/>
              <w:rPr>
                <w:rFonts w:hint="default" w:ascii="Times New Roman" w:hAnsi="Times New Roman" w:eastAsia="宋体"/>
                <w:b/>
                <w:bCs/>
                <w:color w:val="auto"/>
                <w:sz w:val="21"/>
                <w:szCs w:val="21"/>
                <w:u w:val="single"/>
                <w:lang w:val="en-US" w:eastAsia="zh-CN"/>
              </w:rPr>
            </w:pPr>
            <w:r>
              <w:rPr>
                <w:rFonts w:hint="eastAsia" w:ascii="Times New Roman" w:hAnsi="Times New Roman"/>
                <w:b/>
                <w:bCs/>
                <w:color w:val="auto"/>
                <w:sz w:val="21"/>
                <w:szCs w:val="21"/>
                <w:u w:val="single"/>
                <w:lang w:val="en-US" w:eastAsia="zh-CN"/>
              </w:rPr>
              <w:t>饮水机RO膜</w:t>
            </w:r>
          </w:p>
        </w:tc>
        <w:tc>
          <w:tcPr>
            <w:tcW w:w="1560" w:type="dxa"/>
            <w:vAlign w:val="center"/>
          </w:tcPr>
          <w:p w14:paraId="506AB01C">
            <w:pPr>
              <w:pStyle w:val="51"/>
              <w:autoSpaceDE/>
              <w:autoSpaceDN/>
              <w:spacing w:before="0" w:beforeLines="0" w:after="0" w:afterLines="0" w:line="240" w:lineRule="auto"/>
              <w:ind w:right="0"/>
              <w:textAlignment w:val="auto"/>
              <w:rPr>
                <w:rFonts w:ascii="Times New Roman"/>
                <w:b/>
                <w:bCs/>
                <w:snapToGrid w:val="0"/>
                <w:color w:val="auto"/>
                <w:kern w:val="21"/>
                <w:szCs w:val="21"/>
                <w:u w:val="single"/>
              </w:rPr>
            </w:pPr>
          </w:p>
        </w:tc>
        <w:tc>
          <w:tcPr>
            <w:tcW w:w="1156" w:type="dxa"/>
            <w:vAlign w:val="center"/>
          </w:tcPr>
          <w:p w14:paraId="6C788A13">
            <w:pPr>
              <w:pStyle w:val="51"/>
              <w:autoSpaceDE/>
              <w:autoSpaceDN/>
              <w:spacing w:before="0" w:beforeLines="0" w:after="0" w:afterLines="0" w:line="240" w:lineRule="auto"/>
              <w:ind w:right="0"/>
              <w:textAlignment w:val="auto"/>
              <w:rPr>
                <w:rFonts w:ascii="Times New Roman"/>
                <w:b/>
                <w:bCs/>
                <w:snapToGrid w:val="0"/>
                <w:color w:val="auto"/>
                <w:kern w:val="21"/>
                <w:szCs w:val="21"/>
                <w:u w:val="single"/>
              </w:rPr>
            </w:pPr>
          </w:p>
        </w:tc>
        <w:tc>
          <w:tcPr>
            <w:tcW w:w="1544" w:type="dxa"/>
            <w:vAlign w:val="center"/>
          </w:tcPr>
          <w:p w14:paraId="4CDDA4BE">
            <w:pPr>
              <w:pStyle w:val="51"/>
              <w:autoSpaceDE/>
              <w:autoSpaceDN/>
              <w:spacing w:before="0" w:beforeLines="0" w:after="0" w:afterLines="0" w:line="240" w:lineRule="auto"/>
              <w:ind w:right="0"/>
              <w:textAlignment w:val="auto"/>
              <w:rPr>
                <w:rFonts w:ascii="Times New Roman"/>
                <w:b/>
                <w:bCs/>
                <w:snapToGrid w:val="0"/>
                <w:color w:val="auto"/>
                <w:kern w:val="21"/>
                <w:szCs w:val="21"/>
                <w:u w:val="single"/>
              </w:rPr>
            </w:pPr>
          </w:p>
        </w:tc>
        <w:tc>
          <w:tcPr>
            <w:tcW w:w="1785" w:type="dxa"/>
            <w:vAlign w:val="center"/>
          </w:tcPr>
          <w:p w14:paraId="0CC447CA">
            <w:pPr>
              <w:snapToGrid w:val="0"/>
              <w:jc w:val="center"/>
              <w:rPr>
                <w:b/>
                <w:bCs/>
                <w:color w:val="auto"/>
                <w:szCs w:val="21"/>
                <w:u w:val="single"/>
                <w:lang w:bidi="ar"/>
              </w:rPr>
            </w:pPr>
            <w:r>
              <w:rPr>
                <w:b/>
                <w:bCs/>
                <w:color w:val="auto"/>
                <w:szCs w:val="21"/>
                <w:u w:val="single"/>
                <w:lang w:bidi="ar"/>
              </w:rPr>
              <w:t>0.0</w:t>
            </w:r>
            <w:r>
              <w:rPr>
                <w:rFonts w:hint="eastAsia"/>
                <w:b/>
                <w:bCs/>
                <w:color w:val="auto"/>
                <w:szCs w:val="21"/>
                <w:u w:val="single"/>
                <w:lang w:val="en-US" w:eastAsia="zh-CN" w:bidi="ar"/>
              </w:rPr>
              <w:t>1</w:t>
            </w:r>
            <w:r>
              <w:rPr>
                <w:b/>
                <w:bCs/>
                <w:color w:val="auto"/>
                <w:szCs w:val="21"/>
                <w:u w:val="single"/>
              </w:rPr>
              <w:t>t/a</w:t>
            </w:r>
          </w:p>
        </w:tc>
        <w:tc>
          <w:tcPr>
            <w:tcW w:w="1575" w:type="dxa"/>
            <w:vAlign w:val="center"/>
          </w:tcPr>
          <w:p w14:paraId="0337F04A">
            <w:pPr>
              <w:pStyle w:val="51"/>
              <w:autoSpaceDE/>
              <w:autoSpaceDN/>
              <w:spacing w:before="0" w:beforeLines="0" w:after="0" w:afterLines="0" w:line="240" w:lineRule="auto"/>
              <w:ind w:right="0"/>
              <w:textAlignment w:val="auto"/>
              <w:rPr>
                <w:rFonts w:ascii="Times New Roman"/>
                <w:b/>
                <w:bCs/>
                <w:snapToGrid w:val="0"/>
                <w:color w:val="auto"/>
                <w:kern w:val="21"/>
                <w:szCs w:val="21"/>
                <w:u w:val="single"/>
              </w:rPr>
            </w:pPr>
          </w:p>
        </w:tc>
        <w:tc>
          <w:tcPr>
            <w:tcW w:w="2205" w:type="dxa"/>
            <w:vAlign w:val="center"/>
          </w:tcPr>
          <w:p w14:paraId="7AA9D8F4">
            <w:pPr>
              <w:snapToGrid w:val="0"/>
              <w:jc w:val="center"/>
              <w:rPr>
                <w:b/>
                <w:bCs/>
                <w:color w:val="auto"/>
                <w:szCs w:val="21"/>
                <w:u w:val="single"/>
                <w:lang w:bidi="ar"/>
              </w:rPr>
            </w:pPr>
            <w:r>
              <w:rPr>
                <w:b/>
                <w:bCs/>
                <w:color w:val="auto"/>
                <w:szCs w:val="21"/>
                <w:u w:val="single"/>
                <w:lang w:bidi="ar"/>
              </w:rPr>
              <w:t>0.0</w:t>
            </w:r>
            <w:r>
              <w:rPr>
                <w:rFonts w:hint="eastAsia"/>
                <w:b/>
                <w:bCs/>
                <w:color w:val="auto"/>
                <w:szCs w:val="21"/>
                <w:u w:val="single"/>
                <w:lang w:val="en-US" w:eastAsia="zh-CN" w:bidi="ar"/>
              </w:rPr>
              <w:t>1</w:t>
            </w:r>
            <w:r>
              <w:rPr>
                <w:b/>
                <w:bCs/>
                <w:color w:val="auto"/>
                <w:szCs w:val="21"/>
                <w:u w:val="single"/>
              </w:rPr>
              <w:t>t/a</w:t>
            </w:r>
          </w:p>
        </w:tc>
        <w:tc>
          <w:tcPr>
            <w:tcW w:w="1395" w:type="dxa"/>
            <w:vAlign w:val="center"/>
          </w:tcPr>
          <w:p w14:paraId="689558C4">
            <w:pPr>
              <w:snapToGrid w:val="0"/>
              <w:jc w:val="center"/>
              <w:rPr>
                <w:rFonts w:hint="eastAsia" w:eastAsia="宋体"/>
                <w:b/>
                <w:bCs/>
                <w:color w:val="auto"/>
                <w:szCs w:val="21"/>
                <w:u w:val="single"/>
                <w:lang w:val="en-US" w:eastAsia="zh-CN"/>
              </w:rPr>
            </w:pPr>
            <w:r>
              <w:rPr>
                <w:rFonts w:hint="eastAsia"/>
                <w:b/>
                <w:bCs/>
                <w:color w:val="auto"/>
                <w:szCs w:val="21"/>
                <w:u w:val="single"/>
                <w:lang w:val="en-US" w:eastAsia="zh-CN"/>
              </w:rPr>
              <w:t>+</w:t>
            </w:r>
            <w:r>
              <w:rPr>
                <w:b/>
                <w:bCs/>
                <w:color w:val="auto"/>
                <w:szCs w:val="21"/>
                <w:u w:val="single"/>
                <w:lang w:bidi="ar"/>
              </w:rPr>
              <w:t>0.0</w:t>
            </w:r>
            <w:r>
              <w:rPr>
                <w:rFonts w:hint="eastAsia"/>
                <w:b/>
                <w:bCs/>
                <w:color w:val="auto"/>
                <w:szCs w:val="21"/>
                <w:u w:val="single"/>
                <w:lang w:val="en-US" w:eastAsia="zh-CN" w:bidi="ar"/>
              </w:rPr>
              <w:t>1</w:t>
            </w:r>
            <w:r>
              <w:rPr>
                <w:b/>
                <w:bCs/>
                <w:color w:val="auto"/>
                <w:szCs w:val="21"/>
                <w:u w:val="single"/>
              </w:rPr>
              <w:t>t/a</w:t>
            </w:r>
          </w:p>
        </w:tc>
      </w:tr>
      <w:tr w14:paraId="73F873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06" w:type="dxa"/>
            <w:vMerge w:val="restart"/>
            <w:vAlign w:val="center"/>
          </w:tcPr>
          <w:p w14:paraId="1686D555">
            <w:pPr>
              <w:pStyle w:val="51"/>
              <w:autoSpaceDE/>
              <w:autoSpaceDN/>
              <w:spacing w:before="0" w:beforeLines="0" w:after="0" w:afterLines="0" w:line="240" w:lineRule="auto"/>
              <w:ind w:right="0"/>
              <w:textAlignment w:val="auto"/>
              <w:rPr>
                <w:rFonts w:ascii="Times New Roman"/>
                <w:snapToGrid w:val="0"/>
                <w:color w:val="auto"/>
                <w:kern w:val="21"/>
                <w:szCs w:val="21"/>
              </w:rPr>
            </w:pPr>
            <w:r>
              <w:rPr>
                <w:rFonts w:ascii="Times New Roman"/>
                <w:snapToGrid w:val="0"/>
                <w:color w:val="auto"/>
                <w:kern w:val="21"/>
                <w:szCs w:val="21"/>
              </w:rPr>
              <w:t>危险废物</w:t>
            </w:r>
          </w:p>
        </w:tc>
        <w:tc>
          <w:tcPr>
            <w:tcW w:w="1559" w:type="dxa"/>
            <w:vAlign w:val="center"/>
          </w:tcPr>
          <w:p w14:paraId="74DC1A0C">
            <w:pPr>
              <w:pStyle w:val="21"/>
              <w:snapToGrid w:val="0"/>
              <w:spacing w:before="0" w:beforeAutospacing="0" w:after="0" w:afterAutospacing="0"/>
              <w:jc w:val="center"/>
              <w:rPr>
                <w:rFonts w:hint="eastAsia" w:ascii="Times New Roman" w:hAnsi="Times New Roman" w:eastAsia="宋体"/>
                <w:b/>
                <w:bCs/>
                <w:color w:val="auto"/>
                <w:sz w:val="21"/>
                <w:szCs w:val="21"/>
                <w:u w:val="single"/>
                <w:lang w:val="en-US" w:eastAsia="zh-CN"/>
              </w:rPr>
            </w:pPr>
            <w:r>
              <w:rPr>
                <w:rFonts w:hint="eastAsia" w:ascii="Times New Roman" w:hAnsi="Times New Roman"/>
                <w:b/>
                <w:bCs/>
                <w:color w:val="auto"/>
                <w:sz w:val="21"/>
                <w:szCs w:val="21"/>
                <w:u w:val="single"/>
                <w:lang w:val="en-US" w:eastAsia="zh-CN"/>
              </w:rPr>
              <w:t>油磨粉尘</w:t>
            </w:r>
          </w:p>
        </w:tc>
        <w:tc>
          <w:tcPr>
            <w:tcW w:w="1560" w:type="dxa"/>
            <w:vAlign w:val="center"/>
          </w:tcPr>
          <w:p w14:paraId="4D158260">
            <w:pPr>
              <w:pStyle w:val="51"/>
              <w:autoSpaceDE/>
              <w:autoSpaceDN/>
              <w:spacing w:before="0" w:beforeLines="0" w:after="0" w:afterLines="0" w:line="240" w:lineRule="auto"/>
              <w:ind w:right="0"/>
              <w:textAlignment w:val="auto"/>
              <w:rPr>
                <w:rFonts w:ascii="Times New Roman"/>
                <w:b/>
                <w:bCs/>
                <w:color w:val="auto"/>
                <w:szCs w:val="21"/>
                <w:u w:val="single"/>
              </w:rPr>
            </w:pPr>
          </w:p>
        </w:tc>
        <w:tc>
          <w:tcPr>
            <w:tcW w:w="1156" w:type="dxa"/>
            <w:vAlign w:val="center"/>
          </w:tcPr>
          <w:p w14:paraId="540ED01C">
            <w:pPr>
              <w:pStyle w:val="51"/>
              <w:autoSpaceDE/>
              <w:autoSpaceDN/>
              <w:spacing w:before="0" w:beforeLines="0" w:after="0" w:afterLines="0" w:line="240" w:lineRule="auto"/>
              <w:ind w:right="0"/>
              <w:textAlignment w:val="auto"/>
              <w:rPr>
                <w:rFonts w:ascii="Times New Roman"/>
                <w:b/>
                <w:bCs/>
                <w:color w:val="auto"/>
                <w:szCs w:val="21"/>
                <w:u w:val="single"/>
              </w:rPr>
            </w:pPr>
          </w:p>
        </w:tc>
        <w:tc>
          <w:tcPr>
            <w:tcW w:w="1544" w:type="dxa"/>
            <w:vAlign w:val="center"/>
          </w:tcPr>
          <w:p w14:paraId="6C35D432">
            <w:pPr>
              <w:pStyle w:val="51"/>
              <w:autoSpaceDE/>
              <w:autoSpaceDN/>
              <w:spacing w:before="0" w:beforeLines="0" w:after="0" w:afterLines="0" w:line="240" w:lineRule="auto"/>
              <w:ind w:right="0"/>
              <w:textAlignment w:val="auto"/>
              <w:rPr>
                <w:rFonts w:ascii="Times New Roman"/>
                <w:b/>
                <w:bCs/>
                <w:color w:val="auto"/>
                <w:szCs w:val="21"/>
                <w:u w:val="single"/>
              </w:rPr>
            </w:pPr>
          </w:p>
        </w:tc>
        <w:tc>
          <w:tcPr>
            <w:tcW w:w="1785" w:type="dxa"/>
            <w:vAlign w:val="center"/>
          </w:tcPr>
          <w:p w14:paraId="1DF73784">
            <w:pPr>
              <w:snapToGrid w:val="0"/>
              <w:jc w:val="center"/>
              <w:rPr>
                <w:rFonts w:hint="default" w:eastAsia="宋体"/>
                <w:b/>
                <w:bCs/>
                <w:color w:val="auto"/>
                <w:szCs w:val="21"/>
                <w:u w:val="single"/>
                <w:lang w:val="en-US" w:eastAsia="zh-CN" w:bidi="ar"/>
              </w:rPr>
            </w:pPr>
            <w:r>
              <w:rPr>
                <w:rFonts w:hint="eastAsia"/>
                <w:b/>
                <w:bCs/>
                <w:color w:val="auto"/>
                <w:szCs w:val="21"/>
                <w:u w:val="single"/>
                <w:lang w:val="en-US" w:eastAsia="zh-CN" w:bidi="ar"/>
              </w:rPr>
              <w:t>2.1810</w:t>
            </w:r>
            <w:r>
              <w:rPr>
                <w:b/>
                <w:bCs/>
                <w:color w:val="auto"/>
                <w:szCs w:val="21"/>
                <w:u w:val="single"/>
              </w:rPr>
              <w:t>t/a</w:t>
            </w:r>
          </w:p>
        </w:tc>
        <w:tc>
          <w:tcPr>
            <w:tcW w:w="1575" w:type="dxa"/>
            <w:vAlign w:val="center"/>
          </w:tcPr>
          <w:p w14:paraId="2CAA80A9">
            <w:pPr>
              <w:pStyle w:val="51"/>
              <w:autoSpaceDE/>
              <w:autoSpaceDN/>
              <w:spacing w:before="0" w:beforeLines="0" w:after="0" w:afterLines="0" w:line="240" w:lineRule="auto"/>
              <w:ind w:right="0"/>
              <w:textAlignment w:val="auto"/>
              <w:rPr>
                <w:rFonts w:ascii="Times New Roman"/>
                <w:b/>
                <w:bCs/>
                <w:color w:val="auto"/>
                <w:szCs w:val="21"/>
                <w:u w:val="single"/>
              </w:rPr>
            </w:pPr>
          </w:p>
        </w:tc>
        <w:tc>
          <w:tcPr>
            <w:tcW w:w="2205" w:type="dxa"/>
            <w:vAlign w:val="center"/>
          </w:tcPr>
          <w:p w14:paraId="75A70234">
            <w:pPr>
              <w:snapToGrid w:val="0"/>
              <w:jc w:val="center"/>
              <w:rPr>
                <w:b/>
                <w:bCs/>
                <w:color w:val="auto"/>
                <w:szCs w:val="21"/>
                <w:u w:val="single"/>
                <w:lang w:bidi="ar"/>
              </w:rPr>
            </w:pPr>
            <w:r>
              <w:rPr>
                <w:rFonts w:hint="eastAsia"/>
                <w:b/>
                <w:bCs/>
                <w:color w:val="auto"/>
                <w:szCs w:val="21"/>
                <w:u w:val="single"/>
                <w:lang w:val="en-US" w:eastAsia="zh-CN" w:bidi="ar"/>
              </w:rPr>
              <w:t>2.1810</w:t>
            </w:r>
            <w:r>
              <w:rPr>
                <w:b/>
                <w:bCs/>
                <w:color w:val="auto"/>
                <w:szCs w:val="21"/>
                <w:u w:val="single"/>
              </w:rPr>
              <w:t>t/a</w:t>
            </w:r>
          </w:p>
        </w:tc>
        <w:tc>
          <w:tcPr>
            <w:tcW w:w="1395" w:type="dxa"/>
            <w:vAlign w:val="center"/>
          </w:tcPr>
          <w:p w14:paraId="2CD023FA">
            <w:pPr>
              <w:snapToGrid w:val="0"/>
              <w:jc w:val="center"/>
              <w:rPr>
                <w:rFonts w:hint="eastAsia" w:eastAsia="宋体"/>
                <w:b/>
                <w:bCs/>
                <w:color w:val="auto"/>
                <w:szCs w:val="21"/>
                <w:u w:val="single"/>
                <w:lang w:val="en-US" w:eastAsia="zh-CN"/>
              </w:rPr>
            </w:pPr>
            <w:r>
              <w:rPr>
                <w:rFonts w:hint="eastAsia"/>
                <w:b/>
                <w:bCs/>
                <w:color w:val="auto"/>
                <w:szCs w:val="21"/>
                <w:u w:val="single"/>
                <w:lang w:val="en-US" w:eastAsia="zh-CN"/>
              </w:rPr>
              <w:t>+</w:t>
            </w:r>
            <w:r>
              <w:rPr>
                <w:rFonts w:hint="eastAsia"/>
                <w:b/>
                <w:bCs/>
                <w:color w:val="auto"/>
                <w:szCs w:val="21"/>
                <w:u w:val="single"/>
                <w:lang w:val="en-US" w:eastAsia="zh-CN" w:bidi="ar"/>
              </w:rPr>
              <w:t>2.1810</w:t>
            </w:r>
            <w:r>
              <w:rPr>
                <w:b/>
                <w:bCs/>
                <w:color w:val="auto"/>
                <w:szCs w:val="21"/>
                <w:u w:val="single"/>
              </w:rPr>
              <w:t>t/a</w:t>
            </w:r>
          </w:p>
        </w:tc>
      </w:tr>
      <w:tr w14:paraId="0C5069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06" w:type="dxa"/>
            <w:vMerge w:val="continue"/>
            <w:vAlign w:val="center"/>
          </w:tcPr>
          <w:p w14:paraId="3E8BC4F2">
            <w:pPr>
              <w:pStyle w:val="51"/>
              <w:autoSpaceDE/>
              <w:autoSpaceDN/>
              <w:spacing w:before="0" w:beforeLines="0" w:after="0" w:afterLines="0" w:line="240" w:lineRule="auto"/>
              <w:ind w:right="0"/>
              <w:textAlignment w:val="auto"/>
              <w:rPr>
                <w:rFonts w:ascii="Times New Roman"/>
                <w:snapToGrid w:val="0"/>
                <w:color w:val="auto"/>
                <w:kern w:val="21"/>
                <w:szCs w:val="21"/>
              </w:rPr>
            </w:pPr>
          </w:p>
        </w:tc>
        <w:tc>
          <w:tcPr>
            <w:tcW w:w="1559" w:type="dxa"/>
            <w:vAlign w:val="center"/>
          </w:tcPr>
          <w:p w14:paraId="2CD016D3">
            <w:pPr>
              <w:pStyle w:val="21"/>
              <w:snapToGrid w:val="0"/>
              <w:spacing w:before="0" w:beforeAutospacing="0" w:after="0" w:afterAutospacing="0"/>
              <w:jc w:val="center"/>
              <w:rPr>
                <w:rFonts w:ascii="Times New Roman" w:hAnsi="Times New Roman"/>
                <w:snapToGrid w:val="0"/>
                <w:color w:val="auto"/>
                <w:kern w:val="21"/>
                <w:sz w:val="21"/>
                <w:szCs w:val="21"/>
              </w:rPr>
            </w:pPr>
            <w:r>
              <w:rPr>
                <w:rFonts w:ascii="Times New Roman" w:hAnsi="Times New Roman"/>
                <w:color w:val="auto"/>
                <w:sz w:val="21"/>
                <w:szCs w:val="21"/>
              </w:rPr>
              <w:t>废液压油</w:t>
            </w:r>
          </w:p>
        </w:tc>
        <w:tc>
          <w:tcPr>
            <w:tcW w:w="1560" w:type="dxa"/>
            <w:vAlign w:val="center"/>
          </w:tcPr>
          <w:p w14:paraId="4E659408">
            <w:pPr>
              <w:pStyle w:val="51"/>
              <w:autoSpaceDE/>
              <w:autoSpaceDN/>
              <w:spacing w:before="0" w:beforeLines="0" w:after="0" w:afterLines="0" w:line="240" w:lineRule="auto"/>
              <w:ind w:right="0"/>
              <w:textAlignment w:val="auto"/>
              <w:rPr>
                <w:rFonts w:ascii="Times New Roman"/>
                <w:color w:val="auto"/>
                <w:szCs w:val="21"/>
              </w:rPr>
            </w:pPr>
          </w:p>
        </w:tc>
        <w:tc>
          <w:tcPr>
            <w:tcW w:w="1156" w:type="dxa"/>
            <w:vAlign w:val="center"/>
          </w:tcPr>
          <w:p w14:paraId="3A6BA25C">
            <w:pPr>
              <w:pStyle w:val="51"/>
              <w:autoSpaceDE/>
              <w:autoSpaceDN/>
              <w:spacing w:before="0" w:beforeLines="0" w:after="0" w:afterLines="0" w:line="240" w:lineRule="auto"/>
              <w:ind w:right="0"/>
              <w:textAlignment w:val="auto"/>
              <w:rPr>
                <w:rFonts w:ascii="Times New Roman"/>
                <w:color w:val="auto"/>
                <w:szCs w:val="21"/>
              </w:rPr>
            </w:pPr>
          </w:p>
        </w:tc>
        <w:tc>
          <w:tcPr>
            <w:tcW w:w="1544" w:type="dxa"/>
            <w:vAlign w:val="center"/>
          </w:tcPr>
          <w:p w14:paraId="5A63AE23">
            <w:pPr>
              <w:pStyle w:val="51"/>
              <w:autoSpaceDE/>
              <w:autoSpaceDN/>
              <w:spacing w:before="0" w:beforeLines="0" w:after="0" w:afterLines="0" w:line="240" w:lineRule="auto"/>
              <w:ind w:right="0"/>
              <w:textAlignment w:val="auto"/>
              <w:rPr>
                <w:rFonts w:ascii="Times New Roman"/>
                <w:color w:val="auto"/>
                <w:szCs w:val="21"/>
              </w:rPr>
            </w:pPr>
          </w:p>
        </w:tc>
        <w:tc>
          <w:tcPr>
            <w:tcW w:w="1785" w:type="dxa"/>
            <w:vAlign w:val="center"/>
          </w:tcPr>
          <w:p w14:paraId="3C6A3B13">
            <w:pPr>
              <w:snapToGrid w:val="0"/>
              <w:jc w:val="center"/>
              <w:rPr>
                <w:color w:val="auto"/>
                <w:szCs w:val="21"/>
              </w:rPr>
            </w:pPr>
            <w:r>
              <w:rPr>
                <w:color w:val="auto"/>
                <w:szCs w:val="21"/>
                <w:lang w:bidi="ar"/>
              </w:rPr>
              <w:t>0.15</w:t>
            </w:r>
            <w:r>
              <w:rPr>
                <w:color w:val="auto"/>
                <w:szCs w:val="21"/>
              </w:rPr>
              <w:t>t/a</w:t>
            </w:r>
          </w:p>
        </w:tc>
        <w:tc>
          <w:tcPr>
            <w:tcW w:w="1575" w:type="dxa"/>
            <w:vAlign w:val="center"/>
          </w:tcPr>
          <w:p w14:paraId="3BFF74E0">
            <w:pPr>
              <w:pStyle w:val="51"/>
              <w:autoSpaceDE/>
              <w:autoSpaceDN/>
              <w:spacing w:before="0" w:beforeLines="0" w:after="0" w:afterLines="0" w:line="240" w:lineRule="auto"/>
              <w:ind w:right="0"/>
              <w:textAlignment w:val="auto"/>
              <w:rPr>
                <w:rFonts w:ascii="Times New Roman"/>
                <w:color w:val="auto"/>
                <w:szCs w:val="21"/>
              </w:rPr>
            </w:pPr>
          </w:p>
        </w:tc>
        <w:tc>
          <w:tcPr>
            <w:tcW w:w="2205" w:type="dxa"/>
            <w:vAlign w:val="center"/>
          </w:tcPr>
          <w:p w14:paraId="31359B88">
            <w:pPr>
              <w:snapToGrid w:val="0"/>
              <w:jc w:val="center"/>
              <w:rPr>
                <w:color w:val="auto"/>
                <w:szCs w:val="21"/>
              </w:rPr>
            </w:pPr>
            <w:r>
              <w:rPr>
                <w:color w:val="auto"/>
                <w:szCs w:val="21"/>
                <w:lang w:bidi="ar"/>
              </w:rPr>
              <w:t>0.15</w:t>
            </w:r>
            <w:r>
              <w:rPr>
                <w:color w:val="auto"/>
                <w:szCs w:val="21"/>
              </w:rPr>
              <w:t>t/a</w:t>
            </w:r>
          </w:p>
        </w:tc>
        <w:tc>
          <w:tcPr>
            <w:tcW w:w="1395" w:type="dxa"/>
            <w:vAlign w:val="center"/>
          </w:tcPr>
          <w:p w14:paraId="3EF47F10">
            <w:pPr>
              <w:snapToGrid w:val="0"/>
              <w:jc w:val="center"/>
              <w:rPr>
                <w:color w:val="auto"/>
                <w:szCs w:val="21"/>
              </w:rPr>
            </w:pPr>
            <w:r>
              <w:rPr>
                <w:rFonts w:hint="eastAsia"/>
                <w:color w:val="auto"/>
                <w:szCs w:val="21"/>
              </w:rPr>
              <w:t>+</w:t>
            </w:r>
            <w:r>
              <w:rPr>
                <w:color w:val="auto"/>
                <w:szCs w:val="21"/>
                <w:lang w:bidi="ar"/>
              </w:rPr>
              <w:t>0.15</w:t>
            </w:r>
            <w:r>
              <w:rPr>
                <w:color w:val="auto"/>
                <w:szCs w:val="21"/>
              </w:rPr>
              <w:t>t/a</w:t>
            </w:r>
          </w:p>
        </w:tc>
      </w:tr>
      <w:tr w14:paraId="7870E2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06" w:type="dxa"/>
            <w:vMerge w:val="continue"/>
            <w:vAlign w:val="center"/>
          </w:tcPr>
          <w:p w14:paraId="14767CBB">
            <w:pPr>
              <w:pStyle w:val="51"/>
              <w:autoSpaceDE/>
              <w:autoSpaceDN/>
              <w:spacing w:before="0" w:beforeLines="0" w:after="0" w:afterLines="0" w:line="240" w:lineRule="auto"/>
              <w:ind w:right="0"/>
              <w:textAlignment w:val="auto"/>
              <w:rPr>
                <w:rFonts w:ascii="Times New Roman"/>
                <w:snapToGrid w:val="0"/>
                <w:color w:val="auto"/>
                <w:kern w:val="21"/>
                <w:szCs w:val="21"/>
              </w:rPr>
            </w:pPr>
          </w:p>
        </w:tc>
        <w:tc>
          <w:tcPr>
            <w:tcW w:w="1559" w:type="dxa"/>
            <w:vAlign w:val="center"/>
          </w:tcPr>
          <w:p w14:paraId="6BB2F76B">
            <w:pPr>
              <w:pStyle w:val="21"/>
              <w:snapToGrid w:val="0"/>
              <w:spacing w:before="0" w:beforeAutospacing="0" w:after="0" w:afterAutospacing="0"/>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废机油</w:t>
            </w:r>
          </w:p>
        </w:tc>
        <w:tc>
          <w:tcPr>
            <w:tcW w:w="1560" w:type="dxa"/>
            <w:vAlign w:val="center"/>
          </w:tcPr>
          <w:p w14:paraId="1DC3A518">
            <w:pPr>
              <w:pStyle w:val="51"/>
              <w:autoSpaceDE/>
              <w:autoSpaceDN/>
              <w:spacing w:before="0" w:beforeLines="0" w:after="0" w:afterLines="0" w:line="240" w:lineRule="auto"/>
              <w:ind w:right="0"/>
              <w:textAlignment w:val="auto"/>
              <w:rPr>
                <w:rFonts w:ascii="Times New Roman"/>
                <w:color w:val="auto"/>
                <w:szCs w:val="21"/>
              </w:rPr>
            </w:pPr>
          </w:p>
        </w:tc>
        <w:tc>
          <w:tcPr>
            <w:tcW w:w="1156" w:type="dxa"/>
            <w:vAlign w:val="center"/>
          </w:tcPr>
          <w:p w14:paraId="2068B96E">
            <w:pPr>
              <w:pStyle w:val="51"/>
              <w:autoSpaceDE/>
              <w:autoSpaceDN/>
              <w:spacing w:before="0" w:beforeLines="0" w:after="0" w:afterLines="0" w:line="240" w:lineRule="auto"/>
              <w:ind w:right="0"/>
              <w:textAlignment w:val="auto"/>
              <w:rPr>
                <w:rFonts w:ascii="Times New Roman"/>
                <w:color w:val="auto"/>
                <w:szCs w:val="21"/>
              </w:rPr>
            </w:pPr>
          </w:p>
        </w:tc>
        <w:tc>
          <w:tcPr>
            <w:tcW w:w="1544" w:type="dxa"/>
            <w:vAlign w:val="center"/>
          </w:tcPr>
          <w:p w14:paraId="132E7A46">
            <w:pPr>
              <w:pStyle w:val="51"/>
              <w:autoSpaceDE/>
              <w:autoSpaceDN/>
              <w:spacing w:before="0" w:beforeLines="0" w:after="0" w:afterLines="0" w:line="240" w:lineRule="auto"/>
              <w:ind w:right="0"/>
              <w:textAlignment w:val="auto"/>
              <w:rPr>
                <w:rFonts w:ascii="Times New Roman"/>
                <w:color w:val="auto"/>
                <w:szCs w:val="21"/>
              </w:rPr>
            </w:pPr>
          </w:p>
        </w:tc>
        <w:tc>
          <w:tcPr>
            <w:tcW w:w="1785" w:type="dxa"/>
            <w:vAlign w:val="center"/>
          </w:tcPr>
          <w:p w14:paraId="6696F538">
            <w:pPr>
              <w:snapToGrid w:val="0"/>
              <w:jc w:val="center"/>
              <w:rPr>
                <w:rFonts w:hint="default" w:eastAsia="宋体"/>
                <w:color w:val="auto"/>
                <w:szCs w:val="21"/>
                <w:lang w:val="en-US" w:eastAsia="zh-CN" w:bidi="ar"/>
              </w:rPr>
            </w:pPr>
            <w:r>
              <w:rPr>
                <w:rFonts w:hint="eastAsia"/>
                <w:color w:val="auto"/>
                <w:szCs w:val="21"/>
                <w:lang w:val="en-US" w:eastAsia="zh-CN" w:bidi="ar"/>
              </w:rPr>
              <w:t>0.3</w:t>
            </w:r>
            <w:r>
              <w:rPr>
                <w:color w:val="auto"/>
                <w:szCs w:val="21"/>
              </w:rPr>
              <w:t>t/a</w:t>
            </w:r>
          </w:p>
        </w:tc>
        <w:tc>
          <w:tcPr>
            <w:tcW w:w="1575" w:type="dxa"/>
            <w:vAlign w:val="center"/>
          </w:tcPr>
          <w:p w14:paraId="21AA0226">
            <w:pPr>
              <w:pStyle w:val="51"/>
              <w:autoSpaceDE/>
              <w:autoSpaceDN/>
              <w:spacing w:before="0" w:beforeLines="0" w:after="0" w:afterLines="0" w:line="240" w:lineRule="auto"/>
              <w:ind w:right="0"/>
              <w:textAlignment w:val="auto"/>
              <w:rPr>
                <w:rFonts w:ascii="Times New Roman"/>
                <w:color w:val="auto"/>
                <w:szCs w:val="21"/>
              </w:rPr>
            </w:pPr>
          </w:p>
        </w:tc>
        <w:tc>
          <w:tcPr>
            <w:tcW w:w="2205" w:type="dxa"/>
            <w:vAlign w:val="center"/>
          </w:tcPr>
          <w:p w14:paraId="31B4AF78">
            <w:pPr>
              <w:snapToGrid w:val="0"/>
              <w:jc w:val="center"/>
              <w:rPr>
                <w:color w:val="auto"/>
                <w:szCs w:val="21"/>
                <w:lang w:bidi="ar"/>
              </w:rPr>
            </w:pPr>
            <w:r>
              <w:rPr>
                <w:rFonts w:hint="eastAsia"/>
                <w:color w:val="auto"/>
                <w:szCs w:val="21"/>
                <w:lang w:val="en-US" w:eastAsia="zh-CN" w:bidi="ar"/>
              </w:rPr>
              <w:t>0.3</w:t>
            </w:r>
            <w:r>
              <w:rPr>
                <w:color w:val="auto"/>
                <w:szCs w:val="21"/>
              </w:rPr>
              <w:t>t/a</w:t>
            </w:r>
          </w:p>
        </w:tc>
        <w:tc>
          <w:tcPr>
            <w:tcW w:w="1395" w:type="dxa"/>
            <w:vAlign w:val="center"/>
          </w:tcPr>
          <w:p w14:paraId="3506E26C">
            <w:pPr>
              <w:snapToGrid w:val="0"/>
              <w:jc w:val="center"/>
              <w:rPr>
                <w:rFonts w:hint="eastAsia"/>
                <w:color w:val="auto"/>
                <w:szCs w:val="21"/>
              </w:rPr>
            </w:pPr>
            <w:r>
              <w:rPr>
                <w:rFonts w:hint="eastAsia"/>
                <w:color w:val="auto"/>
                <w:szCs w:val="21"/>
              </w:rPr>
              <w:t>+</w:t>
            </w:r>
            <w:r>
              <w:rPr>
                <w:rFonts w:hint="eastAsia"/>
                <w:color w:val="auto"/>
                <w:szCs w:val="21"/>
                <w:lang w:val="en-US" w:eastAsia="zh-CN" w:bidi="ar"/>
              </w:rPr>
              <w:t>0.3</w:t>
            </w:r>
            <w:r>
              <w:rPr>
                <w:color w:val="auto"/>
                <w:szCs w:val="21"/>
              </w:rPr>
              <w:t>t/a</w:t>
            </w:r>
          </w:p>
        </w:tc>
      </w:tr>
      <w:tr w14:paraId="1454C6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06" w:type="dxa"/>
            <w:vMerge w:val="continue"/>
            <w:vAlign w:val="center"/>
          </w:tcPr>
          <w:p w14:paraId="2E44C97B">
            <w:pPr>
              <w:pStyle w:val="51"/>
              <w:autoSpaceDE/>
              <w:autoSpaceDN/>
              <w:spacing w:before="0" w:beforeLines="0" w:after="0" w:afterLines="0" w:line="240" w:lineRule="auto"/>
              <w:ind w:right="0"/>
              <w:textAlignment w:val="auto"/>
              <w:rPr>
                <w:rFonts w:ascii="Times New Roman"/>
                <w:snapToGrid w:val="0"/>
                <w:color w:val="auto"/>
                <w:kern w:val="21"/>
                <w:szCs w:val="21"/>
              </w:rPr>
            </w:pPr>
          </w:p>
        </w:tc>
        <w:tc>
          <w:tcPr>
            <w:tcW w:w="1559" w:type="dxa"/>
            <w:vAlign w:val="center"/>
          </w:tcPr>
          <w:p w14:paraId="5B68E556">
            <w:pPr>
              <w:pStyle w:val="21"/>
              <w:snapToGrid w:val="0"/>
              <w:spacing w:before="0" w:beforeAutospacing="0" w:after="0" w:afterAutospacing="0"/>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废机油桶、废液压油桶</w:t>
            </w:r>
          </w:p>
        </w:tc>
        <w:tc>
          <w:tcPr>
            <w:tcW w:w="1560" w:type="dxa"/>
            <w:vAlign w:val="center"/>
          </w:tcPr>
          <w:p w14:paraId="027B485E">
            <w:pPr>
              <w:pStyle w:val="51"/>
              <w:autoSpaceDE/>
              <w:autoSpaceDN/>
              <w:spacing w:before="0" w:beforeLines="0" w:after="0" w:afterLines="0" w:line="240" w:lineRule="auto"/>
              <w:ind w:right="0"/>
              <w:textAlignment w:val="auto"/>
              <w:rPr>
                <w:rFonts w:ascii="Times New Roman"/>
                <w:color w:val="auto"/>
                <w:szCs w:val="21"/>
              </w:rPr>
            </w:pPr>
          </w:p>
        </w:tc>
        <w:tc>
          <w:tcPr>
            <w:tcW w:w="1156" w:type="dxa"/>
            <w:vAlign w:val="center"/>
          </w:tcPr>
          <w:p w14:paraId="2AF4448D">
            <w:pPr>
              <w:pStyle w:val="51"/>
              <w:autoSpaceDE/>
              <w:autoSpaceDN/>
              <w:spacing w:before="0" w:beforeLines="0" w:after="0" w:afterLines="0" w:line="240" w:lineRule="auto"/>
              <w:ind w:right="0"/>
              <w:textAlignment w:val="auto"/>
              <w:rPr>
                <w:rFonts w:ascii="Times New Roman"/>
                <w:color w:val="auto"/>
                <w:szCs w:val="21"/>
              </w:rPr>
            </w:pPr>
          </w:p>
        </w:tc>
        <w:tc>
          <w:tcPr>
            <w:tcW w:w="1544" w:type="dxa"/>
            <w:vAlign w:val="center"/>
          </w:tcPr>
          <w:p w14:paraId="0B03D620">
            <w:pPr>
              <w:pStyle w:val="51"/>
              <w:autoSpaceDE/>
              <w:autoSpaceDN/>
              <w:spacing w:before="0" w:beforeLines="0" w:after="0" w:afterLines="0" w:line="240" w:lineRule="auto"/>
              <w:ind w:right="0"/>
              <w:textAlignment w:val="auto"/>
              <w:rPr>
                <w:rFonts w:ascii="Times New Roman"/>
                <w:color w:val="auto"/>
                <w:szCs w:val="21"/>
              </w:rPr>
            </w:pPr>
          </w:p>
        </w:tc>
        <w:tc>
          <w:tcPr>
            <w:tcW w:w="1785" w:type="dxa"/>
            <w:vAlign w:val="center"/>
          </w:tcPr>
          <w:p w14:paraId="7CAA68F4">
            <w:pPr>
              <w:snapToGrid w:val="0"/>
              <w:jc w:val="center"/>
              <w:rPr>
                <w:rFonts w:hint="default"/>
                <w:color w:val="auto"/>
                <w:szCs w:val="21"/>
                <w:lang w:val="en-US" w:eastAsia="zh-CN" w:bidi="ar"/>
              </w:rPr>
            </w:pPr>
            <w:r>
              <w:rPr>
                <w:rFonts w:hint="eastAsia"/>
                <w:color w:val="auto"/>
                <w:szCs w:val="21"/>
                <w:lang w:val="en-US" w:eastAsia="zh-CN" w:bidi="ar"/>
              </w:rPr>
              <w:t>0.01t/a</w:t>
            </w:r>
          </w:p>
        </w:tc>
        <w:tc>
          <w:tcPr>
            <w:tcW w:w="1575" w:type="dxa"/>
            <w:vAlign w:val="center"/>
          </w:tcPr>
          <w:p w14:paraId="14E13859">
            <w:pPr>
              <w:pStyle w:val="51"/>
              <w:autoSpaceDE/>
              <w:autoSpaceDN/>
              <w:spacing w:before="0" w:beforeLines="0" w:after="0" w:afterLines="0" w:line="240" w:lineRule="auto"/>
              <w:ind w:right="0"/>
              <w:textAlignment w:val="auto"/>
              <w:rPr>
                <w:rFonts w:ascii="Times New Roman"/>
                <w:color w:val="auto"/>
                <w:szCs w:val="21"/>
              </w:rPr>
            </w:pPr>
          </w:p>
        </w:tc>
        <w:tc>
          <w:tcPr>
            <w:tcW w:w="2205" w:type="dxa"/>
            <w:vAlign w:val="center"/>
          </w:tcPr>
          <w:p w14:paraId="156F3379">
            <w:pPr>
              <w:snapToGrid w:val="0"/>
              <w:jc w:val="center"/>
              <w:rPr>
                <w:rFonts w:hint="eastAsia"/>
                <w:color w:val="auto"/>
                <w:szCs w:val="21"/>
                <w:lang w:val="en-US" w:eastAsia="zh-CN" w:bidi="ar"/>
              </w:rPr>
            </w:pPr>
            <w:r>
              <w:rPr>
                <w:rFonts w:hint="eastAsia"/>
                <w:color w:val="auto"/>
                <w:szCs w:val="21"/>
                <w:lang w:val="en-US" w:eastAsia="zh-CN" w:bidi="ar"/>
              </w:rPr>
              <w:t>0.01t/a</w:t>
            </w:r>
          </w:p>
        </w:tc>
        <w:tc>
          <w:tcPr>
            <w:tcW w:w="1395" w:type="dxa"/>
            <w:vAlign w:val="center"/>
          </w:tcPr>
          <w:p w14:paraId="19727BA1">
            <w:pPr>
              <w:snapToGrid w:val="0"/>
              <w:jc w:val="center"/>
              <w:rPr>
                <w:rFonts w:hint="eastAsia"/>
                <w:color w:val="auto"/>
                <w:szCs w:val="21"/>
              </w:rPr>
            </w:pPr>
            <w:r>
              <w:rPr>
                <w:rFonts w:hint="eastAsia"/>
                <w:color w:val="auto"/>
                <w:szCs w:val="21"/>
                <w:lang w:val="en-US" w:eastAsia="zh-CN" w:bidi="ar"/>
              </w:rPr>
              <w:t>+0.01t/a</w:t>
            </w:r>
          </w:p>
        </w:tc>
      </w:tr>
      <w:tr w14:paraId="03E9E5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106" w:type="dxa"/>
            <w:vMerge w:val="continue"/>
            <w:vAlign w:val="center"/>
          </w:tcPr>
          <w:p w14:paraId="6B2E14C8">
            <w:pPr>
              <w:pStyle w:val="51"/>
              <w:autoSpaceDE/>
              <w:autoSpaceDN/>
              <w:spacing w:before="0" w:beforeLines="0" w:after="0" w:afterLines="0" w:line="240" w:lineRule="auto"/>
              <w:ind w:right="0"/>
              <w:textAlignment w:val="auto"/>
              <w:rPr>
                <w:rFonts w:ascii="Times New Roman"/>
                <w:snapToGrid w:val="0"/>
                <w:color w:val="auto"/>
                <w:kern w:val="21"/>
                <w:szCs w:val="21"/>
              </w:rPr>
            </w:pPr>
          </w:p>
        </w:tc>
        <w:tc>
          <w:tcPr>
            <w:tcW w:w="1559" w:type="dxa"/>
            <w:vAlign w:val="center"/>
          </w:tcPr>
          <w:p w14:paraId="41BA78EF">
            <w:pPr>
              <w:pStyle w:val="21"/>
              <w:snapToGrid w:val="0"/>
              <w:spacing w:before="0" w:beforeAutospacing="0" w:after="0" w:afterAutospacing="0"/>
              <w:jc w:val="center"/>
              <w:rPr>
                <w:rFonts w:ascii="Times New Roman" w:hAnsi="Times New Roman"/>
                <w:snapToGrid w:val="0"/>
                <w:color w:val="auto"/>
                <w:kern w:val="21"/>
                <w:sz w:val="21"/>
                <w:szCs w:val="21"/>
              </w:rPr>
            </w:pPr>
            <w:r>
              <w:rPr>
                <w:rFonts w:ascii="Times New Roman" w:hAnsi="Times New Roman"/>
                <w:color w:val="auto"/>
                <w:sz w:val="21"/>
                <w:szCs w:val="21"/>
              </w:rPr>
              <w:t>废过滤棉</w:t>
            </w:r>
          </w:p>
        </w:tc>
        <w:tc>
          <w:tcPr>
            <w:tcW w:w="1560" w:type="dxa"/>
            <w:vAlign w:val="center"/>
          </w:tcPr>
          <w:p w14:paraId="34D785E7">
            <w:pPr>
              <w:pStyle w:val="51"/>
              <w:autoSpaceDE/>
              <w:autoSpaceDN/>
              <w:spacing w:before="0" w:beforeLines="0" w:after="0" w:afterLines="0" w:line="240" w:lineRule="auto"/>
              <w:ind w:right="0"/>
              <w:textAlignment w:val="auto"/>
              <w:rPr>
                <w:rFonts w:ascii="Times New Roman"/>
                <w:color w:val="auto"/>
                <w:szCs w:val="21"/>
              </w:rPr>
            </w:pPr>
          </w:p>
        </w:tc>
        <w:tc>
          <w:tcPr>
            <w:tcW w:w="1156" w:type="dxa"/>
            <w:vAlign w:val="center"/>
          </w:tcPr>
          <w:p w14:paraId="6DF52EA1">
            <w:pPr>
              <w:pStyle w:val="51"/>
              <w:autoSpaceDE/>
              <w:autoSpaceDN/>
              <w:spacing w:before="0" w:beforeLines="0" w:after="0" w:afterLines="0" w:line="240" w:lineRule="auto"/>
              <w:ind w:right="0"/>
              <w:textAlignment w:val="auto"/>
              <w:rPr>
                <w:rFonts w:ascii="Times New Roman"/>
                <w:color w:val="auto"/>
                <w:szCs w:val="21"/>
              </w:rPr>
            </w:pPr>
          </w:p>
        </w:tc>
        <w:tc>
          <w:tcPr>
            <w:tcW w:w="1544" w:type="dxa"/>
            <w:vAlign w:val="center"/>
          </w:tcPr>
          <w:p w14:paraId="17C3BBF6">
            <w:pPr>
              <w:pStyle w:val="51"/>
              <w:autoSpaceDE/>
              <w:autoSpaceDN/>
              <w:spacing w:before="0" w:beforeLines="0" w:after="0" w:afterLines="0" w:line="240" w:lineRule="auto"/>
              <w:ind w:right="0"/>
              <w:textAlignment w:val="auto"/>
              <w:rPr>
                <w:rFonts w:ascii="Times New Roman"/>
                <w:color w:val="auto"/>
                <w:szCs w:val="21"/>
              </w:rPr>
            </w:pPr>
          </w:p>
        </w:tc>
        <w:tc>
          <w:tcPr>
            <w:tcW w:w="1785" w:type="dxa"/>
            <w:vAlign w:val="center"/>
          </w:tcPr>
          <w:p w14:paraId="68FBF096">
            <w:pPr>
              <w:snapToGrid w:val="0"/>
              <w:jc w:val="center"/>
              <w:rPr>
                <w:color w:val="auto"/>
                <w:szCs w:val="21"/>
              </w:rPr>
            </w:pPr>
            <w:r>
              <w:rPr>
                <w:rFonts w:hint="eastAsia"/>
                <w:b/>
                <w:bCs/>
                <w:color w:val="auto"/>
                <w:szCs w:val="21"/>
                <w:highlight w:val="none"/>
                <w:u w:val="single"/>
                <w:lang w:val="en-US" w:eastAsia="zh-CN" w:bidi="ar"/>
              </w:rPr>
              <w:t>3.0586</w:t>
            </w:r>
            <w:r>
              <w:rPr>
                <w:color w:val="auto"/>
                <w:szCs w:val="21"/>
                <w:highlight w:val="none"/>
              </w:rPr>
              <w:t>t</w:t>
            </w:r>
            <w:r>
              <w:rPr>
                <w:color w:val="auto"/>
                <w:szCs w:val="21"/>
              </w:rPr>
              <w:t>/a</w:t>
            </w:r>
          </w:p>
        </w:tc>
        <w:tc>
          <w:tcPr>
            <w:tcW w:w="1575" w:type="dxa"/>
            <w:vAlign w:val="center"/>
          </w:tcPr>
          <w:p w14:paraId="57B73517">
            <w:pPr>
              <w:pStyle w:val="51"/>
              <w:autoSpaceDE/>
              <w:autoSpaceDN/>
              <w:spacing w:before="0" w:beforeLines="0" w:after="0" w:afterLines="0" w:line="240" w:lineRule="auto"/>
              <w:ind w:right="0"/>
              <w:textAlignment w:val="auto"/>
              <w:rPr>
                <w:rFonts w:ascii="Times New Roman"/>
                <w:color w:val="auto"/>
                <w:szCs w:val="21"/>
              </w:rPr>
            </w:pPr>
          </w:p>
        </w:tc>
        <w:tc>
          <w:tcPr>
            <w:tcW w:w="2205" w:type="dxa"/>
            <w:vAlign w:val="center"/>
          </w:tcPr>
          <w:p w14:paraId="028E6937">
            <w:pPr>
              <w:snapToGrid w:val="0"/>
              <w:jc w:val="center"/>
              <w:rPr>
                <w:color w:val="auto"/>
                <w:szCs w:val="21"/>
              </w:rPr>
            </w:pPr>
            <w:r>
              <w:rPr>
                <w:rFonts w:hint="eastAsia"/>
                <w:b/>
                <w:bCs/>
                <w:color w:val="auto"/>
                <w:szCs w:val="21"/>
                <w:highlight w:val="none"/>
                <w:u w:val="single"/>
                <w:lang w:val="en-US" w:eastAsia="zh-CN" w:bidi="ar"/>
              </w:rPr>
              <w:t>3.0586</w:t>
            </w:r>
            <w:r>
              <w:rPr>
                <w:color w:val="auto"/>
                <w:szCs w:val="21"/>
              </w:rPr>
              <w:t>t/a</w:t>
            </w:r>
          </w:p>
        </w:tc>
        <w:tc>
          <w:tcPr>
            <w:tcW w:w="1395" w:type="dxa"/>
            <w:vAlign w:val="center"/>
          </w:tcPr>
          <w:p w14:paraId="2A2D8794">
            <w:pPr>
              <w:snapToGrid w:val="0"/>
              <w:jc w:val="center"/>
              <w:rPr>
                <w:rFonts w:hint="eastAsia"/>
                <w:color w:val="auto"/>
                <w:szCs w:val="21"/>
              </w:rPr>
            </w:pPr>
            <w:r>
              <w:rPr>
                <w:rFonts w:hint="eastAsia"/>
                <w:color w:val="auto"/>
                <w:szCs w:val="21"/>
              </w:rPr>
              <w:t>+</w:t>
            </w:r>
            <w:r>
              <w:rPr>
                <w:rFonts w:hint="eastAsia"/>
                <w:b/>
                <w:bCs/>
                <w:color w:val="auto"/>
                <w:szCs w:val="21"/>
                <w:highlight w:val="none"/>
                <w:u w:val="single"/>
                <w:lang w:val="en-US" w:eastAsia="zh-CN" w:bidi="ar"/>
              </w:rPr>
              <w:t>3.0586</w:t>
            </w:r>
            <w:r>
              <w:rPr>
                <w:color w:val="auto"/>
                <w:szCs w:val="21"/>
              </w:rPr>
              <w:t>t/a</w:t>
            </w:r>
          </w:p>
        </w:tc>
      </w:tr>
      <w:tr w14:paraId="37D520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06" w:type="dxa"/>
            <w:vMerge w:val="continue"/>
            <w:vAlign w:val="center"/>
          </w:tcPr>
          <w:p w14:paraId="3293C1FC">
            <w:pPr>
              <w:pStyle w:val="51"/>
              <w:autoSpaceDE/>
              <w:autoSpaceDN/>
              <w:spacing w:before="0" w:beforeLines="0" w:after="0" w:afterLines="0" w:line="240" w:lineRule="auto"/>
              <w:ind w:right="0"/>
              <w:textAlignment w:val="auto"/>
              <w:rPr>
                <w:rFonts w:ascii="Times New Roman"/>
                <w:snapToGrid w:val="0"/>
                <w:color w:val="auto"/>
                <w:kern w:val="21"/>
                <w:szCs w:val="21"/>
              </w:rPr>
            </w:pPr>
          </w:p>
        </w:tc>
        <w:tc>
          <w:tcPr>
            <w:tcW w:w="1559" w:type="dxa"/>
            <w:vAlign w:val="center"/>
          </w:tcPr>
          <w:p w14:paraId="2DA6CEF6">
            <w:pPr>
              <w:snapToGrid w:val="0"/>
              <w:jc w:val="center"/>
              <w:rPr>
                <w:snapToGrid w:val="0"/>
                <w:color w:val="auto"/>
                <w:kern w:val="21"/>
                <w:szCs w:val="21"/>
              </w:rPr>
            </w:pPr>
            <w:r>
              <w:rPr>
                <w:color w:val="auto"/>
                <w:kern w:val="0"/>
                <w:szCs w:val="21"/>
              </w:rPr>
              <w:t>废催化剂</w:t>
            </w:r>
          </w:p>
        </w:tc>
        <w:tc>
          <w:tcPr>
            <w:tcW w:w="1560" w:type="dxa"/>
            <w:vAlign w:val="center"/>
          </w:tcPr>
          <w:p w14:paraId="12C575AE">
            <w:pPr>
              <w:pStyle w:val="51"/>
              <w:autoSpaceDE/>
              <w:autoSpaceDN/>
              <w:spacing w:before="0" w:beforeLines="0" w:after="0" w:afterLines="0" w:line="240" w:lineRule="auto"/>
              <w:ind w:right="0"/>
              <w:textAlignment w:val="auto"/>
              <w:rPr>
                <w:rFonts w:ascii="Times New Roman"/>
                <w:color w:val="auto"/>
                <w:szCs w:val="21"/>
              </w:rPr>
            </w:pPr>
          </w:p>
        </w:tc>
        <w:tc>
          <w:tcPr>
            <w:tcW w:w="1156" w:type="dxa"/>
            <w:vAlign w:val="center"/>
          </w:tcPr>
          <w:p w14:paraId="6F46BE40">
            <w:pPr>
              <w:pStyle w:val="51"/>
              <w:autoSpaceDE/>
              <w:autoSpaceDN/>
              <w:spacing w:before="0" w:beforeLines="0" w:after="0" w:afterLines="0" w:line="240" w:lineRule="auto"/>
              <w:ind w:right="0"/>
              <w:textAlignment w:val="auto"/>
              <w:rPr>
                <w:rFonts w:ascii="Times New Roman"/>
                <w:color w:val="auto"/>
                <w:szCs w:val="21"/>
              </w:rPr>
            </w:pPr>
          </w:p>
        </w:tc>
        <w:tc>
          <w:tcPr>
            <w:tcW w:w="1544" w:type="dxa"/>
            <w:vAlign w:val="center"/>
          </w:tcPr>
          <w:p w14:paraId="7C133230">
            <w:pPr>
              <w:pStyle w:val="51"/>
              <w:autoSpaceDE/>
              <w:autoSpaceDN/>
              <w:spacing w:before="0" w:beforeLines="0" w:after="0" w:afterLines="0" w:line="240" w:lineRule="auto"/>
              <w:ind w:right="0"/>
              <w:textAlignment w:val="auto"/>
              <w:rPr>
                <w:rFonts w:ascii="Times New Roman"/>
                <w:color w:val="auto"/>
                <w:szCs w:val="21"/>
              </w:rPr>
            </w:pPr>
          </w:p>
        </w:tc>
        <w:tc>
          <w:tcPr>
            <w:tcW w:w="1785" w:type="dxa"/>
            <w:vAlign w:val="center"/>
          </w:tcPr>
          <w:p w14:paraId="0DE39222">
            <w:pPr>
              <w:snapToGrid w:val="0"/>
              <w:jc w:val="center"/>
              <w:rPr>
                <w:rFonts w:hint="eastAsia"/>
                <w:color w:val="auto"/>
                <w:szCs w:val="21"/>
              </w:rPr>
            </w:pPr>
            <w:r>
              <w:rPr>
                <w:color w:val="auto"/>
                <w:szCs w:val="21"/>
                <w:lang w:bidi="ar"/>
              </w:rPr>
              <w:t>0.45</w:t>
            </w:r>
            <w:r>
              <w:rPr>
                <w:rFonts w:hint="eastAsia"/>
                <w:color w:val="auto"/>
                <w:szCs w:val="21"/>
                <w:lang w:val="en-US" w:eastAsia="zh-CN" w:bidi="ar"/>
              </w:rPr>
              <w:t>t</w:t>
            </w:r>
            <w:r>
              <w:rPr>
                <w:color w:val="auto"/>
                <w:szCs w:val="21"/>
                <w:lang w:bidi="ar"/>
              </w:rPr>
              <w:t>/3a</w:t>
            </w:r>
          </w:p>
        </w:tc>
        <w:tc>
          <w:tcPr>
            <w:tcW w:w="1575" w:type="dxa"/>
            <w:vAlign w:val="center"/>
          </w:tcPr>
          <w:p w14:paraId="75B4E31C">
            <w:pPr>
              <w:pStyle w:val="51"/>
              <w:autoSpaceDE/>
              <w:autoSpaceDN/>
              <w:spacing w:before="0" w:beforeLines="0" w:after="0" w:afterLines="0" w:line="240" w:lineRule="auto"/>
              <w:ind w:right="0"/>
              <w:textAlignment w:val="auto"/>
              <w:rPr>
                <w:rFonts w:ascii="Times New Roman"/>
                <w:color w:val="auto"/>
                <w:szCs w:val="21"/>
              </w:rPr>
            </w:pPr>
          </w:p>
        </w:tc>
        <w:tc>
          <w:tcPr>
            <w:tcW w:w="2205" w:type="dxa"/>
            <w:vAlign w:val="center"/>
          </w:tcPr>
          <w:p w14:paraId="233A205E">
            <w:pPr>
              <w:snapToGrid w:val="0"/>
              <w:jc w:val="center"/>
              <w:rPr>
                <w:rFonts w:hint="eastAsia"/>
                <w:color w:val="auto"/>
                <w:szCs w:val="21"/>
              </w:rPr>
            </w:pPr>
            <w:r>
              <w:rPr>
                <w:color w:val="auto"/>
                <w:szCs w:val="21"/>
                <w:lang w:bidi="ar"/>
              </w:rPr>
              <w:t>0.45</w:t>
            </w:r>
            <w:r>
              <w:rPr>
                <w:rFonts w:hint="eastAsia"/>
                <w:color w:val="auto"/>
                <w:szCs w:val="21"/>
                <w:lang w:val="en-US" w:eastAsia="zh-CN" w:bidi="ar"/>
              </w:rPr>
              <w:t>t</w:t>
            </w:r>
            <w:r>
              <w:rPr>
                <w:color w:val="auto"/>
                <w:szCs w:val="21"/>
                <w:lang w:bidi="ar"/>
              </w:rPr>
              <w:t>/3a</w:t>
            </w:r>
          </w:p>
        </w:tc>
        <w:tc>
          <w:tcPr>
            <w:tcW w:w="1395" w:type="dxa"/>
            <w:vAlign w:val="center"/>
          </w:tcPr>
          <w:p w14:paraId="3942AE1A">
            <w:pPr>
              <w:snapToGrid w:val="0"/>
              <w:jc w:val="center"/>
              <w:rPr>
                <w:rFonts w:hint="eastAsia"/>
                <w:color w:val="auto"/>
                <w:szCs w:val="21"/>
              </w:rPr>
            </w:pPr>
            <w:r>
              <w:rPr>
                <w:rFonts w:hint="eastAsia"/>
                <w:color w:val="auto"/>
                <w:szCs w:val="21"/>
              </w:rPr>
              <w:t>+</w:t>
            </w:r>
            <w:r>
              <w:rPr>
                <w:color w:val="auto"/>
                <w:szCs w:val="21"/>
                <w:lang w:bidi="ar"/>
              </w:rPr>
              <w:t>0.45</w:t>
            </w:r>
            <w:r>
              <w:rPr>
                <w:rFonts w:hint="eastAsia"/>
                <w:color w:val="auto"/>
                <w:szCs w:val="21"/>
                <w:lang w:val="en-US" w:eastAsia="zh-CN" w:bidi="ar"/>
              </w:rPr>
              <w:t>t</w:t>
            </w:r>
            <w:r>
              <w:rPr>
                <w:color w:val="auto"/>
                <w:szCs w:val="21"/>
                <w:lang w:bidi="ar"/>
              </w:rPr>
              <w:t>/3a</w:t>
            </w:r>
          </w:p>
        </w:tc>
      </w:tr>
      <w:tr w14:paraId="398B36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06" w:type="dxa"/>
            <w:vMerge w:val="continue"/>
            <w:vAlign w:val="center"/>
          </w:tcPr>
          <w:p w14:paraId="32F4843C">
            <w:pPr>
              <w:pStyle w:val="51"/>
              <w:autoSpaceDE/>
              <w:autoSpaceDN/>
              <w:spacing w:before="0" w:beforeLines="0" w:after="0" w:afterLines="0" w:line="240" w:lineRule="auto"/>
              <w:ind w:right="0"/>
              <w:textAlignment w:val="auto"/>
              <w:rPr>
                <w:rFonts w:ascii="Times New Roman"/>
                <w:snapToGrid w:val="0"/>
                <w:color w:val="auto"/>
                <w:kern w:val="21"/>
                <w:szCs w:val="21"/>
              </w:rPr>
            </w:pPr>
          </w:p>
        </w:tc>
        <w:tc>
          <w:tcPr>
            <w:tcW w:w="1559" w:type="dxa"/>
            <w:vAlign w:val="center"/>
          </w:tcPr>
          <w:p w14:paraId="2B63272A">
            <w:pPr>
              <w:pStyle w:val="21"/>
              <w:snapToGrid w:val="0"/>
              <w:spacing w:before="0" w:beforeAutospacing="0" w:after="0" w:afterAutospacing="0"/>
              <w:jc w:val="center"/>
              <w:rPr>
                <w:rFonts w:ascii="Times New Roman" w:hAnsi="Times New Roman"/>
                <w:snapToGrid w:val="0"/>
                <w:color w:val="auto"/>
                <w:kern w:val="21"/>
                <w:sz w:val="21"/>
                <w:szCs w:val="21"/>
              </w:rPr>
            </w:pPr>
            <w:r>
              <w:rPr>
                <w:rFonts w:ascii="Times New Roman" w:hAnsi="Times New Roman"/>
                <w:color w:val="auto"/>
                <w:sz w:val="21"/>
                <w:szCs w:val="21"/>
              </w:rPr>
              <w:t>废活性炭</w:t>
            </w:r>
          </w:p>
        </w:tc>
        <w:tc>
          <w:tcPr>
            <w:tcW w:w="1560" w:type="dxa"/>
            <w:vAlign w:val="center"/>
          </w:tcPr>
          <w:p w14:paraId="03F5EE8D">
            <w:pPr>
              <w:pStyle w:val="51"/>
              <w:autoSpaceDE/>
              <w:autoSpaceDN/>
              <w:spacing w:before="0" w:beforeLines="0" w:after="0" w:afterLines="0" w:line="240" w:lineRule="auto"/>
              <w:ind w:right="0"/>
              <w:textAlignment w:val="auto"/>
              <w:rPr>
                <w:rFonts w:ascii="Times New Roman"/>
                <w:color w:val="auto"/>
                <w:szCs w:val="21"/>
              </w:rPr>
            </w:pPr>
          </w:p>
        </w:tc>
        <w:tc>
          <w:tcPr>
            <w:tcW w:w="1156" w:type="dxa"/>
            <w:vAlign w:val="center"/>
          </w:tcPr>
          <w:p w14:paraId="336898EA">
            <w:pPr>
              <w:pStyle w:val="51"/>
              <w:autoSpaceDE/>
              <w:autoSpaceDN/>
              <w:spacing w:before="0" w:beforeLines="0" w:after="0" w:afterLines="0" w:line="240" w:lineRule="auto"/>
              <w:ind w:right="0"/>
              <w:textAlignment w:val="auto"/>
              <w:rPr>
                <w:rFonts w:ascii="Times New Roman"/>
                <w:color w:val="auto"/>
                <w:szCs w:val="21"/>
              </w:rPr>
            </w:pPr>
          </w:p>
        </w:tc>
        <w:tc>
          <w:tcPr>
            <w:tcW w:w="1544" w:type="dxa"/>
            <w:vAlign w:val="center"/>
          </w:tcPr>
          <w:p w14:paraId="3F6A85D5">
            <w:pPr>
              <w:pStyle w:val="51"/>
              <w:autoSpaceDE/>
              <w:autoSpaceDN/>
              <w:spacing w:before="0" w:beforeLines="0" w:after="0" w:afterLines="0" w:line="240" w:lineRule="auto"/>
              <w:ind w:right="0"/>
              <w:textAlignment w:val="auto"/>
              <w:rPr>
                <w:rFonts w:ascii="Times New Roman"/>
                <w:color w:val="auto"/>
                <w:szCs w:val="21"/>
              </w:rPr>
            </w:pPr>
          </w:p>
        </w:tc>
        <w:tc>
          <w:tcPr>
            <w:tcW w:w="1785" w:type="dxa"/>
            <w:vAlign w:val="center"/>
          </w:tcPr>
          <w:p w14:paraId="1C9066FD">
            <w:pPr>
              <w:snapToGrid w:val="0"/>
              <w:jc w:val="center"/>
              <w:rPr>
                <w:rFonts w:hint="eastAsia"/>
                <w:color w:val="auto"/>
                <w:szCs w:val="21"/>
              </w:rPr>
            </w:pPr>
            <w:r>
              <w:rPr>
                <w:color w:val="auto"/>
                <w:szCs w:val="21"/>
                <w:lang w:bidi="ar"/>
              </w:rPr>
              <w:t>4.8t/3a</w:t>
            </w:r>
          </w:p>
        </w:tc>
        <w:tc>
          <w:tcPr>
            <w:tcW w:w="1575" w:type="dxa"/>
            <w:vAlign w:val="center"/>
          </w:tcPr>
          <w:p w14:paraId="12AD210B">
            <w:pPr>
              <w:pStyle w:val="51"/>
              <w:autoSpaceDE/>
              <w:autoSpaceDN/>
              <w:spacing w:before="0" w:beforeLines="0" w:after="0" w:afterLines="0" w:line="240" w:lineRule="auto"/>
              <w:ind w:right="0"/>
              <w:textAlignment w:val="auto"/>
              <w:rPr>
                <w:rFonts w:ascii="Times New Roman"/>
                <w:color w:val="auto"/>
                <w:szCs w:val="21"/>
              </w:rPr>
            </w:pPr>
          </w:p>
        </w:tc>
        <w:tc>
          <w:tcPr>
            <w:tcW w:w="2205" w:type="dxa"/>
            <w:vAlign w:val="center"/>
          </w:tcPr>
          <w:p w14:paraId="3B03B63A">
            <w:pPr>
              <w:snapToGrid w:val="0"/>
              <w:jc w:val="center"/>
              <w:rPr>
                <w:rFonts w:hint="eastAsia"/>
                <w:color w:val="auto"/>
                <w:szCs w:val="21"/>
              </w:rPr>
            </w:pPr>
            <w:r>
              <w:rPr>
                <w:color w:val="auto"/>
                <w:szCs w:val="21"/>
                <w:lang w:bidi="ar"/>
              </w:rPr>
              <w:t>4.8t/3a</w:t>
            </w:r>
          </w:p>
        </w:tc>
        <w:tc>
          <w:tcPr>
            <w:tcW w:w="1395" w:type="dxa"/>
            <w:vAlign w:val="center"/>
          </w:tcPr>
          <w:p w14:paraId="65DFEB70">
            <w:pPr>
              <w:snapToGrid w:val="0"/>
              <w:jc w:val="center"/>
              <w:rPr>
                <w:rFonts w:hint="eastAsia"/>
                <w:color w:val="auto"/>
                <w:szCs w:val="21"/>
              </w:rPr>
            </w:pPr>
            <w:r>
              <w:rPr>
                <w:rFonts w:hint="eastAsia"/>
                <w:color w:val="auto"/>
                <w:szCs w:val="21"/>
              </w:rPr>
              <w:t>+</w:t>
            </w:r>
            <w:r>
              <w:rPr>
                <w:color w:val="auto"/>
                <w:szCs w:val="21"/>
                <w:lang w:bidi="ar"/>
              </w:rPr>
              <w:t>4.8t/3a</w:t>
            </w:r>
          </w:p>
        </w:tc>
      </w:tr>
      <w:tr w14:paraId="135187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06" w:type="dxa"/>
            <w:vMerge w:val="continue"/>
            <w:vAlign w:val="center"/>
          </w:tcPr>
          <w:p w14:paraId="652ADA8C">
            <w:pPr>
              <w:pStyle w:val="51"/>
              <w:autoSpaceDE/>
              <w:autoSpaceDN/>
              <w:spacing w:before="0" w:beforeLines="0" w:after="0" w:afterLines="0" w:line="240" w:lineRule="auto"/>
              <w:ind w:right="0"/>
              <w:textAlignment w:val="auto"/>
              <w:rPr>
                <w:rFonts w:ascii="Times New Roman"/>
                <w:snapToGrid w:val="0"/>
                <w:color w:val="auto"/>
                <w:kern w:val="21"/>
                <w:szCs w:val="21"/>
              </w:rPr>
            </w:pPr>
          </w:p>
        </w:tc>
        <w:tc>
          <w:tcPr>
            <w:tcW w:w="1559" w:type="dxa"/>
            <w:vAlign w:val="center"/>
          </w:tcPr>
          <w:p w14:paraId="0F388AD6">
            <w:pPr>
              <w:pStyle w:val="21"/>
              <w:snapToGrid w:val="0"/>
              <w:spacing w:before="0" w:beforeAutospacing="0" w:after="0" w:afterAutospacing="0"/>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废UV灯管</w:t>
            </w:r>
          </w:p>
        </w:tc>
        <w:tc>
          <w:tcPr>
            <w:tcW w:w="1560" w:type="dxa"/>
            <w:vAlign w:val="center"/>
          </w:tcPr>
          <w:p w14:paraId="70FDB8B0">
            <w:pPr>
              <w:pStyle w:val="51"/>
              <w:autoSpaceDE/>
              <w:autoSpaceDN/>
              <w:spacing w:before="0" w:beforeLines="0" w:after="0" w:afterLines="0" w:line="240" w:lineRule="auto"/>
              <w:ind w:right="0"/>
              <w:textAlignment w:val="auto"/>
              <w:rPr>
                <w:rFonts w:ascii="Times New Roman"/>
                <w:color w:val="auto"/>
                <w:szCs w:val="21"/>
              </w:rPr>
            </w:pPr>
          </w:p>
        </w:tc>
        <w:tc>
          <w:tcPr>
            <w:tcW w:w="1156" w:type="dxa"/>
            <w:vAlign w:val="center"/>
          </w:tcPr>
          <w:p w14:paraId="3689EB08">
            <w:pPr>
              <w:pStyle w:val="51"/>
              <w:autoSpaceDE/>
              <w:autoSpaceDN/>
              <w:spacing w:before="0" w:beforeLines="0" w:after="0" w:afterLines="0" w:line="240" w:lineRule="auto"/>
              <w:ind w:right="0"/>
              <w:textAlignment w:val="auto"/>
              <w:rPr>
                <w:rFonts w:ascii="Times New Roman"/>
                <w:color w:val="auto"/>
                <w:szCs w:val="21"/>
              </w:rPr>
            </w:pPr>
          </w:p>
        </w:tc>
        <w:tc>
          <w:tcPr>
            <w:tcW w:w="1544" w:type="dxa"/>
            <w:vAlign w:val="center"/>
          </w:tcPr>
          <w:p w14:paraId="6A872BAC">
            <w:pPr>
              <w:pStyle w:val="51"/>
              <w:autoSpaceDE/>
              <w:autoSpaceDN/>
              <w:spacing w:before="0" w:beforeLines="0" w:after="0" w:afterLines="0" w:line="240" w:lineRule="auto"/>
              <w:ind w:right="0"/>
              <w:textAlignment w:val="auto"/>
              <w:rPr>
                <w:rFonts w:ascii="Times New Roman"/>
                <w:color w:val="auto"/>
                <w:szCs w:val="21"/>
              </w:rPr>
            </w:pPr>
          </w:p>
        </w:tc>
        <w:tc>
          <w:tcPr>
            <w:tcW w:w="1785" w:type="dxa"/>
            <w:vAlign w:val="center"/>
          </w:tcPr>
          <w:p w14:paraId="01B4A083">
            <w:pPr>
              <w:snapToGrid w:val="0"/>
              <w:jc w:val="center"/>
              <w:rPr>
                <w:rFonts w:hint="default" w:eastAsia="宋体"/>
                <w:color w:val="auto"/>
                <w:szCs w:val="21"/>
                <w:lang w:val="en-US" w:eastAsia="zh-CN" w:bidi="ar"/>
              </w:rPr>
            </w:pPr>
            <w:r>
              <w:rPr>
                <w:rFonts w:hint="eastAsia"/>
                <w:b/>
                <w:bCs/>
                <w:color w:val="auto"/>
                <w:szCs w:val="21"/>
                <w:u w:val="single"/>
                <w:lang w:val="en-US" w:eastAsia="zh-CN" w:bidi="ar"/>
              </w:rPr>
              <w:t>0.5</w:t>
            </w:r>
            <w:r>
              <w:rPr>
                <w:rFonts w:hint="eastAsia"/>
                <w:color w:val="auto"/>
                <w:szCs w:val="21"/>
                <w:lang w:val="en-US" w:eastAsia="zh-CN" w:bidi="ar"/>
              </w:rPr>
              <w:t>t/a</w:t>
            </w:r>
          </w:p>
        </w:tc>
        <w:tc>
          <w:tcPr>
            <w:tcW w:w="1575" w:type="dxa"/>
            <w:vAlign w:val="center"/>
          </w:tcPr>
          <w:p w14:paraId="6279AD18">
            <w:pPr>
              <w:pStyle w:val="51"/>
              <w:autoSpaceDE/>
              <w:autoSpaceDN/>
              <w:spacing w:before="0" w:beforeLines="0" w:after="0" w:afterLines="0" w:line="240" w:lineRule="auto"/>
              <w:ind w:right="0"/>
              <w:textAlignment w:val="auto"/>
              <w:rPr>
                <w:rFonts w:ascii="Times New Roman"/>
                <w:color w:val="auto"/>
                <w:szCs w:val="21"/>
              </w:rPr>
            </w:pPr>
          </w:p>
        </w:tc>
        <w:tc>
          <w:tcPr>
            <w:tcW w:w="2205" w:type="dxa"/>
            <w:vAlign w:val="center"/>
          </w:tcPr>
          <w:p w14:paraId="4CF26E71">
            <w:pPr>
              <w:snapToGrid w:val="0"/>
              <w:jc w:val="center"/>
              <w:rPr>
                <w:color w:val="auto"/>
                <w:szCs w:val="21"/>
                <w:lang w:bidi="ar"/>
              </w:rPr>
            </w:pPr>
            <w:r>
              <w:rPr>
                <w:rFonts w:hint="eastAsia"/>
                <w:b/>
                <w:bCs/>
                <w:color w:val="auto"/>
                <w:szCs w:val="21"/>
                <w:u w:val="single"/>
                <w:lang w:val="en-US" w:eastAsia="zh-CN" w:bidi="ar"/>
              </w:rPr>
              <w:t>0.5</w:t>
            </w:r>
            <w:r>
              <w:rPr>
                <w:rFonts w:hint="eastAsia"/>
                <w:color w:val="auto"/>
                <w:szCs w:val="21"/>
                <w:lang w:val="en-US" w:eastAsia="zh-CN" w:bidi="ar"/>
              </w:rPr>
              <w:t>t/a</w:t>
            </w:r>
          </w:p>
        </w:tc>
        <w:tc>
          <w:tcPr>
            <w:tcW w:w="1395" w:type="dxa"/>
            <w:vAlign w:val="center"/>
          </w:tcPr>
          <w:p w14:paraId="2DEC4008">
            <w:pPr>
              <w:snapToGrid w:val="0"/>
              <w:jc w:val="center"/>
              <w:rPr>
                <w:rFonts w:hint="eastAsia"/>
                <w:color w:val="auto"/>
                <w:szCs w:val="21"/>
              </w:rPr>
            </w:pPr>
            <w:r>
              <w:rPr>
                <w:rFonts w:hint="eastAsia"/>
                <w:b/>
                <w:bCs/>
                <w:color w:val="auto"/>
                <w:szCs w:val="21"/>
                <w:u w:val="single"/>
                <w:lang w:val="en-US" w:eastAsia="zh-CN" w:bidi="ar"/>
              </w:rPr>
              <w:t>+0.5</w:t>
            </w:r>
            <w:r>
              <w:rPr>
                <w:rFonts w:hint="eastAsia"/>
                <w:color w:val="auto"/>
                <w:szCs w:val="21"/>
                <w:lang w:val="en-US" w:eastAsia="zh-CN" w:bidi="ar"/>
              </w:rPr>
              <w:t>t/a</w:t>
            </w:r>
          </w:p>
        </w:tc>
      </w:tr>
      <w:tr w14:paraId="28F04E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06" w:type="dxa"/>
            <w:vMerge w:val="continue"/>
            <w:vAlign w:val="center"/>
          </w:tcPr>
          <w:p w14:paraId="2AE59AED">
            <w:pPr>
              <w:pStyle w:val="51"/>
              <w:autoSpaceDE/>
              <w:autoSpaceDN/>
              <w:spacing w:before="0" w:beforeLines="0" w:after="0" w:afterLines="0" w:line="240" w:lineRule="auto"/>
              <w:ind w:right="0"/>
              <w:textAlignment w:val="auto"/>
              <w:rPr>
                <w:rFonts w:ascii="Times New Roman"/>
                <w:snapToGrid w:val="0"/>
                <w:color w:val="auto"/>
                <w:kern w:val="21"/>
                <w:szCs w:val="21"/>
              </w:rPr>
            </w:pPr>
          </w:p>
        </w:tc>
        <w:tc>
          <w:tcPr>
            <w:tcW w:w="1559" w:type="dxa"/>
            <w:vAlign w:val="center"/>
          </w:tcPr>
          <w:p w14:paraId="6F0EF489">
            <w:pPr>
              <w:pStyle w:val="21"/>
              <w:snapToGrid w:val="0"/>
              <w:spacing w:before="0" w:beforeAutospacing="0" w:after="0" w:afterAutospacing="0"/>
              <w:jc w:val="center"/>
              <w:rPr>
                <w:rFonts w:hint="eastAsia" w:ascii="Times New Roman" w:hAnsi="Times New Roman"/>
                <w:color w:val="auto"/>
                <w:sz w:val="21"/>
                <w:szCs w:val="21"/>
              </w:rPr>
            </w:pPr>
            <w:r>
              <w:rPr>
                <w:rFonts w:ascii="Times New Roman" w:hAnsi="Times New Roman"/>
                <w:color w:val="auto"/>
                <w:sz w:val="21"/>
                <w:szCs w:val="21"/>
              </w:rPr>
              <w:t>废包装桶</w:t>
            </w:r>
          </w:p>
        </w:tc>
        <w:tc>
          <w:tcPr>
            <w:tcW w:w="1560" w:type="dxa"/>
            <w:vAlign w:val="center"/>
          </w:tcPr>
          <w:p w14:paraId="56AC19A2">
            <w:pPr>
              <w:pStyle w:val="51"/>
              <w:autoSpaceDE/>
              <w:autoSpaceDN/>
              <w:spacing w:before="0" w:beforeLines="0" w:after="0" w:afterLines="0" w:line="240" w:lineRule="auto"/>
              <w:ind w:right="0"/>
              <w:textAlignment w:val="auto"/>
              <w:rPr>
                <w:rFonts w:ascii="Times New Roman"/>
                <w:color w:val="auto"/>
                <w:szCs w:val="21"/>
              </w:rPr>
            </w:pPr>
          </w:p>
        </w:tc>
        <w:tc>
          <w:tcPr>
            <w:tcW w:w="1156" w:type="dxa"/>
            <w:vAlign w:val="center"/>
          </w:tcPr>
          <w:p w14:paraId="4864DDF1">
            <w:pPr>
              <w:pStyle w:val="51"/>
              <w:autoSpaceDE/>
              <w:autoSpaceDN/>
              <w:spacing w:before="0" w:beforeLines="0" w:after="0" w:afterLines="0" w:line="240" w:lineRule="auto"/>
              <w:ind w:right="0"/>
              <w:textAlignment w:val="auto"/>
              <w:rPr>
                <w:rFonts w:ascii="Times New Roman"/>
                <w:color w:val="auto"/>
                <w:szCs w:val="21"/>
              </w:rPr>
            </w:pPr>
          </w:p>
        </w:tc>
        <w:tc>
          <w:tcPr>
            <w:tcW w:w="1544" w:type="dxa"/>
            <w:vAlign w:val="center"/>
          </w:tcPr>
          <w:p w14:paraId="19EBF4EF">
            <w:pPr>
              <w:pStyle w:val="51"/>
              <w:autoSpaceDE/>
              <w:autoSpaceDN/>
              <w:spacing w:before="0" w:beforeLines="0" w:after="0" w:afterLines="0" w:line="240" w:lineRule="auto"/>
              <w:ind w:right="0"/>
              <w:textAlignment w:val="auto"/>
              <w:rPr>
                <w:rFonts w:ascii="Times New Roman"/>
                <w:color w:val="auto"/>
                <w:szCs w:val="21"/>
              </w:rPr>
            </w:pPr>
          </w:p>
        </w:tc>
        <w:tc>
          <w:tcPr>
            <w:tcW w:w="1785" w:type="dxa"/>
            <w:vAlign w:val="center"/>
          </w:tcPr>
          <w:p w14:paraId="486573FA">
            <w:pPr>
              <w:snapToGrid w:val="0"/>
              <w:jc w:val="center"/>
              <w:rPr>
                <w:rFonts w:hint="default" w:eastAsia="宋体"/>
                <w:color w:val="auto"/>
                <w:kern w:val="0"/>
                <w:szCs w:val="21"/>
                <w:lang w:val="en-US" w:eastAsia="zh-CN"/>
              </w:rPr>
            </w:pPr>
            <w:r>
              <w:rPr>
                <w:rFonts w:hint="eastAsia"/>
                <w:color w:val="auto"/>
                <w:szCs w:val="21"/>
                <w:lang w:val="en-US" w:eastAsia="zh-CN" w:bidi="ar"/>
              </w:rPr>
              <w:t>0.5t/a</w:t>
            </w:r>
          </w:p>
        </w:tc>
        <w:tc>
          <w:tcPr>
            <w:tcW w:w="1575" w:type="dxa"/>
            <w:vAlign w:val="center"/>
          </w:tcPr>
          <w:p w14:paraId="58B8F8B1">
            <w:pPr>
              <w:pStyle w:val="51"/>
              <w:autoSpaceDE/>
              <w:autoSpaceDN/>
              <w:spacing w:before="0" w:beforeLines="0" w:after="0" w:afterLines="0" w:line="240" w:lineRule="auto"/>
              <w:ind w:right="0"/>
              <w:textAlignment w:val="auto"/>
              <w:rPr>
                <w:rFonts w:ascii="Times New Roman"/>
                <w:color w:val="auto"/>
                <w:szCs w:val="21"/>
              </w:rPr>
            </w:pPr>
          </w:p>
        </w:tc>
        <w:tc>
          <w:tcPr>
            <w:tcW w:w="2205" w:type="dxa"/>
            <w:vAlign w:val="center"/>
          </w:tcPr>
          <w:p w14:paraId="546AC7AC">
            <w:pPr>
              <w:snapToGrid w:val="0"/>
              <w:jc w:val="center"/>
              <w:rPr>
                <w:rFonts w:hint="eastAsia"/>
                <w:color w:val="auto"/>
                <w:kern w:val="0"/>
                <w:szCs w:val="21"/>
              </w:rPr>
            </w:pPr>
            <w:r>
              <w:rPr>
                <w:rFonts w:hint="eastAsia"/>
                <w:color w:val="auto"/>
                <w:szCs w:val="21"/>
                <w:lang w:val="en-US" w:eastAsia="zh-CN" w:bidi="ar"/>
              </w:rPr>
              <w:t>0.5t/a</w:t>
            </w:r>
          </w:p>
        </w:tc>
        <w:tc>
          <w:tcPr>
            <w:tcW w:w="1395" w:type="dxa"/>
            <w:vAlign w:val="center"/>
          </w:tcPr>
          <w:p w14:paraId="42AD156D">
            <w:pPr>
              <w:snapToGrid w:val="0"/>
              <w:jc w:val="center"/>
              <w:rPr>
                <w:rFonts w:hint="eastAsia"/>
                <w:color w:val="auto"/>
                <w:kern w:val="0"/>
                <w:szCs w:val="21"/>
              </w:rPr>
            </w:pPr>
            <w:r>
              <w:rPr>
                <w:rFonts w:hint="eastAsia"/>
                <w:color w:val="auto"/>
                <w:szCs w:val="21"/>
                <w:lang w:val="en-US" w:eastAsia="zh-CN" w:bidi="ar"/>
              </w:rPr>
              <w:t>+0.5t/a</w:t>
            </w:r>
          </w:p>
        </w:tc>
      </w:tr>
      <w:tr w14:paraId="00DA32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06" w:type="dxa"/>
            <w:vAlign w:val="center"/>
          </w:tcPr>
          <w:p w14:paraId="19C1DDBD">
            <w:pPr>
              <w:pStyle w:val="51"/>
              <w:autoSpaceDE/>
              <w:autoSpaceDN/>
              <w:spacing w:before="0" w:beforeLines="0" w:after="0" w:afterLines="0" w:line="240" w:lineRule="auto"/>
              <w:ind w:right="0"/>
              <w:textAlignment w:val="auto"/>
              <w:rPr>
                <w:rFonts w:ascii="Times New Roman"/>
                <w:snapToGrid w:val="0"/>
                <w:color w:val="auto"/>
                <w:kern w:val="21"/>
                <w:szCs w:val="21"/>
              </w:rPr>
            </w:pPr>
            <w:r>
              <w:rPr>
                <w:rFonts w:hint="eastAsia" w:ascii="Times New Roman"/>
                <w:snapToGrid w:val="0"/>
                <w:color w:val="auto"/>
                <w:kern w:val="21"/>
                <w:szCs w:val="21"/>
              </w:rPr>
              <w:t>生活垃圾</w:t>
            </w:r>
          </w:p>
        </w:tc>
        <w:tc>
          <w:tcPr>
            <w:tcW w:w="1559" w:type="dxa"/>
            <w:vAlign w:val="center"/>
          </w:tcPr>
          <w:p w14:paraId="1880F6D1">
            <w:pPr>
              <w:topLinePunct/>
              <w:jc w:val="center"/>
              <w:rPr>
                <w:rFonts w:hint="eastAsia"/>
                <w:color w:val="auto"/>
                <w:szCs w:val="21"/>
              </w:rPr>
            </w:pPr>
            <w:r>
              <w:rPr>
                <w:color w:val="auto"/>
                <w:szCs w:val="21"/>
              </w:rPr>
              <w:t>生活垃圾</w:t>
            </w:r>
          </w:p>
        </w:tc>
        <w:tc>
          <w:tcPr>
            <w:tcW w:w="1560" w:type="dxa"/>
            <w:vAlign w:val="center"/>
          </w:tcPr>
          <w:p w14:paraId="78B12B45">
            <w:pPr>
              <w:pStyle w:val="51"/>
              <w:autoSpaceDE/>
              <w:autoSpaceDN/>
              <w:spacing w:before="0" w:beforeLines="0" w:after="0" w:afterLines="0" w:line="240" w:lineRule="auto"/>
              <w:ind w:right="0"/>
              <w:textAlignment w:val="auto"/>
              <w:rPr>
                <w:rFonts w:ascii="Times New Roman"/>
                <w:color w:val="auto"/>
                <w:szCs w:val="21"/>
              </w:rPr>
            </w:pPr>
          </w:p>
        </w:tc>
        <w:tc>
          <w:tcPr>
            <w:tcW w:w="1156" w:type="dxa"/>
            <w:vAlign w:val="center"/>
          </w:tcPr>
          <w:p w14:paraId="3C742E39">
            <w:pPr>
              <w:pStyle w:val="51"/>
              <w:autoSpaceDE/>
              <w:autoSpaceDN/>
              <w:spacing w:before="0" w:beforeLines="0" w:after="0" w:afterLines="0" w:line="240" w:lineRule="auto"/>
              <w:ind w:right="0"/>
              <w:textAlignment w:val="auto"/>
              <w:rPr>
                <w:rFonts w:ascii="Times New Roman"/>
                <w:color w:val="auto"/>
                <w:szCs w:val="21"/>
              </w:rPr>
            </w:pPr>
          </w:p>
        </w:tc>
        <w:tc>
          <w:tcPr>
            <w:tcW w:w="1544" w:type="dxa"/>
            <w:vAlign w:val="center"/>
          </w:tcPr>
          <w:p w14:paraId="5001F720">
            <w:pPr>
              <w:pStyle w:val="51"/>
              <w:autoSpaceDE/>
              <w:autoSpaceDN/>
              <w:spacing w:before="0" w:beforeLines="0" w:after="0" w:afterLines="0" w:line="240" w:lineRule="auto"/>
              <w:ind w:right="0"/>
              <w:textAlignment w:val="auto"/>
              <w:rPr>
                <w:rFonts w:ascii="Times New Roman"/>
                <w:color w:val="auto"/>
                <w:szCs w:val="21"/>
              </w:rPr>
            </w:pPr>
          </w:p>
        </w:tc>
        <w:tc>
          <w:tcPr>
            <w:tcW w:w="1785" w:type="dxa"/>
            <w:vAlign w:val="center"/>
          </w:tcPr>
          <w:p w14:paraId="20357FD1">
            <w:pPr>
              <w:topLinePunct/>
              <w:jc w:val="center"/>
              <w:rPr>
                <w:color w:val="auto"/>
                <w:szCs w:val="21"/>
              </w:rPr>
            </w:pPr>
            <w:r>
              <w:rPr>
                <w:rFonts w:hint="eastAsia"/>
                <w:color w:val="auto"/>
                <w:kern w:val="0"/>
                <w:szCs w:val="21"/>
              </w:rPr>
              <w:t>7.5t</w:t>
            </w:r>
            <w:r>
              <w:rPr>
                <w:color w:val="auto"/>
                <w:szCs w:val="21"/>
              </w:rPr>
              <w:t>/a</w:t>
            </w:r>
          </w:p>
        </w:tc>
        <w:tc>
          <w:tcPr>
            <w:tcW w:w="1575" w:type="dxa"/>
            <w:vAlign w:val="center"/>
          </w:tcPr>
          <w:p w14:paraId="066B86BA">
            <w:pPr>
              <w:pStyle w:val="51"/>
              <w:autoSpaceDE/>
              <w:autoSpaceDN/>
              <w:spacing w:before="0" w:beforeLines="0" w:after="0" w:afterLines="0" w:line="240" w:lineRule="auto"/>
              <w:ind w:right="0"/>
              <w:textAlignment w:val="auto"/>
              <w:rPr>
                <w:rFonts w:ascii="Times New Roman"/>
                <w:color w:val="auto"/>
                <w:szCs w:val="21"/>
              </w:rPr>
            </w:pPr>
          </w:p>
        </w:tc>
        <w:tc>
          <w:tcPr>
            <w:tcW w:w="2205" w:type="dxa"/>
            <w:vAlign w:val="center"/>
          </w:tcPr>
          <w:p w14:paraId="42666973">
            <w:pPr>
              <w:topLinePunct/>
              <w:jc w:val="center"/>
              <w:rPr>
                <w:rFonts w:hint="eastAsia"/>
                <w:color w:val="auto"/>
                <w:szCs w:val="21"/>
              </w:rPr>
            </w:pPr>
            <w:r>
              <w:rPr>
                <w:rFonts w:hint="eastAsia"/>
                <w:color w:val="auto"/>
                <w:kern w:val="0"/>
                <w:szCs w:val="21"/>
              </w:rPr>
              <w:t>7.5t</w:t>
            </w:r>
            <w:r>
              <w:rPr>
                <w:color w:val="auto"/>
                <w:szCs w:val="21"/>
              </w:rPr>
              <w:t>/a</w:t>
            </w:r>
          </w:p>
        </w:tc>
        <w:tc>
          <w:tcPr>
            <w:tcW w:w="1395" w:type="dxa"/>
            <w:vAlign w:val="center"/>
          </w:tcPr>
          <w:p w14:paraId="10D9A9ED">
            <w:pPr>
              <w:topLinePunct/>
              <w:jc w:val="center"/>
              <w:rPr>
                <w:rFonts w:hint="eastAsia"/>
                <w:color w:val="auto"/>
                <w:szCs w:val="21"/>
              </w:rPr>
            </w:pPr>
            <w:r>
              <w:rPr>
                <w:rFonts w:hint="eastAsia"/>
                <w:color w:val="auto"/>
                <w:szCs w:val="21"/>
              </w:rPr>
              <w:t>+</w:t>
            </w:r>
            <w:r>
              <w:rPr>
                <w:rFonts w:hint="eastAsia"/>
                <w:color w:val="auto"/>
                <w:kern w:val="0"/>
                <w:szCs w:val="21"/>
              </w:rPr>
              <w:t>7.5t</w:t>
            </w:r>
            <w:r>
              <w:rPr>
                <w:color w:val="auto"/>
                <w:szCs w:val="21"/>
              </w:rPr>
              <w:t>/a</w:t>
            </w:r>
          </w:p>
        </w:tc>
      </w:tr>
    </w:tbl>
    <w:p w14:paraId="7306AB7B">
      <w:pPr>
        <w:pStyle w:val="51"/>
        <w:spacing w:before="192" w:beforeLines="80" w:after="24"/>
        <w:jc w:val="left"/>
        <w:rPr>
          <w:rFonts w:hAnsi="宋体"/>
          <w:snapToGrid w:val="0"/>
          <w:color w:val="auto"/>
          <w:spacing w:val="-6"/>
          <w:kern w:val="21"/>
          <w:szCs w:val="21"/>
        </w:rPr>
        <w:sectPr>
          <w:pgSz w:w="16838" w:h="11905" w:orient="landscape"/>
          <w:pgMar w:top="1417" w:right="1417" w:bottom="1417" w:left="1417" w:header="851" w:footer="1077" w:gutter="0"/>
          <w:pgNumType w:fmt="decimal"/>
          <w:cols w:space="720" w:num="1"/>
          <w:docGrid w:linePitch="312" w:charSpace="0"/>
        </w:sectPr>
      </w:pPr>
      <w:r>
        <w:rPr>
          <w:rFonts w:hAnsi="宋体"/>
          <w:snapToGrid w:val="0"/>
          <w:color w:val="auto"/>
          <w:kern w:val="21"/>
          <w:szCs w:val="21"/>
        </w:rPr>
        <w:t>注：</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3 \* GB3 \* MERGEFORMAT </w:instrText>
      </w:r>
      <w:r>
        <w:rPr>
          <w:rFonts w:hAnsi="宋体"/>
          <w:snapToGrid w:val="0"/>
          <w:color w:val="auto"/>
          <w:spacing w:val="-6"/>
          <w:kern w:val="21"/>
          <w:szCs w:val="21"/>
        </w:rPr>
        <w:fldChar w:fldCharType="separate"/>
      </w:r>
      <w:r>
        <w:rPr>
          <w:rFonts w:hint="eastAsia" w:hAnsi="宋体"/>
          <w:color w:val="auto"/>
          <w:szCs w:val="21"/>
        </w:rPr>
        <w:t>③</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4 \* GB3 \* MERGEFORMAT </w:instrText>
      </w:r>
      <w:r>
        <w:rPr>
          <w:rFonts w:hAnsi="宋体"/>
          <w:snapToGrid w:val="0"/>
          <w:color w:val="auto"/>
          <w:spacing w:val="-6"/>
          <w:kern w:val="21"/>
          <w:szCs w:val="21"/>
        </w:rPr>
        <w:fldChar w:fldCharType="separate"/>
      </w:r>
      <w:r>
        <w:rPr>
          <w:rFonts w:hint="eastAsia" w:hAnsi="宋体"/>
          <w:color w:val="auto"/>
          <w:szCs w:val="21"/>
        </w:rPr>
        <w:t>④</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5 \* GB3 \* MERGEFORMAT </w:instrText>
      </w:r>
      <w:r>
        <w:rPr>
          <w:rFonts w:hAnsi="宋体"/>
          <w:snapToGrid w:val="0"/>
          <w:color w:val="auto"/>
          <w:spacing w:val="-16"/>
          <w:kern w:val="21"/>
          <w:szCs w:val="21"/>
        </w:rPr>
        <w:fldChar w:fldCharType="separate"/>
      </w:r>
      <w:r>
        <w:rPr>
          <w:rFonts w:hint="eastAsia" w:hAnsi="宋体"/>
          <w:color w:val="auto"/>
          <w:szCs w:val="21"/>
        </w:rPr>
        <w:t>⑤</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7 \* GB3 \* MERGEFORMAT </w:instrText>
      </w:r>
      <w:r>
        <w:rPr>
          <w:rFonts w:hAnsi="宋体"/>
          <w:snapToGrid w:val="0"/>
          <w:color w:val="auto"/>
          <w:spacing w:val="-6"/>
          <w:kern w:val="21"/>
          <w:szCs w:val="21"/>
        </w:rPr>
        <w:fldChar w:fldCharType="separate"/>
      </w:r>
      <w:r>
        <w:rPr>
          <w:rFonts w:hint="eastAsia" w:hAnsi="宋体"/>
          <w:color w:val="auto"/>
          <w:szCs w:val="21"/>
        </w:rPr>
        <w:t>⑦</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p>
    <w:p w14:paraId="27824756">
      <w:pPr>
        <w:pStyle w:val="51"/>
        <w:spacing w:before="192" w:beforeLines="80" w:after="24"/>
        <w:jc w:val="left"/>
        <w:rPr>
          <w:rFonts w:hint="eastAsia"/>
          <w:lang w:val="en-US" w:eastAsia="zh-CN"/>
        </w:rPr>
      </w:pPr>
      <w:bookmarkStart w:id="116" w:name="_GoBack"/>
      <w:bookmarkEnd w:id="116"/>
    </w:p>
    <w:sectPr>
      <w:pgSz w:w="16838" w:h="11906" w:orient="landscape"/>
      <w:pgMar w:top="1800" w:right="1440" w:bottom="1800"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PMingLiU">
    <w:altName w:val="Microsoft JhengHei UI"/>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 w:name="Arial Unicode MS">
    <w:panose1 w:val="020B0604020202020204"/>
    <w:charset w:val="86"/>
    <w:family w:val="swiss"/>
    <w:pitch w:val="default"/>
    <w:sig w:usb0="FFFFFFFF" w:usb1="E9FFFFFF" w:usb2="0000003F" w:usb3="00000000" w:csb0="603F01FF" w:csb1="FFFF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sans-serif">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方正小标宋_GBK">
    <w:altName w:val="微软雅黑"/>
    <w:panose1 w:val="02000000000000000000"/>
    <w:charset w:val="86"/>
    <w:family w:val="script"/>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73287">
    <w:pPr>
      <w:pStyle w:val="1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073FF">
    <w:pPr>
      <w:pStyle w:val="19"/>
      <w:tabs>
        <w:tab w:val="clear" w:pos="4153"/>
      </w:tabs>
      <w:ind w:right="360" w:firstLine="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EABB5">
    <w:pPr>
      <w:pStyle w:val="19"/>
      <w:ind w:right="360"/>
      <w:jc w:val="both"/>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9" name="文本框 2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366B93">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J9SMWjUCAABlBAAADgAAAAAAAAABACAAAAAfAQAAZHJzL2Uyb0RvYy54bWxQ&#10;SwUGAAAAAAYABgBZAQAAxgUAAAAA&#10;">
              <v:fill on="f" focussize="0,0"/>
              <v:stroke on="f" weight="0.5pt"/>
              <v:imagedata o:title=""/>
              <o:lock v:ext="edit" aspectratio="f"/>
              <v:textbox inset="0mm,0mm,0mm,0mm" style="mso-fit-shape-to-text:t;">
                <w:txbxContent>
                  <w:p w14:paraId="22366B93">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CB3501"/>
    <w:multiLevelType w:val="singleLevel"/>
    <w:tmpl w:val="A5CB3501"/>
    <w:lvl w:ilvl="0" w:tentative="0">
      <w:start w:val="1"/>
      <w:numFmt w:val="decimal"/>
      <w:suff w:val="nothing"/>
      <w:lvlText w:val="%1、"/>
      <w:lvlJc w:val="left"/>
    </w:lvl>
  </w:abstractNum>
  <w:abstractNum w:abstractNumId="1">
    <w:nsid w:val="BC778E16"/>
    <w:multiLevelType w:val="singleLevel"/>
    <w:tmpl w:val="BC778E16"/>
    <w:lvl w:ilvl="0" w:tentative="0">
      <w:start w:val="1"/>
      <w:numFmt w:val="decimal"/>
      <w:lvlText w:val="表%1"/>
      <w:lvlJc w:val="center"/>
      <w:pPr>
        <w:tabs>
          <w:tab w:val="left" w:pos="0"/>
        </w:tabs>
      </w:pPr>
      <w:rPr>
        <w:rFonts w:hint="default" w:ascii="Times New Roman" w:hAnsi="Times New Roman" w:eastAsia="宋体" w:cs="Times New Roman"/>
      </w:rPr>
    </w:lvl>
  </w:abstractNum>
  <w:abstractNum w:abstractNumId="2">
    <w:nsid w:val="DD5D328C"/>
    <w:multiLevelType w:val="singleLevel"/>
    <w:tmpl w:val="DD5D328C"/>
    <w:lvl w:ilvl="0" w:tentative="0">
      <w:start w:val="1"/>
      <w:numFmt w:val="decimal"/>
      <w:suff w:val="nothing"/>
      <w:lvlText w:val="%1、"/>
      <w:lvlJc w:val="left"/>
    </w:lvl>
  </w:abstractNum>
  <w:abstractNum w:abstractNumId="3">
    <w:nsid w:val="EDE30709"/>
    <w:multiLevelType w:val="singleLevel"/>
    <w:tmpl w:val="EDE30709"/>
    <w:lvl w:ilvl="0" w:tentative="0">
      <w:start w:val="5"/>
      <w:numFmt w:val="decimal"/>
      <w:suff w:val="nothing"/>
      <w:lvlText w:val="%1、"/>
      <w:lvlJc w:val="left"/>
    </w:lvl>
  </w:abstractNum>
  <w:abstractNum w:abstractNumId="4">
    <w:nsid w:val="01141324"/>
    <w:multiLevelType w:val="singleLevel"/>
    <w:tmpl w:val="01141324"/>
    <w:lvl w:ilvl="0" w:tentative="0">
      <w:start w:val="1"/>
      <w:numFmt w:val="decimal"/>
      <w:suff w:val="nothing"/>
      <w:lvlText w:val="%1、"/>
      <w:lvlJc w:val="left"/>
    </w:lvl>
  </w:abstractNum>
  <w:abstractNum w:abstractNumId="5">
    <w:nsid w:val="0322CB7E"/>
    <w:multiLevelType w:val="singleLevel"/>
    <w:tmpl w:val="0322CB7E"/>
    <w:lvl w:ilvl="0" w:tentative="0">
      <w:start w:val="1"/>
      <w:numFmt w:val="decimal"/>
      <w:suff w:val="nothing"/>
      <w:lvlText w:val="%1、"/>
      <w:lvlJc w:val="left"/>
    </w:lvl>
  </w:abstractNum>
  <w:abstractNum w:abstractNumId="6">
    <w:nsid w:val="2280DF70"/>
    <w:multiLevelType w:val="singleLevel"/>
    <w:tmpl w:val="2280DF70"/>
    <w:lvl w:ilvl="0" w:tentative="0">
      <w:start w:val="1"/>
      <w:numFmt w:val="decimal"/>
      <w:pStyle w:val="46"/>
      <w:lvlText w:val="图%1  "/>
      <w:lvlJc w:val="center"/>
      <w:pPr>
        <w:tabs>
          <w:tab w:val="left" w:pos="0"/>
        </w:tabs>
        <w:ind w:left="420" w:firstLine="0"/>
      </w:pPr>
      <w:rPr>
        <w:rFonts w:hint="default" w:ascii="Times New Roman" w:hAnsi="Times New Roman" w:eastAsia="黑体" w:cs="Times New Roman"/>
        <w:b w:val="0"/>
        <w:bCs w:val="0"/>
        <w:sz w:val="21"/>
        <w:szCs w:val="21"/>
      </w:rPr>
    </w:lvl>
  </w:abstractNum>
  <w:abstractNum w:abstractNumId="7">
    <w:nsid w:val="78BCF894"/>
    <w:multiLevelType w:val="multilevel"/>
    <w:tmpl w:val="78BCF894"/>
    <w:lvl w:ilvl="0" w:tentative="0">
      <w:start w:val="1"/>
      <w:numFmt w:val="decimal"/>
      <w:lvlText w:val="%1."/>
      <w:lvlJc w:val="left"/>
      <w:pPr>
        <w:ind w:left="432" w:hanging="432"/>
      </w:pPr>
      <w:rPr>
        <w:rFonts w:hint="default" w:ascii="宋体" w:hAnsi="宋体" w:eastAsia="宋体" w:cs="宋体"/>
      </w:rPr>
    </w:lvl>
    <w:lvl w:ilvl="1" w:tentative="0">
      <w:start w:val="1"/>
      <w:numFmt w:val="decimal"/>
      <w:isLgl/>
      <w:lvlText w:val="%1.%2"/>
      <w:lvlJc w:val="left"/>
      <w:pPr>
        <w:ind w:left="575" w:hanging="575"/>
      </w:pPr>
      <w:rPr>
        <w:rFonts w:hint="default" w:ascii="Times New Roman" w:hAnsi="Times New Roman" w:eastAsia="宋体" w:cs="Times New Roman"/>
      </w:rPr>
    </w:lvl>
    <w:lvl w:ilvl="2" w:tentative="0">
      <w:start w:val="1"/>
      <w:numFmt w:val="decimal"/>
      <w:pStyle w:val="4"/>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8">
    <w:nsid w:val="79525E3F"/>
    <w:multiLevelType w:val="singleLevel"/>
    <w:tmpl w:val="79525E3F"/>
    <w:lvl w:ilvl="0" w:tentative="0">
      <w:start w:val="1"/>
      <w:numFmt w:val="decimal"/>
      <w:suff w:val="nothing"/>
      <w:lvlText w:val="%1、"/>
      <w:lvlJc w:val="left"/>
    </w:lvl>
  </w:abstractNum>
  <w:abstractNum w:abstractNumId="9">
    <w:nsid w:val="7C95131A"/>
    <w:multiLevelType w:val="singleLevel"/>
    <w:tmpl w:val="7C95131A"/>
    <w:lvl w:ilvl="0" w:tentative="0">
      <w:start w:val="1"/>
      <w:numFmt w:val="decimal"/>
      <w:suff w:val="nothing"/>
      <w:lvlText w:val="（%1）"/>
      <w:lvlJc w:val="left"/>
    </w:lvl>
  </w:abstractNum>
  <w:abstractNum w:abstractNumId="10">
    <w:nsid w:val="7D623779"/>
    <w:multiLevelType w:val="singleLevel"/>
    <w:tmpl w:val="7D623779"/>
    <w:lvl w:ilvl="0" w:tentative="0">
      <w:start w:val="1"/>
      <w:numFmt w:val="decimal"/>
      <w:suff w:val="nothing"/>
      <w:lvlText w:val="%1、"/>
      <w:lvlJc w:val="left"/>
    </w:lvl>
  </w:abstractNum>
  <w:num w:numId="1">
    <w:abstractNumId w:val="7"/>
  </w:num>
  <w:num w:numId="2">
    <w:abstractNumId w:val="6"/>
  </w:num>
  <w:num w:numId="3">
    <w:abstractNumId w:val="1"/>
  </w:num>
  <w:num w:numId="4">
    <w:abstractNumId w:val="8"/>
  </w:num>
  <w:num w:numId="5">
    <w:abstractNumId w:val="5"/>
  </w:num>
  <w:num w:numId="6">
    <w:abstractNumId w:val="10"/>
  </w:num>
  <w:num w:numId="7">
    <w:abstractNumId w:val="4"/>
  </w:num>
  <w:num w:numId="8">
    <w:abstractNumId w:val="2"/>
  </w:num>
  <w:num w:numId="9">
    <w:abstractNumId w:val="3"/>
  </w:num>
  <w:num w:numId="10">
    <w:abstractNumId w:val="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k3NTc3ZWJkNzM4NTQ2ZTg5MDllMTBlNmQ3MTVlZGUifQ=="/>
    <w:docVar w:name="KSO_WPS_MARK_KEY" w:val="f2e3c483-22d7-40c4-9ab0-b8d1848b2cb5"/>
  </w:docVars>
  <w:rsids>
    <w:rsidRoot w:val="00172A27"/>
    <w:rsid w:val="000060B3"/>
    <w:rsid w:val="000156AB"/>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29BE"/>
    <w:rsid w:val="000D5A44"/>
    <w:rsid w:val="000E3ED2"/>
    <w:rsid w:val="00131F42"/>
    <w:rsid w:val="001357F1"/>
    <w:rsid w:val="00140FA8"/>
    <w:rsid w:val="00142FEB"/>
    <w:rsid w:val="00143A2D"/>
    <w:rsid w:val="00145A41"/>
    <w:rsid w:val="00151675"/>
    <w:rsid w:val="00157435"/>
    <w:rsid w:val="00165B80"/>
    <w:rsid w:val="0017504D"/>
    <w:rsid w:val="0017671A"/>
    <w:rsid w:val="00177422"/>
    <w:rsid w:val="00184590"/>
    <w:rsid w:val="001870D1"/>
    <w:rsid w:val="0018781E"/>
    <w:rsid w:val="0019262D"/>
    <w:rsid w:val="00197454"/>
    <w:rsid w:val="001A1B35"/>
    <w:rsid w:val="001A48A2"/>
    <w:rsid w:val="001A6F61"/>
    <w:rsid w:val="001B72B8"/>
    <w:rsid w:val="001C69B3"/>
    <w:rsid w:val="001D5595"/>
    <w:rsid w:val="001D7874"/>
    <w:rsid w:val="001D7F22"/>
    <w:rsid w:val="001E0A45"/>
    <w:rsid w:val="001F0F17"/>
    <w:rsid w:val="001F3347"/>
    <w:rsid w:val="001F69E4"/>
    <w:rsid w:val="0020164C"/>
    <w:rsid w:val="00201FA5"/>
    <w:rsid w:val="002125B4"/>
    <w:rsid w:val="002155B8"/>
    <w:rsid w:val="00224839"/>
    <w:rsid w:val="002249B2"/>
    <w:rsid w:val="00226574"/>
    <w:rsid w:val="002278EC"/>
    <w:rsid w:val="0023280E"/>
    <w:rsid w:val="002377D1"/>
    <w:rsid w:val="002506BC"/>
    <w:rsid w:val="00254345"/>
    <w:rsid w:val="002552A3"/>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72C"/>
    <w:rsid w:val="00341B42"/>
    <w:rsid w:val="0034348F"/>
    <w:rsid w:val="00345FEC"/>
    <w:rsid w:val="00356653"/>
    <w:rsid w:val="0035743F"/>
    <w:rsid w:val="00357BE2"/>
    <w:rsid w:val="0036170C"/>
    <w:rsid w:val="00366E0F"/>
    <w:rsid w:val="00381A72"/>
    <w:rsid w:val="00384676"/>
    <w:rsid w:val="00390857"/>
    <w:rsid w:val="003A397E"/>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5F10"/>
    <w:rsid w:val="0048661E"/>
    <w:rsid w:val="00494670"/>
    <w:rsid w:val="004A3823"/>
    <w:rsid w:val="004A4EF5"/>
    <w:rsid w:val="004E2B14"/>
    <w:rsid w:val="004E6946"/>
    <w:rsid w:val="004F1AD8"/>
    <w:rsid w:val="005039CB"/>
    <w:rsid w:val="0050558F"/>
    <w:rsid w:val="00506286"/>
    <w:rsid w:val="00510813"/>
    <w:rsid w:val="00511990"/>
    <w:rsid w:val="00511DE0"/>
    <w:rsid w:val="00514870"/>
    <w:rsid w:val="00514B9B"/>
    <w:rsid w:val="00517F02"/>
    <w:rsid w:val="0052025A"/>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B45B3"/>
    <w:rsid w:val="005D36AB"/>
    <w:rsid w:val="005D5544"/>
    <w:rsid w:val="00617CC3"/>
    <w:rsid w:val="006377A6"/>
    <w:rsid w:val="00637A3D"/>
    <w:rsid w:val="006411EF"/>
    <w:rsid w:val="006748B8"/>
    <w:rsid w:val="0067522F"/>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1002"/>
    <w:rsid w:val="007836EA"/>
    <w:rsid w:val="00784CDA"/>
    <w:rsid w:val="007906C4"/>
    <w:rsid w:val="0079385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2E56"/>
    <w:rsid w:val="00833743"/>
    <w:rsid w:val="008340A4"/>
    <w:rsid w:val="0087135F"/>
    <w:rsid w:val="00872D94"/>
    <w:rsid w:val="008757EB"/>
    <w:rsid w:val="00880364"/>
    <w:rsid w:val="00891592"/>
    <w:rsid w:val="00891E9E"/>
    <w:rsid w:val="00892D0B"/>
    <w:rsid w:val="008A2F68"/>
    <w:rsid w:val="008A67EC"/>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2EF6"/>
    <w:rsid w:val="0090312B"/>
    <w:rsid w:val="0091736D"/>
    <w:rsid w:val="009224FE"/>
    <w:rsid w:val="0093037A"/>
    <w:rsid w:val="0093051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A5148"/>
    <w:rsid w:val="009B0897"/>
    <w:rsid w:val="009B7BD9"/>
    <w:rsid w:val="009C7DD5"/>
    <w:rsid w:val="009E227D"/>
    <w:rsid w:val="009E5019"/>
    <w:rsid w:val="00A04F1B"/>
    <w:rsid w:val="00A0501B"/>
    <w:rsid w:val="00A14947"/>
    <w:rsid w:val="00A32A83"/>
    <w:rsid w:val="00A33AEF"/>
    <w:rsid w:val="00A368DB"/>
    <w:rsid w:val="00A423AA"/>
    <w:rsid w:val="00A53EC6"/>
    <w:rsid w:val="00A55C0F"/>
    <w:rsid w:val="00A71215"/>
    <w:rsid w:val="00A8713F"/>
    <w:rsid w:val="00A90BA1"/>
    <w:rsid w:val="00A97A9A"/>
    <w:rsid w:val="00AA0671"/>
    <w:rsid w:val="00AA2531"/>
    <w:rsid w:val="00AB1E09"/>
    <w:rsid w:val="00AB5330"/>
    <w:rsid w:val="00AB7747"/>
    <w:rsid w:val="00AC14CE"/>
    <w:rsid w:val="00AC2A56"/>
    <w:rsid w:val="00AC36BE"/>
    <w:rsid w:val="00AD055E"/>
    <w:rsid w:val="00AD47A7"/>
    <w:rsid w:val="00AF0CBF"/>
    <w:rsid w:val="00AF257F"/>
    <w:rsid w:val="00AF33CF"/>
    <w:rsid w:val="00AF4D50"/>
    <w:rsid w:val="00AF6179"/>
    <w:rsid w:val="00B1295A"/>
    <w:rsid w:val="00B20A45"/>
    <w:rsid w:val="00B22C5C"/>
    <w:rsid w:val="00B23E76"/>
    <w:rsid w:val="00B24F30"/>
    <w:rsid w:val="00B26556"/>
    <w:rsid w:val="00B31ABF"/>
    <w:rsid w:val="00B33BE3"/>
    <w:rsid w:val="00B51D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18C6"/>
    <w:rsid w:val="00C2596A"/>
    <w:rsid w:val="00C27537"/>
    <w:rsid w:val="00C328FE"/>
    <w:rsid w:val="00C33507"/>
    <w:rsid w:val="00C4409D"/>
    <w:rsid w:val="00C44E72"/>
    <w:rsid w:val="00C45A06"/>
    <w:rsid w:val="00C47E5B"/>
    <w:rsid w:val="00C61E4B"/>
    <w:rsid w:val="00C64BFF"/>
    <w:rsid w:val="00C704E9"/>
    <w:rsid w:val="00C763C9"/>
    <w:rsid w:val="00C80057"/>
    <w:rsid w:val="00C8192A"/>
    <w:rsid w:val="00C82232"/>
    <w:rsid w:val="00C82913"/>
    <w:rsid w:val="00C972B1"/>
    <w:rsid w:val="00CA2CCE"/>
    <w:rsid w:val="00CA43FD"/>
    <w:rsid w:val="00CA7EF8"/>
    <w:rsid w:val="00CC489B"/>
    <w:rsid w:val="00CD2BCD"/>
    <w:rsid w:val="00CD30D0"/>
    <w:rsid w:val="00CD3A4C"/>
    <w:rsid w:val="00CE10E9"/>
    <w:rsid w:val="00CE2910"/>
    <w:rsid w:val="00CE5393"/>
    <w:rsid w:val="00CF36BE"/>
    <w:rsid w:val="00CF6000"/>
    <w:rsid w:val="00D003F3"/>
    <w:rsid w:val="00D0364F"/>
    <w:rsid w:val="00D06834"/>
    <w:rsid w:val="00D23793"/>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975DD"/>
    <w:rsid w:val="00EA2285"/>
    <w:rsid w:val="00EB5255"/>
    <w:rsid w:val="00EB5C47"/>
    <w:rsid w:val="00ED0639"/>
    <w:rsid w:val="00ED14BC"/>
    <w:rsid w:val="00EF0C15"/>
    <w:rsid w:val="00EF4755"/>
    <w:rsid w:val="00EF7135"/>
    <w:rsid w:val="00F027DB"/>
    <w:rsid w:val="00F14A7A"/>
    <w:rsid w:val="00F22985"/>
    <w:rsid w:val="00F3383E"/>
    <w:rsid w:val="00F33E5D"/>
    <w:rsid w:val="00F35F79"/>
    <w:rsid w:val="00F465A7"/>
    <w:rsid w:val="00F50B7C"/>
    <w:rsid w:val="00F550E6"/>
    <w:rsid w:val="00F661C7"/>
    <w:rsid w:val="00F74345"/>
    <w:rsid w:val="00F774C5"/>
    <w:rsid w:val="00F80A0A"/>
    <w:rsid w:val="00F82B19"/>
    <w:rsid w:val="00F9212D"/>
    <w:rsid w:val="00F965DA"/>
    <w:rsid w:val="00FA0312"/>
    <w:rsid w:val="00FA406A"/>
    <w:rsid w:val="00FB503A"/>
    <w:rsid w:val="00FB516C"/>
    <w:rsid w:val="00FD0236"/>
    <w:rsid w:val="00FD18F4"/>
    <w:rsid w:val="00FD54DB"/>
    <w:rsid w:val="00FD619F"/>
    <w:rsid w:val="01132509"/>
    <w:rsid w:val="01290F7E"/>
    <w:rsid w:val="015D1E09"/>
    <w:rsid w:val="015E5CE4"/>
    <w:rsid w:val="01672B41"/>
    <w:rsid w:val="01676404"/>
    <w:rsid w:val="017C7E65"/>
    <w:rsid w:val="01907502"/>
    <w:rsid w:val="01D13BC9"/>
    <w:rsid w:val="01E32345"/>
    <w:rsid w:val="01E7326F"/>
    <w:rsid w:val="021E37FD"/>
    <w:rsid w:val="02331ABF"/>
    <w:rsid w:val="02697903"/>
    <w:rsid w:val="029167E5"/>
    <w:rsid w:val="02A01D42"/>
    <w:rsid w:val="02AF7BAC"/>
    <w:rsid w:val="02B077F3"/>
    <w:rsid w:val="02B90DAD"/>
    <w:rsid w:val="02B93F13"/>
    <w:rsid w:val="02DE20AE"/>
    <w:rsid w:val="02F96569"/>
    <w:rsid w:val="02FA25DD"/>
    <w:rsid w:val="032C58E7"/>
    <w:rsid w:val="03461F7C"/>
    <w:rsid w:val="0376464B"/>
    <w:rsid w:val="03B20578"/>
    <w:rsid w:val="03CC2FC8"/>
    <w:rsid w:val="03E162AC"/>
    <w:rsid w:val="03EA7B21"/>
    <w:rsid w:val="0469127A"/>
    <w:rsid w:val="046A2323"/>
    <w:rsid w:val="046F69F0"/>
    <w:rsid w:val="048044AE"/>
    <w:rsid w:val="049A6A38"/>
    <w:rsid w:val="04CD61FB"/>
    <w:rsid w:val="04FA344C"/>
    <w:rsid w:val="05012FAD"/>
    <w:rsid w:val="05145FF9"/>
    <w:rsid w:val="053A4F12"/>
    <w:rsid w:val="05EA167A"/>
    <w:rsid w:val="05F83EAE"/>
    <w:rsid w:val="063841A4"/>
    <w:rsid w:val="063E7D85"/>
    <w:rsid w:val="064029FC"/>
    <w:rsid w:val="065B3401"/>
    <w:rsid w:val="066B7051"/>
    <w:rsid w:val="066D0FFC"/>
    <w:rsid w:val="06732204"/>
    <w:rsid w:val="06741984"/>
    <w:rsid w:val="06C24319"/>
    <w:rsid w:val="06DA2B31"/>
    <w:rsid w:val="06E14597"/>
    <w:rsid w:val="07293586"/>
    <w:rsid w:val="07295285"/>
    <w:rsid w:val="07296097"/>
    <w:rsid w:val="074E0DE7"/>
    <w:rsid w:val="07636392"/>
    <w:rsid w:val="07764FE0"/>
    <w:rsid w:val="07770C56"/>
    <w:rsid w:val="07A81E39"/>
    <w:rsid w:val="07AC6C84"/>
    <w:rsid w:val="07BF2D35"/>
    <w:rsid w:val="07E329E5"/>
    <w:rsid w:val="08016A24"/>
    <w:rsid w:val="0803272B"/>
    <w:rsid w:val="08282430"/>
    <w:rsid w:val="08487BE5"/>
    <w:rsid w:val="08627F12"/>
    <w:rsid w:val="0882157A"/>
    <w:rsid w:val="08B01553"/>
    <w:rsid w:val="08BE26AA"/>
    <w:rsid w:val="08C97B39"/>
    <w:rsid w:val="08E973B4"/>
    <w:rsid w:val="090A162E"/>
    <w:rsid w:val="092217DD"/>
    <w:rsid w:val="092F1552"/>
    <w:rsid w:val="093A7294"/>
    <w:rsid w:val="094F0BCA"/>
    <w:rsid w:val="095234FB"/>
    <w:rsid w:val="0965433A"/>
    <w:rsid w:val="09772BD9"/>
    <w:rsid w:val="09780D0D"/>
    <w:rsid w:val="0980684D"/>
    <w:rsid w:val="0988715E"/>
    <w:rsid w:val="09890EFD"/>
    <w:rsid w:val="098B2F5B"/>
    <w:rsid w:val="09903954"/>
    <w:rsid w:val="09A90FA7"/>
    <w:rsid w:val="09AE23EF"/>
    <w:rsid w:val="09ED69F7"/>
    <w:rsid w:val="0A045D6A"/>
    <w:rsid w:val="0A137AC6"/>
    <w:rsid w:val="0A263993"/>
    <w:rsid w:val="0A2949B6"/>
    <w:rsid w:val="0A2D3AC2"/>
    <w:rsid w:val="0A517B89"/>
    <w:rsid w:val="0A6173D6"/>
    <w:rsid w:val="0A7E1A0C"/>
    <w:rsid w:val="0A8E1461"/>
    <w:rsid w:val="0AA602E0"/>
    <w:rsid w:val="0AA755DF"/>
    <w:rsid w:val="0AD73387"/>
    <w:rsid w:val="0AD83203"/>
    <w:rsid w:val="0B0F4EAE"/>
    <w:rsid w:val="0B120D44"/>
    <w:rsid w:val="0B233B58"/>
    <w:rsid w:val="0B360CCC"/>
    <w:rsid w:val="0B512FB6"/>
    <w:rsid w:val="0B584344"/>
    <w:rsid w:val="0B601CCC"/>
    <w:rsid w:val="0B7A7900"/>
    <w:rsid w:val="0B7D7BCE"/>
    <w:rsid w:val="0B8D5306"/>
    <w:rsid w:val="0BA94BA0"/>
    <w:rsid w:val="0BAB4DBC"/>
    <w:rsid w:val="0BB579E9"/>
    <w:rsid w:val="0BD15E00"/>
    <w:rsid w:val="0BD27BF6"/>
    <w:rsid w:val="0BEA7DE0"/>
    <w:rsid w:val="0C194B3C"/>
    <w:rsid w:val="0C29402E"/>
    <w:rsid w:val="0C3B3C7D"/>
    <w:rsid w:val="0C3E353A"/>
    <w:rsid w:val="0C596697"/>
    <w:rsid w:val="0CAB2EAE"/>
    <w:rsid w:val="0CB171BF"/>
    <w:rsid w:val="0CDC13A0"/>
    <w:rsid w:val="0D1D3A97"/>
    <w:rsid w:val="0D3277CD"/>
    <w:rsid w:val="0D5B598D"/>
    <w:rsid w:val="0D621C7D"/>
    <w:rsid w:val="0D747FC9"/>
    <w:rsid w:val="0DA82B71"/>
    <w:rsid w:val="0DB12096"/>
    <w:rsid w:val="0DB3624F"/>
    <w:rsid w:val="0E0D58BA"/>
    <w:rsid w:val="0E0F1632"/>
    <w:rsid w:val="0E114A04"/>
    <w:rsid w:val="0E297097"/>
    <w:rsid w:val="0E386E20"/>
    <w:rsid w:val="0E3E1BFB"/>
    <w:rsid w:val="0E73034D"/>
    <w:rsid w:val="0E7F5242"/>
    <w:rsid w:val="0E8A6F0A"/>
    <w:rsid w:val="0EA66FBF"/>
    <w:rsid w:val="0ED14B39"/>
    <w:rsid w:val="0EEC1FA4"/>
    <w:rsid w:val="0F13775A"/>
    <w:rsid w:val="0F5F45FE"/>
    <w:rsid w:val="0F794F30"/>
    <w:rsid w:val="0F991C6D"/>
    <w:rsid w:val="0F9A112B"/>
    <w:rsid w:val="0FD22917"/>
    <w:rsid w:val="0FF3619B"/>
    <w:rsid w:val="100D14F1"/>
    <w:rsid w:val="10237E27"/>
    <w:rsid w:val="106D2F64"/>
    <w:rsid w:val="10740C17"/>
    <w:rsid w:val="10763A0F"/>
    <w:rsid w:val="10775772"/>
    <w:rsid w:val="10841BD8"/>
    <w:rsid w:val="108D4A90"/>
    <w:rsid w:val="10915605"/>
    <w:rsid w:val="10974F4A"/>
    <w:rsid w:val="10993435"/>
    <w:rsid w:val="10B63710"/>
    <w:rsid w:val="10BC2ED4"/>
    <w:rsid w:val="10BC7B8B"/>
    <w:rsid w:val="10F10820"/>
    <w:rsid w:val="10F55C92"/>
    <w:rsid w:val="10F61301"/>
    <w:rsid w:val="10FE77F6"/>
    <w:rsid w:val="110E58B8"/>
    <w:rsid w:val="111C2F7A"/>
    <w:rsid w:val="112B5257"/>
    <w:rsid w:val="112B5BE8"/>
    <w:rsid w:val="11665CA1"/>
    <w:rsid w:val="116A1770"/>
    <w:rsid w:val="11AF44AC"/>
    <w:rsid w:val="11CF30F5"/>
    <w:rsid w:val="11D00CC1"/>
    <w:rsid w:val="11DA36A8"/>
    <w:rsid w:val="11E24436"/>
    <w:rsid w:val="11E76755"/>
    <w:rsid w:val="11E77878"/>
    <w:rsid w:val="11E860AE"/>
    <w:rsid w:val="11FE2A06"/>
    <w:rsid w:val="12137217"/>
    <w:rsid w:val="121E62E8"/>
    <w:rsid w:val="12372F05"/>
    <w:rsid w:val="12543AB7"/>
    <w:rsid w:val="1283393D"/>
    <w:rsid w:val="128524AA"/>
    <w:rsid w:val="12943FB0"/>
    <w:rsid w:val="129E42F0"/>
    <w:rsid w:val="12D70244"/>
    <w:rsid w:val="12EF58FA"/>
    <w:rsid w:val="12F11306"/>
    <w:rsid w:val="12F64668"/>
    <w:rsid w:val="12FB09F0"/>
    <w:rsid w:val="12FC3C17"/>
    <w:rsid w:val="13283699"/>
    <w:rsid w:val="133145F6"/>
    <w:rsid w:val="13675747"/>
    <w:rsid w:val="136C6BDF"/>
    <w:rsid w:val="137B2D6D"/>
    <w:rsid w:val="13906C31"/>
    <w:rsid w:val="13951726"/>
    <w:rsid w:val="13BF54FC"/>
    <w:rsid w:val="13C2474D"/>
    <w:rsid w:val="13D840FA"/>
    <w:rsid w:val="13DA494C"/>
    <w:rsid w:val="13DC56F0"/>
    <w:rsid w:val="13F352C3"/>
    <w:rsid w:val="13FC79DA"/>
    <w:rsid w:val="14396509"/>
    <w:rsid w:val="143D6889"/>
    <w:rsid w:val="144670A0"/>
    <w:rsid w:val="14536D88"/>
    <w:rsid w:val="14553B17"/>
    <w:rsid w:val="147667E4"/>
    <w:rsid w:val="147A0C41"/>
    <w:rsid w:val="14B23BB1"/>
    <w:rsid w:val="14C271F3"/>
    <w:rsid w:val="14C945AD"/>
    <w:rsid w:val="14DD2C3C"/>
    <w:rsid w:val="14E20051"/>
    <w:rsid w:val="151529B4"/>
    <w:rsid w:val="15162501"/>
    <w:rsid w:val="152B6595"/>
    <w:rsid w:val="15602773"/>
    <w:rsid w:val="16087E1D"/>
    <w:rsid w:val="160968B4"/>
    <w:rsid w:val="160C645C"/>
    <w:rsid w:val="162419BE"/>
    <w:rsid w:val="162908CB"/>
    <w:rsid w:val="165E62BB"/>
    <w:rsid w:val="16615713"/>
    <w:rsid w:val="166718DF"/>
    <w:rsid w:val="167D6084"/>
    <w:rsid w:val="168724BF"/>
    <w:rsid w:val="16B53023"/>
    <w:rsid w:val="16C273D4"/>
    <w:rsid w:val="16C4669C"/>
    <w:rsid w:val="16CC6C03"/>
    <w:rsid w:val="16EB4628"/>
    <w:rsid w:val="16ED2FF1"/>
    <w:rsid w:val="16FA6974"/>
    <w:rsid w:val="170A508C"/>
    <w:rsid w:val="171601A2"/>
    <w:rsid w:val="173D794F"/>
    <w:rsid w:val="174B0742"/>
    <w:rsid w:val="174D31CB"/>
    <w:rsid w:val="17701D14"/>
    <w:rsid w:val="17735226"/>
    <w:rsid w:val="17A241AA"/>
    <w:rsid w:val="17A538A6"/>
    <w:rsid w:val="17B40B54"/>
    <w:rsid w:val="17C5256B"/>
    <w:rsid w:val="17C91FDA"/>
    <w:rsid w:val="17D7210C"/>
    <w:rsid w:val="17F1047A"/>
    <w:rsid w:val="18516A1D"/>
    <w:rsid w:val="18561C0B"/>
    <w:rsid w:val="187F3EF0"/>
    <w:rsid w:val="18864C3E"/>
    <w:rsid w:val="189F624C"/>
    <w:rsid w:val="18A64941"/>
    <w:rsid w:val="18B93BD0"/>
    <w:rsid w:val="18D75F22"/>
    <w:rsid w:val="18DD58B8"/>
    <w:rsid w:val="18E25F24"/>
    <w:rsid w:val="18E56DCD"/>
    <w:rsid w:val="18F648D4"/>
    <w:rsid w:val="18FE01FD"/>
    <w:rsid w:val="19351C0F"/>
    <w:rsid w:val="194F4E45"/>
    <w:rsid w:val="19517BDA"/>
    <w:rsid w:val="19BF71CA"/>
    <w:rsid w:val="19F52E15"/>
    <w:rsid w:val="19F811CC"/>
    <w:rsid w:val="1A1C66C0"/>
    <w:rsid w:val="1A295829"/>
    <w:rsid w:val="1A336AB6"/>
    <w:rsid w:val="1A42393B"/>
    <w:rsid w:val="1A5B175B"/>
    <w:rsid w:val="1AAD45DE"/>
    <w:rsid w:val="1AC97A22"/>
    <w:rsid w:val="1AE156F2"/>
    <w:rsid w:val="1AEB0D31"/>
    <w:rsid w:val="1B046F80"/>
    <w:rsid w:val="1B2813CD"/>
    <w:rsid w:val="1B2A6D37"/>
    <w:rsid w:val="1B3267B5"/>
    <w:rsid w:val="1B376BD4"/>
    <w:rsid w:val="1B40161D"/>
    <w:rsid w:val="1B441859"/>
    <w:rsid w:val="1B566A66"/>
    <w:rsid w:val="1B657554"/>
    <w:rsid w:val="1B6606B1"/>
    <w:rsid w:val="1B850DC3"/>
    <w:rsid w:val="1BA35B0C"/>
    <w:rsid w:val="1BA73D61"/>
    <w:rsid w:val="1BC77DDC"/>
    <w:rsid w:val="1BCC468D"/>
    <w:rsid w:val="1C0C0F5F"/>
    <w:rsid w:val="1C0E6977"/>
    <w:rsid w:val="1C185F0C"/>
    <w:rsid w:val="1C1D682F"/>
    <w:rsid w:val="1C24466E"/>
    <w:rsid w:val="1C264CD5"/>
    <w:rsid w:val="1C3109C5"/>
    <w:rsid w:val="1C3D55BC"/>
    <w:rsid w:val="1C445690"/>
    <w:rsid w:val="1C483D08"/>
    <w:rsid w:val="1C596267"/>
    <w:rsid w:val="1C5E7925"/>
    <w:rsid w:val="1C722560"/>
    <w:rsid w:val="1C8B7FAB"/>
    <w:rsid w:val="1C8E12B1"/>
    <w:rsid w:val="1C8E38B5"/>
    <w:rsid w:val="1C936004"/>
    <w:rsid w:val="1CCB2BC8"/>
    <w:rsid w:val="1CDF6673"/>
    <w:rsid w:val="1CFD070F"/>
    <w:rsid w:val="1D002D16"/>
    <w:rsid w:val="1D0C723A"/>
    <w:rsid w:val="1D0F137E"/>
    <w:rsid w:val="1D216A00"/>
    <w:rsid w:val="1D2A0352"/>
    <w:rsid w:val="1D342E5F"/>
    <w:rsid w:val="1D4E3237"/>
    <w:rsid w:val="1D5F6196"/>
    <w:rsid w:val="1D6132A5"/>
    <w:rsid w:val="1D6C2C41"/>
    <w:rsid w:val="1D790815"/>
    <w:rsid w:val="1D886D0B"/>
    <w:rsid w:val="1D8E56D5"/>
    <w:rsid w:val="1D996D84"/>
    <w:rsid w:val="1DB07A98"/>
    <w:rsid w:val="1DB2660D"/>
    <w:rsid w:val="1DE455A1"/>
    <w:rsid w:val="1DFF0FD4"/>
    <w:rsid w:val="1E014B1B"/>
    <w:rsid w:val="1E334F46"/>
    <w:rsid w:val="1E464111"/>
    <w:rsid w:val="1E4B2AAD"/>
    <w:rsid w:val="1E5E181A"/>
    <w:rsid w:val="1E7A43DA"/>
    <w:rsid w:val="1E7C75AD"/>
    <w:rsid w:val="1ECD7AE3"/>
    <w:rsid w:val="1EDC635A"/>
    <w:rsid w:val="1EDF1F47"/>
    <w:rsid w:val="1F1D2228"/>
    <w:rsid w:val="1F450577"/>
    <w:rsid w:val="1F733336"/>
    <w:rsid w:val="1F8F60E9"/>
    <w:rsid w:val="1FA91530"/>
    <w:rsid w:val="1FE7539E"/>
    <w:rsid w:val="1FF872EB"/>
    <w:rsid w:val="200B6A60"/>
    <w:rsid w:val="20106525"/>
    <w:rsid w:val="202C373D"/>
    <w:rsid w:val="20330421"/>
    <w:rsid w:val="203A349A"/>
    <w:rsid w:val="20631369"/>
    <w:rsid w:val="20671BE0"/>
    <w:rsid w:val="206B39C8"/>
    <w:rsid w:val="207B4905"/>
    <w:rsid w:val="20963CB8"/>
    <w:rsid w:val="20A3230B"/>
    <w:rsid w:val="20A81A1B"/>
    <w:rsid w:val="20B07FB6"/>
    <w:rsid w:val="20B62ACE"/>
    <w:rsid w:val="20B646FB"/>
    <w:rsid w:val="20BC330E"/>
    <w:rsid w:val="20C92E21"/>
    <w:rsid w:val="20CD46D2"/>
    <w:rsid w:val="20D02816"/>
    <w:rsid w:val="20D87472"/>
    <w:rsid w:val="20E94600"/>
    <w:rsid w:val="20EE2142"/>
    <w:rsid w:val="20F22DD7"/>
    <w:rsid w:val="20FE0332"/>
    <w:rsid w:val="2116556C"/>
    <w:rsid w:val="213B74B1"/>
    <w:rsid w:val="213E13F9"/>
    <w:rsid w:val="214768E6"/>
    <w:rsid w:val="21507B40"/>
    <w:rsid w:val="215A2310"/>
    <w:rsid w:val="217035FD"/>
    <w:rsid w:val="217B56D8"/>
    <w:rsid w:val="217D6799"/>
    <w:rsid w:val="218F0D41"/>
    <w:rsid w:val="21A0798B"/>
    <w:rsid w:val="21A1744B"/>
    <w:rsid w:val="21A55AEA"/>
    <w:rsid w:val="21B30C9F"/>
    <w:rsid w:val="21DE318A"/>
    <w:rsid w:val="21EF5B80"/>
    <w:rsid w:val="21F4356A"/>
    <w:rsid w:val="21FB5684"/>
    <w:rsid w:val="220769F8"/>
    <w:rsid w:val="22241B99"/>
    <w:rsid w:val="222515C0"/>
    <w:rsid w:val="22553DE4"/>
    <w:rsid w:val="225619A0"/>
    <w:rsid w:val="22576990"/>
    <w:rsid w:val="2257772E"/>
    <w:rsid w:val="226A4C31"/>
    <w:rsid w:val="22774310"/>
    <w:rsid w:val="227D56FD"/>
    <w:rsid w:val="227F6529"/>
    <w:rsid w:val="229D56B5"/>
    <w:rsid w:val="22C074D3"/>
    <w:rsid w:val="22DE77F8"/>
    <w:rsid w:val="22F47480"/>
    <w:rsid w:val="23302BE7"/>
    <w:rsid w:val="23303F57"/>
    <w:rsid w:val="23357482"/>
    <w:rsid w:val="233F60BE"/>
    <w:rsid w:val="234F654A"/>
    <w:rsid w:val="2355492B"/>
    <w:rsid w:val="2371179D"/>
    <w:rsid w:val="2382738A"/>
    <w:rsid w:val="23910157"/>
    <w:rsid w:val="23AF28C9"/>
    <w:rsid w:val="23C84FFF"/>
    <w:rsid w:val="23CB7B29"/>
    <w:rsid w:val="23DE1C48"/>
    <w:rsid w:val="23DF33FD"/>
    <w:rsid w:val="240210CD"/>
    <w:rsid w:val="24485EA9"/>
    <w:rsid w:val="245E2FAB"/>
    <w:rsid w:val="24860032"/>
    <w:rsid w:val="24913758"/>
    <w:rsid w:val="24A56B6F"/>
    <w:rsid w:val="24BF09F7"/>
    <w:rsid w:val="24C6584A"/>
    <w:rsid w:val="24D71B89"/>
    <w:rsid w:val="250366C9"/>
    <w:rsid w:val="252D53FE"/>
    <w:rsid w:val="255C381B"/>
    <w:rsid w:val="258850B8"/>
    <w:rsid w:val="259A3A7F"/>
    <w:rsid w:val="25A911BC"/>
    <w:rsid w:val="25A95A70"/>
    <w:rsid w:val="25B009B0"/>
    <w:rsid w:val="25EB5B31"/>
    <w:rsid w:val="25EB7E37"/>
    <w:rsid w:val="25EC2D81"/>
    <w:rsid w:val="25F5515A"/>
    <w:rsid w:val="25FB3AFC"/>
    <w:rsid w:val="25FB3E28"/>
    <w:rsid w:val="26087CB8"/>
    <w:rsid w:val="269624AD"/>
    <w:rsid w:val="27327F74"/>
    <w:rsid w:val="27370D74"/>
    <w:rsid w:val="27581104"/>
    <w:rsid w:val="275C5680"/>
    <w:rsid w:val="277057A2"/>
    <w:rsid w:val="277315B0"/>
    <w:rsid w:val="27800A53"/>
    <w:rsid w:val="27AA0645"/>
    <w:rsid w:val="27E06C2D"/>
    <w:rsid w:val="27FC632B"/>
    <w:rsid w:val="281A33A0"/>
    <w:rsid w:val="281E6B2B"/>
    <w:rsid w:val="283F454B"/>
    <w:rsid w:val="28431344"/>
    <w:rsid w:val="285E39E4"/>
    <w:rsid w:val="287E5DC7"/>
    <w:rsid w:val="288908CC"/>
    <w:rsid w:val="28C34872"/>
    <w:rsid w:val="28CC20E6"/>
    <w:rsid w:val="28F41A32"/>
    <w:rsid w:val="29026558"/>
    <w:rsid w:val="290753A4"/>
    <w:rsid w:val="290F6135"/>
    <w:rsid w:val="29206EB8"/>
    <w:rsid w:val="2929612F"/>
    <w:rsid w:val="293623A2"/>
    <w:rsid w:val="29595666"/>
    <w:rsid w:val="295C419C"/>
    <w:rsid w:val="29874881"/>
    <w:rsid w:val="298F46E3"/>
    <w:rsid w:val="29900AAB"/>
    <w:rsid w:val="29A11532"/>
    <w:rsid w:val="29E325E0"/>
    <w:rsid w:val="29EE2B92"/>
    <w:rsid w:val="2A070FB7"/>
    <w:rsid w:val="2A452503"/>
    <w:rsid w:val="2AA10299"/>
    <w:rsid w:val="2ABB1C05"/>
    <w:rsid w:val="2AE3085B"/>
    <w:rsid w:val="2AF615F2"/>
    <w:rsid w:val="2B051358"/>
    <w:rsid w:val="2B05257E"/>
    <w:rsid w:val="2B15586B"/>
    <w:rsid w:val="2B1A78D7"/>
    <w:rsid w:val="2B2E026F"/>
    <w:rsid w:val="2B2E61CE"/>
    <w:rsid w:val="2B560448"/>
    <w:rsid w:val="2B6477F0"/>
    <w:rsid w:val="2BA936A8"/>
    <w:rsid w:val="2BAD3E13"/>
    <w:rsid w:val="2BB50555"/>
    <w:rsid w:val="2C315A5A"/>
    <w:rsid w:val="2C3713E1"/>
    <w:rsid w:val="2C3F2C8B"/>
    <w:rsid w:val="2C417FC7"/>
    <w:rsid w:val="2C4B1C25"/>
    <w:rsid w:val="2C5D69BC"/>
    <w:rsid w:val="2C6201DE"/>
    <w:rsid w:val="2C6B7741"/>
    <w:rsid w:val="2C901EDA"/>
    <w:rsid w:val="2C9B30AF"/>
    <w:rsid w:val="2C9C518A"/>
    <w:rsid w:val="2CAA42C1"/>
    <w:rsid w:val="2CB229CC"/>
    <w:rsid w:val="2CC031B9"/>
    <w:rsid w:val="2CE11F30"/>
    <w:rsid w:val="2CF44BA2"/>
    <w:rsid w:val="2D005F68"/>
    <w:rsid w:val="2D2B7039"/>
    <w:rsid w:val="2D614299"/>
    <w:rsid w:val="2D685B59"/>
    <w:rsid w:val="2D6D4D74"/>
    <w:rsid w:val="2D9E56F5"/>
    <w:rsid w:val="2DB05C61"/>
    <w:rsid w:val="2DD351D1"/>
    <w:rsid w:val="2DE91626"/>
    <w:rsid w:val="2DEA5734"/>
    <w:rsid w:val="2E183793"/>
    <w:rsid w:val="2E282992"/>
    <w:rsid w:val="2E667F96"/>
    <w:rsid w:val="2E8226AB"/>
    <w:rsid w:val="2E9B4AB4"/>
    <w:rsid w:val="2EC7632B"/>
    <w:rsid w:val="2F266384"/>
    <w:rsid w:val="2F2A3F62"/>
    <w:rsid w:val="2F4D2F86"/>
    <w:rsid w:val="2F565D38"/>
    <w:rsid w:val="2F861B68"/>
    <w:rsid w:val="2FC040E2"/>
    <w:rsid w:val="2FCD67FF"/>
    <w:rsid w:val="2FD065E6"/>
    <w:rsid w:val="2FD96870"/>
    <w:rsid w:val="2FE46743"/>
    <w:rsid w:val="2FE95BCA"/>
    <w:rsid w:val="2FF575D6"/>
    <w:rsid w:val="30143DC3"/>
    <w:rsid w:val="301B13F8"/>
    <w:rsid w:val="302D7F4C"/>
    <w:rsid w:val="30347252"/>
    <w:rsid w:val="30580BC9"/>
    <w:rsid w:val="3061066E"/>
    <w:rsid w:val="30930E45"/>
    <w:rsid w:val="3093681A"/>
    <w:rsid w:val="30AB1680"/>
    <w:rsid w:val="30B139AA"/>
    <w:rsid w:val="30BF4724"/>
    <w:rsid w:val="30C6397A"/>
    <w:rsid w:val="30E34192"/>
    <w:rsid w:val="311E2ED7"/>
    <w:rsid w:val="311F419B"/>
    <w:rsid w:val="315619EE"/>
    <w:rsid w:val="315C449C"/>
    <w:rsid w:val="31687EFC"/>
    <w:rsid w:val="31B24251"/>
    <w:rsid w:val="31B82709"/>
    <w:rsid w:val="31C312CB"/>
    <w:rsid w:val="31D05482"/>
    <w:rsid w:val="31D235D1"/>
    <w:rsid w:val="32400B34"/>
    <w:rsid w:val="3240150B"/>
    <w:rsid w:val="32754187"/>
    <w:rsid w:val="329E6876"/>
    <w:rsid w:val="32BA306B"/>
    <w:rsid w:val="32E225C2"/>
    <w:rsid w:val="33153593"/>
    <w:rsid w:val="3329732A"/>
    <w:rsid w:val="332E5CF9"/>
    <w:rsid w:val="333015F2"/>
    <w:rsid w:val="334156A8"/>
    <w:rsid w:val="334B6320"/>
    <w:rsid w:val="33527747"/>
    <w:rsid w:val="33550DFE"/>
    <w:rsid w:val="33590B60"/>
    <w:rsid w:val="33641229"/>
    <w:rsid w:val="33952F65"/>
    <w:rsid w:val="33AD0E22"/>
    <w:rsid w:val="33BD57CA"/>
    <w:rsid w:val="33D934D4"/>
    <w:rsid w:val="33E8734B"/>
    <w:rsid w:val="33FE2F6A"/>
    <w:rsid w:val="34001EB5"/>
    <w:rsid w:val="340E07E5"/>
    <w:rsid w:val="341C1E28"/>
    <w:rsid w:val="34235BF7"/>
    <w:rsid w:val="343966BC"/>
    <w:rsid w:val="3482680C"/>
    <w:rsid w:val="34AC10D9"/>
    <w:rsid w:val="34B9203F"/>
    <w:rsid w:val="34E2207C"/>
    <w:rsid w:val="34E7165A"/>
    <w:rsid w:val="350A7314"/>
    <w:rsid w:val="351D4EC9"/>
    <w:rsid w:val="35281378"/>
    <w:rsid w:val="35551771"/>
    <w:rsid w:val="3555351F"/>
    <w:rsid w:val="3572598F"/>
    <w:rsid w:val="3573471F"/>
    <w:rsid w:val="358C5FA8"/>
    <w:rsid w:val="35C15DF1"/>
    <w:rsid w:val="35E461F7"/>
    <w:rsid w:val="36074A7F"/>
    <w:rsid w:val="36321E9A"/>
    <w:rsid w:val="3641202B"/>
    <w:rsid w:val="364E07F2"/>
    <w:rsid w:val="36581763"/>
    <w:rsid w:val="366E3DCA"/>
    <w:rsid w:val="36923549"/>
    <w:rsid w:val="36B43494"/>
    <w:rsid w:val="36B75FBF"/>
    <w:rsid w:val="36BD0C45"/>
    <w:rsid w:val="36F10853"/>
    <w:rsid w:val="371D25FA"/>
    <w:rsid w:val="372D71D4"/>
    <w:rsid w:val="373B1B45"/>
    <w:rsid w:val="37693CAF"/>
    <w:rsid w:val="37842F00"/>
    <w:rsid w:val="37913C2E"/>
    <w:rsid w:val="37E00298"/>
    <w:rsid w:val="37E60978"/>
    <w:rsid w:val="38015EC3"/>
    <w:rsid w:val="38093351"/>
    <w:rsid w:val="381102D6"/>
    <w:rsid w:val="38494A79"/>
    <w:rsid w:val="385D2666"/>
    <w:rsid w:val="3889031F"/>
    <w:rsid w:val="388C4B09"/>
    <w:rsid w:val="38B302F9"/>
    <w:rsid w:val="38B6135B"/>
    <w:rsid w:val="38C9005C"/>
    <w:rsid w:val="38D20E0A"/>
    <w:rsid w:val="38F12CD3"/>
    <w:rsid w:val="38F94775"/>
    <w:rsid w:val="391A0604"/>
    <w:rsid w:val="3920395F"/>
    <w:rsid w:val="39243934"/>
    <w:rsid w:val="392971ED"/>
    <w:rsid w:val="392B3704"/>
    <w:rsid w:val="392B6E66"/>
    <w:rsid w:val="39325651"/>
    <w:rsid w:val="39357A4D"/>
    <w:rsid w:val="396633F1"/>
    <w:rsid w:val="39683AFC"/>
    <w:rsid w:val="397A41D7"/>
    <w:rsid w:val="397D24E8"/>
    <w:rsid w:val="39892957"/>
    <w:rsid w:val="39A64349"/>
    <w:rsid w:val="39D90BC7"/>
    <w:rsid w:val="39E1386C"/>
    <w:rsid w:val="39F37216"/>
    <w:rsid w:val="39FE2326"/>
    <w:rsid w:val="3A034BC7"/>
    <w:rsid w:val="3A3E6C77"/>
    <w:rsid w:val="3A471157"/>
    <w:rsid w:val="3A637EC5"/>
    <w:rsid w:val="3A872856"/>
    <w:rsid w:val="3A872F07"/>
    <w:rsid w:val="3A9554C1"/>
    <w:rsid w:val="3ACA1997"/>
    <w:rsid w:val="3ADE7B13"/>
    <w:rsid w:val="3AE94BC3"/>
    <w:rsid w:val="3AF61300"/>
    <w:rsid w:val="3B2F036E"/>
    <w:rsid w:val="3B302C31"/>
    <w:rsid w:val="3B3763D1"/>
    <w:rsid w:val="3B9F2C7F"/>
    <w:rsid w:val="3BA53C6C"/>
    <w:rsid w:val="3BC74A4B"/>
    <w:rsid w:val="3BD57E02"/>
    <w:rsid w:val="3BDD7CED"/>
    <w:rsid w:val="3BE07AE9"/>
    <w:rsid w:val="3C2F6E1E"/>
    <w:rsid w:val="3C3178A8"/>
    <w:rsid w:val="3C37733D"/>
    <w:rsid w:val="3C4340D1"/>
    <w:rsid w:val="3C4F64BA"/>
    <w:rsid w:val="3C74072E"/>
    <w:rsid w:val="3CB37786"/>
    <w:rsid w:val="3CDA245A"/>
    <w:rsid w:val="3CE978F8"/>
    <w:rsid w:val="3D141F11"/>
    <w:rsid w:val="3D1453CA"/>
    <w:rsid w:val="3D1E06B7"/>
    <w:rsid w:val="3DA86409"/>
    <w:rsid w:val="3DD82F3F"/>
    <w:rsid w:val="3E3179C5"/>
    <w:rsid w:val="3E3B17BE"/>
    <w:rsid w:val="3E4B1963"/>
    <w:rsid w:val="3E5E340F"/>
    <w:rsid w:val="3E681174"/>
    <w:rsid w:val="3E89093D"/>
    <w:rsid w:val="3E8E69DD"/>
    <w:rsid w:val="3E9C5854"/>
    <w:rsid w:val="3EB5252E"/>
    <w:rsid w:val="3EB63B64"/>
    <w:rsid w:val="3EBB054B"/>
    <w:rsid w:val="3EBF7C5B"/>
    <w:rsid w:val="3EDA0523"/>
    <w:rsid w:val="3F1B7587"/>
    <w:rsid w:val="3F1F7353"/>
    <w:rsid w:val="3F37634E"/>
    <w:rsid w:val="3F602105"/>
    <w:rsid w:val="3F676C94"/>
    <w:rsid w:val="3F817F5D"/>
    <w:rsid w:val="3F8E1B07"/>
    <w:rsid w:val="3F932E89"/>
    <w:rsid w:val="3F9C1BDA"/>
    <w:rsid w:val="3FA1670B"/>
    <w:rsid w:val="3FC43F9E"/>
    <w:rsid w:val="3FD80FD4"/>
    <w:rsid w:val="3FD87356"/>
    <w:rsid w:val="3FE614E6"/>
    <w:rsid w:val="3FE94A2A"/>
    <w:rsid w:val="40000401"/>
    <w:rsid w:val="400810FD"/>
    <w:rsid w:val="40346FDA"/>
    <w:rsid w:val="403C6425"/>
    <w:rsid w:val="407A208B"/>
    <w:rsid w:val="407A6407"/>
    <w:rsid w:val="40880C4C"/>
    <w:rsid w:val="40AC5688"/>
    <w:rsid w:val="40CF687B"/>
    <w:rsid w:val="40ED7946"/>
    <w:rsid w:val="40F12DD3"/>
    <w:rsid w:val="40F85406"/>
    <w:rsid w:val="413606A8"/>
    <w:rsid w:val="413E74F0"/>
    <w:rsid w:val="4142677B"/>
    <w:rsid w:val="414C7B11"/>
    <w:rsid w:val="414E2922"/>
    <w:rsid w:val="416C231C"/>
    <w:rsid w:val="416D1BF0"/>
    <w:rsid w:val="4200449D"/>
    <w:rsid w:val="423A3BCC"/>
    <w:rsid w:val="423F7B2F"/>
    <w:rsid w:val="42437045"/>
    <w:rsid w:val="424E57D2"/>
    <w:rsid w:val="424E5EBB"/>
    <w:rsid w:val="426046D1"/>
    <w:rsid w:val="426128A2"/>
    <w:rsid w:val="42B26C49"/>
    <w:rsid w:val="42BE177B"/>
    <w:rsid w:val="42C43E09"/>
    <w:rsid w:val="42DE4EC8"/>
    <w:rsid w:val="42DE6391"/>
    <w:rsid w:val="42E51336"/>
    <w:rsid w:val="42E57768"/>
    <w:rsid w:val="43074987"/>
    <w:rsid w:val="433A6FE6"/>
    <w:rsid w:val="43413334"/>
    <w:rsid w:val="43480868"/>
    <w:rsid w:val="4350713C"/>
    <w:rsid w:val="436653E0"/>
    <w:rsid w:val="43721740"/>
    <w:rsid w:val="43853AE8"/>
    <w:rsid w:val="439671DC"/>
    <w:rsid w:val="43A50D2D"/>
    <w:rsid w:val="43C31F9B"/>
    <w:rsid w:val="43C4431A"/>
    <w:rsid w:val="43F477AB"/>
    <w:rsid w:val="43FD4086"/>
    <w:rsid w:val="445D489D"/>
    <w:rsid w:val="448C7AFB"/>
    <w:rsid w:val="449A7EB1"/>
    <w:rsid w:val="44B87326"/>
    <w:rsid w:val="44B951CC"/>
    <w:rsid w:val="44CD14E0"/>
    <w:rsid w:val="44F20B0B"/>
    <w:rsid w:val="44F93EC7"/>
    <w:rsid w:val="45143D9B"/>
    <w:rsid w:val="451E548F"/>
    <w:rsid w:val="452E5F4C"/>
    <w:rsid w:val="452F78E8"/>
    <w:rsid w:val="453D0C3C"/>
    <w:rsid w:val="454F3A6D"/>
    <w:rsid w:val="45501C28"/>
    <w:rsid w:val="45612018"/>
    <w:rsid w:val="45751655"/>
    <w:rsid w:val="458946E9"/>
    <w:rsid w:val="458948BA"/>
    <w:rsid w:val="459512B0"/>
    <w:rsid w:val="459F77C8"/>
    <w:rsid w:val="45A47C0E"/>
    <w:rsid w:val="45C5024D"/>
    <w:rsid w:val="45D64656"/>
    <w:rsid w:val="45F240C8"/>
    <w:rsid w:val="45F5360E"/>
    <w:rsid w:val="45F74A92"/>
    <w:rsid w:val="461229C6"/>
    <w:rsid w:val="461E53A0"/>
    <w:rsid w:val="461F5BAF"/>
    <w:rsid w:val="46211956"/>
    <w:rsid w:val="46401D05"/>
    <w:rsid w:val="464C0354"/>
    <w:rsid w:val="46577FD6"/>
    <w:rsid w:val="46AA485D"/>
    <w:rsid w:val="46BD16A1"/>
    <w:rsid w:val="46D955A7"/>
    <w:rsid w:val="46F865B9"/>
    <w:rsid w:val="46FD74EF"/>
    <w:rsid w:val="47133957"/>
    <w:rsid w:val="474B0EB8"/>
    <w:rsid w:val="476E7EA5"/>
    <w:rsid w:val="477E7120"/>
    <w:rsid w:val="478E4F8F"/>
    <w:rsid w:val="47A07E0C"/>
    <w:rsid w:val="47D70978"/>
    <w:rsid w:val="47F22F5B"/>
    <w:rsid w:val="480155F8"/>
    <w:rsid w:val="4812529F"/>
    <w:rsid w:val="48213971"/>
    <w:rsid w:val="482575D3"/>
    <w:rsid w:val="4826197A"/>
    <w:rsid w:val="482C6B18"/>
    <w:rsid w:val="48451C59"/>
    <w:rsid w:val="48472149"/>
    <w:rsid w:val="48502A6C"/>
    <w:rsid w:val="485E68C6"/>
    <w:rsid w:val="48644951"/>
    <w:rsid w:val="4870272E"/>
    <w:rsid w:val="488F2435"/>
    <w:rsid w:val="489B2FC5"/>
    <w:rsid w:val="48D63023"/>
    <w:rsid w:val="48FC3F85"/>
    <w:rsid w:val="490A43F1"/>
    <w:rsid w:val="49162A3B"/>
    <w:rsid w:val="49293FC3"/>
    <w:rsid w:val="495161E4"/>
    <w:rsid w:val="49720310"/>
    <w:rsid w:val="498A4BEA"/>
    <w:rsid w:val="49C30FC5"/>
    <w:rsid w:val="49DC7715"/>
    <w:rsid w:val="4A023139"/>
    <w:rsid w:val="4A0E38DD"/>
    <w:rsid w:val="4A231619"/>
    <w:rsid w:val="4A50714D"/>
    <w:rsid w:val="4A7B576F"/>
    <w:rsid w:val="4A82495E"/>
    <w:rsid w:val="4A977AF4"/>
    <w:rsid w:val="4A9A19F3"/>
    <w:rsid w:val="4ACC02BF"/>
    <w:rsid w:val="4AF561A9"/>
    <w:rsid w:val="4B1968A0"/>
    <w:rsid w:val="4B233943"/>
    <w:rsid w:val="4B313C65"/>
    <w:rsid w:val="4B546779"/>
    <w:rsid w:val="4B5869F7"/>
    <w:rsid w:val="4B5B22F5"/>
    <w:rsid w:val="4B77144E"/>
    <w:rsid w:val="4B8D5998"/>
    <w:rsid w:val="4B912DE5"/>
    <w:rsid w:val="4B9B321A"/>
    <w:rsid w:val="4BA7036F"/>
    <w:rsid w:val="4BC048ED"/>
    <w:rsid w:val="4BCE4FFB"/>
    <w:rsid w:val="4BE92324"/>
    <w:rsid w:val="4BEB1853"/>
    <w:rsid w:val="4C1D357D"/>
    <w:rsid w:val="4C304C0E"/>
    <w:rsid w:val="4C3B6173"/>
    <w:rsid w:val="4C4A0649"/>
    <w:rsid w:val="4C54657E"/>
    <w:rsid w:val="4C787DC7"/>
    <w:rsid w:val="4C7E5ECA"/>
    <w:rsid w:val="4C81595C"/>
    <w:rsid w:val="4C876AA5"/>
    <w:rsid w:val="4CB50E8A"/>
    <w:rsid w:val="4CF22876"/>
    <w:rsid w:val="4D0E00FB"/>
    <w:rsid w:val="4D176606"/>
    <w:rsid w:val="4D387FD7"/>
    <w:rsid w:val="4D3A32CE"/>
    <w:rsid w:val="4D3B0E94"/>
    <w:rsid w:val="4D461C73"/>
    <w:rsid w:val="4D7D0266"/>
    <w:rsid w:val="4DCE7639"/>
    <w:rsid w:val="4DEC4FB0"/>
    <w:rsid w:val="4DF65BB8"/>
    <w:rsid w:val="4DFE65D1"/>
    <w:rsid w:val="4E075D8A"/>
    <w:rsid w:val="4E0B3A8B"/>
    <w:rsid w:val="4E186D72"/>
    <w:rsid w:val="4E213ADE"/>
    <w:rsid w:val="4E5412E9"/>
    <w:rsid w:val="4E6509DC"/>
    <w:rsid w:val="4E6763F6"/>
    <w:rsid w:val="4E85343E"/>
    <w:rsid w:val="4E896D65"/>
    <w:rsid w:val="4E9F7B1B"/>
    <w:rsid w:val="4EB64BD7"/>
    <w:rsid w:val="4EC00FAD"/>
    <w:rsid w:val="4EE85F7F"/>
    <w:rsid w:val="4EF456FF"/>
    <w:rsid w:val="4F094715"/>
    <w:rsid w:val="4F1C7409"/>
    <w:rsid w:val="4F2D1BFB"/>
    <w:rsid w:val="4F4613EF"/>
    <w:rsid w:val="4F4D7134"/>
    <w:rsid w:val="4F574230"/>
    <w:rsid w:val="4F6507CC"/>
    <w:rsid w:val="4F7C34EB"/>
    <w:rsid w:val="4F7D3946"/>
    <w:rsid w:val="4F9843DC"/>
    <w:rsid w:val="4FC21217"/>
    <w:rsid w:val="4FC62A8C"/>
    <w:rsid w:val="4FCE551B"/>
    <w:rsid w:val="4FE20F0D"/>
    <w:rsid w:val="4FE51552"/>
    <w:rsid w:val="500D0591"/>
    <w:rsid w:val="50200886"/>
    <w:rsid w:val="50504C4B"/>
    <w:rsid w:val="50785A25"/>
    <w:rsid w:val="507B7E86"/>
    <w:rsid w:val="509C6E7C"/>
    <w:rsid w:val="50A77AB1"/>
    <w:rsid w:val="50AA2519"/>
    <w:rsid w:val="50AF0755"/>
    <w:rsid w:val="50CD0CFD"/>
    <w:rsid w:val="50D650BC"/>
    <w:rsid w:val="50D8660D"/>
    <w:rsid w:val="51007ABC"/>
    <w:rsid w:val="51483A43"/>
    <w:rsid w:val="514A0D31"/>
    <w:rsid w:val="515C0C2B"/>
    <w:rsid w:val="515E50B1"/>
    <w:rsid w:val="5162104E"/>
    <w:rsid w:val="51847733"/>
    <w:rsid w:val="51861420"/>
    <w:rsid w:val="51895328"/>
    <w:rsid w:val="518B07A1"/>
    <w:rsid w:val="51AE0F7B"/>
    <w:rsid w:val="51B170EF"/>
    <w:rsid w:val="51C22CB3"/>
    <w:rsid w:val="51DD247A"/>
    <w:rsid w:val="520C6F86"/>
    <w:rsid w:val="521E4111"/>
    <w:rsid w:val="52375227"/>
    <w:rsid w:val="524735A0"/>
    <w:rsid w:val="52584ACF"/>
    <w:rsid w:val="525A6914"/>
    <w:rsid w:val="52746ABA"/>
    <w:rsid w:val="52B82A7D"/>
    <w:rsid w:val="52BC1977"/>
    <w:rsid w:val="52C32770"/>
    <w:rsid w:val="52CA7D2F"/>
    <w:rsid w:val="5314011E"/>
    <w:rsid w:val="53657E81"/>
    <w:rsid w:val="537D05D3"/>
    <w:rsid w:val="5386371E"/>
    <w:rsid w:val="539F4A65"/>
    <w:rsid w:val="53A039CC"/>
    <w:rsid w:val="53A1505A"/>
    <w:rsid w:val="53B60FE2"/>
    <w:rsid w:val="53E554FF"/>
    <w:rsid w:val="53F92DE6"/>
    <w:rsid w:val="53FA0505"/>
    <w:rsid w:val="54063E08"/>
    <w:rsid w:val="54280340"/>
    <w:rsid w:val="542A65CC"/>
    <w:rsid w:val="543437E8"/>
    <w:rsid w:val="54C27686"/>
    <w:rsid w:val="54C941E7"/>
    <w:rsid w:val="54D9517B"/>
    <w:rsid w:val="54DE5165"/>
    <w:rsid w:val="54F73313"/>
    <w:rsid w:val="54F80955"/>
    <w:rsid w:val="55057D15"/>
    <w:rsid w:val="551B0596"/>
    <w:rsid w:val="553B4971"/>
    <w:rsid w:val="555170A7"/>
    <w:rsid w:val="55664CA0"/>
    <w:rsid w:val="5587536D"/>
    <w:rsid w:val="559B174B"/>
    <w:rsid w:val="55CE0CF4"/>
    <w:rsid w:val="55E372D0"/>
    <w:rsid w:val="55EA175E"/>
    <w:rsid w:val="561F5A43"/>
    <w:rsid w:val="5641661F"/>
    <w:rsid w:val="564B3E56"/>
    <w:rsid w:val="565430EE"/>
    <w:rsid w:val="568023CE"/>
    <w:rsid w:val="56834D86"/>
    <w:rsid w:val="568F6618"/>
    <w:rsid w:val="569B0EF6"/>
    <w:rsid w:val="56A175B6"/>
    <w:rsid w:val="56AF221C"/>
    <w:rsid w:val="56B22A9C"/>
    <w:rsid w:val="56B765D4"/>
    <w:rsid w:val="56C360E3"/>
    <w:rsid w:val="56C67981"/>
    <w:rsid w:val="56D23B8E"/>
    <w:rsid w:val="56D7002C"/>
    <w:rsid w:val="570F30D6"/>
    <w:rsid w:val="57122353"/>
    <w:rsid w:val="57640117"/>
    <w:rsid w:val="57750351"/>
    <w:rsid w:val="57A05E75"/>
    <w:rsid w:val="57B16462"/>
    <w:rsid w:val="57B72A76"/>
    <w:rsid w:val="57B751DD"/>
    <w:rsid w:val="57BE5621"/>
    <w:rsid w:val="57C3426C"/>
    <w:rsid w:val="57CE1F93"/>
    <w:rsid w:val="57F6408F"/>
    <w:rsid w:val="57FE1F46"/>
    <w:rsid w:val="580204FB"/>
    <w:rsid w:val="583A242E"/>
    <w:rsid w:val="5842734C"/>
    <w:rsid w:val="584B6950"/>
    <w:rsid w:val="587A4AF5"/>
    <w:rsid w:val="588743D1"/>
    <w:rsid w:val="5887701A"/>
    <w:rsid w:val="58B46018"/>
    <w:rsid w:val="58BA31A8"/>
    <w:rsid w:val="58D54F61"/>
    <w:rsid w:val="58E01D50"/>
    <w:rsid w:val="58F81DE4"/>
    <w:rsid w:val="59012EE2"/>
    <w:rsid w:val="590D360B"/>
    <w:rsid w:val="59122998"/>
    <w:rsid w:val="59311AC9"/>
    <w:rsid w:val="593E09A4"/>
    <w:rsid w:val="59553419"/>
    <w:rsid w:val="598451B2"/>
    <w:rsid w:val="599C2C1B"/>
    <w:rsid w:val="599D3CB1"/>
    <w:rsid w:val="59C0439F"/>
    <w:rsid w:val="5A0A61CB"/>
    <w:rsid w:val="5A32798D"/>
    <w:rsid w:val="5A386DE8"/>
    <w:rsid w:val="5A59613E"/>
    <w:rsid w:val="5A7D277F"/>
    <w:rsid w:val="5AA771E8"/>
    <w:rsid w:val="5AB00179"/>
    <w:rsid w:val="5ABE2233"/>
    <w:rsid w:val="5AD05AB2"/>
    <w:rsid w:val="5AE4467A"/>
    <w:rsid w:val="5AE90357"/>
    <w:rsid w:val="5AFC3344"/>
    <w:rsid w:val="5B092532"/>
    <w:rsid w:val="5B446B17"/>
    <w:rsid w:val="5B6643C2"/>
    <w:rsid w:val="5B7308B2"/>
    <w:rsid w:val="5BDF5D95"/>
    <w:rsid w:val="5BFE7528"/>
    <w:rsid w:val="5BFF35B2"/>
    <w:rsid w:val="5C0B22FD"/>
    <w:rsid w:val="5C3D2C54"/>
    <w:rsid w:val="5C452A98"/>
    <w:rsid w:val="5C7506B5"/>
    <w:rsid w:val="5C8A2E65"/>
    <w:rsid w:val="5CCA2130"/>
    <w:rsid w:val="5CEF2EA3"/>
    <w:rsid w:val="5CF80AB0"/>
    <w:rsid w:val="5CF93AE0"/>
    <w:rsid w:val="5D226E8E"/>
    <w:rsid w:val="5D577584"/>
    <w:rsid w:val="5D6B05A0"/>
    <w:rsid w:val="5D701E0E"/>
    <w:rsid w:val="5DA92DF2"/>
    <w:rsid w:val="5DE026E5"/>
    <w:rsid w:val="5DE33918"/>
    <w:rsid w:val="5DF77954"/>
    <w:rsid w:val="5E1B4A56"/>
    <w:rsid w:val="5E1F7B7F"/>
    <w:rsid w:val="5E2467F1"/>
    <w:rsid w:val="5E272CB2"/>
    <w:rsid w:val="5E4C06A1"/>
    <w:rsid w:val="5E59732C"/>
    <w:rsid w:val="5E746D3A"/>
    <w:rsid w:val="5E7C3B11"/>
    <w:rsid w:val="5EAA1E06"/>
    <w:rsid w:val="5EAE36F8"/>
    <w:rsid w:val="5EB02D17"/>
    <w:rsid w:val="5ED25E09"/>
    <w:rsid w:val="5F140D13"/>
    <w:rsid w:val="5F1A2B43"/>
    <w:rsid w:val="5F1C4921"/>
    <w:rsid w:val="5F2B2A67"/>
    <w:rsid w:val="5F3039A8"/>
    <w:rsid w:val="5F345C7C"/>
    <w:rsid w:val="5F413A11"/>
    <w:rsid w:val="5FB16B5C"/>
    <w:rsid w:val="5FB837BB"/>
    <w:rsid w:val="5FC72117"/>
    <w:rsid w:val="5FD10F83"/>
    <w:rsid w:val="5FE0237E"/>
    <w:rsid w:val="5FE555FE"/>
    <w:rsid w:val="5FEB6DC3"/>
    <w:rsid w:val="5FF673D3"/>
    <w:rsid w:val="5FFA0B4A"/>
    <w:rsid w:val="6017124D"/>
    <w:rsid w:val="602665C2"/>
    <w:rsid w:val="60281F46"/>
    <w:rsid w:val="602F339F"/>
    <w:rsid w:val="606E3305"/>
    <w:rsid w:val="60874625"/>
    <w:rsid w:val="60B3060E"/>
    <w:rsid w:val="60BA4FCF"/>
    <w:rsid w:val="60C06FE4"/>
    <w:rsid w:val="60C4768D"/>
    <w:rsid w:val="60CC405A"/>
    <w:rsid w:val="60CE7C1E"/>
    <w:rsid w:val="60DC5083"/>
    <w:rsid w:val="61045FA8"/>
    <w:rsid w:val="611636E3"/>
    <w:rsid w:val="611875C4"/>
    <w:rsid w:val="6130318F"/>
    <w:rsid w:val="616731FF"/>
    <w:rsid w:val="619D0D81"/>
    <w:rsid w:val="61AE77BD"/>
    <w:rsid w:val="61C7205C"/>
    <w:rsid w:val="61C9582A"/>
    <w:rsid w:val="61DC0DBB"/>
    <w:rsid w:val="61E215D8"/>
    <w:rsid w:val="62186F24"/>
    <w:rsid w:val="621B3775"/>
    <w:rsid w:val="622F7391"/>
    <w:rsid w:val="62364782"/>
    <w:rsid w:val="624102C9"/>
    <w:rsid w:val="624A1848"/>
    <w:rsid w:val="626253CB"/>
    <w:rsid w:val="629B48E4"/>
    <w:rsid w:val="62D2018E"/>
    <w:rsid w:val="62D43425"/>
    <w:rsid w:val="62EB22C1"/>
    <w:rsid w:val="63037730"/>
    <w:rsid w:val="633F5D5E"/>
    <w:rsid w:val="63454497"/>
    <w:rsid w:val="6347302F"/>
    <w:rsid w:val="634C0410"/>
    <w:rsid w:val="634E4F86"/>
    <w:rsid w:val="6364121F"/>
    <w:rsid w:val="6394356A"/>
    <w:rsid w:val="63C61B2C"/>
    <w:rsid w:val="63D40BE9"/>
    <w:rsid w:val="63E34066"/>
    <w:rsid w:val="640078C1"/>
    <w:rsid w:val="640B6A15"/>
    <w:rsid w:val="64102431"/>
    <w:rsid w:val="64514F98"/>
    <w:rsid w:val="645B3955"/>
    <w:rsid w:val="646309F3"/>
    <w:rsid w:val="649B244D"/>
    <w:rsid w:val="64A5243A"/>
    <w:rsid w:val="64CB50A1"/>
    <w:rsid w:val="64D11BF8"/>
    <w:rsid w:val="64E53367"/>
    <w:rsid w:val="64F531DE"/>
    <w:rsid w:val="65373578"/>
    <w:rsid w:val="655962D4"/>
    <w:rsid w:val="65B361CD"/>
    <w:rsid w:val="65DB0FD5"/>
    <w:rsid w:val="65E80EE1"/>
    <w:rsid w:val="65EB2226"/>
    <w:rsid w:val="65F00696"/>
    <w:rsid w:val="65FE0EE5"/>
    <w:rsid w:val="65FE11E4"/>
    <w:rsid w:val="66042274"/>
    <w:rsid w:val="663A03D0"/>
    <w:rsid w:val="66623201"/>
    <w:rsid w:val="66974E96"/>
    <w:rsid w:val="66B71094"/>
    <w:rsid w:val="66C25F16"/>
    <w:rsid w:val="66DD3745"/>
    <w:rsid w:val="671167AB"/>
    <w:rsid w:val="671A0269"/>
    <w:rsid w:val="671F124A"/>
    <w:rsid w:val="672222F5"/>
    <w:rsid w:val="675E2DD0"/>
    <w:rsid w:val="67762F58"/>
    <w:rsid w:val="677A33C6"/>
    <w:rsid w:val="677E5A73"/>
    <w:rsid w:val="6784366C"/>
    <w:rsid w:val="67CB5F23"/>
    <w:rsid w:val="67D11E1C"/>
    <w:rsid w:val="67FD2528"/>
    <w:rsid w:val="68107930"/>
    <w:rsid w:val="68147702"/>
    <w:rsid w:val="681976D6"/>
    <w:rsid w:val="681F6961"/>
    <w:rsid w:val="68226058"/>
    <w:rsid w:val="685017A0"/>
    <w:rsid w:val="68610A2F"/>
    <w:rsid w:val="686A1007"/>
    <w:rsid w:val="687F7C30"/>
    <w:rsid w:val="68805514"/>
    <w:rsid w:val="68895CD8"/>
    <w:rsid w:val="689C2C37"/>
    <w:rsid w:val="68CA3301"/>
    <w:rsid w:val="68E17113"/>
    <w:rsid w:val="68E5007B"/>
    <w:rsid w:val="68E839CD"/>
    <w:rsid w:val="68E92A97"/>
    <w:rsid w:val="68EF356A"/>
    <w:rsid w:val="69046DAA"/>
    <w:rsid w:val="69301CF8"/>
    <w:rsid w:val="69316E2F"/>
    <w:rsid w:val="69380883"/>
    <w:rsid w:val="693D5B5D"/>
    <w:rsid w:val="694E2071"/>
    <w:rsid w:val="695E1C9B"/>
    <w:rsid w:val="69604496"/>
    <w:rsid w:val="69766163"/>
    <w:rsid w:val="697A0104"/>
    <w:rsid w:val="697A3B33"/>
    <w:rsid w:val="69802EAF"/>
    <w:rsid w:val="699F0F1C"/>
    <w:rsid w:val="69AA6F69"/>
    <w:rsid w:val="69CB1E83"/>
    <w:rsid w:val="69D03AE0"/>
    <w:rsid w:val="69D44760"/>
    <w:rsid w:val="69FA5E67"/>
    <w:rsid w:val="6A0467A1"/>
    <w:rsid w:val="6A272534"/>
    <w:rsid w:val="6A2B34E5"/>
    <w:rsid w:val="6A520EC7"/>
    <w:rsid w:val="6A5426C9"/>
    <w:rsid w:val="6A8B4D12"/>
    <w:rsid w:val="6A8D4E45"/>
    <w:rsid w:val="6AAA06CB"/>
    <w:rsid w:val="6ABF7284"/>
    <w:rsid w:val="6AC11644"/>
    <w:rsid w:val="6AF65873"/>
    <w:rsid w:val="6AF87E20"/>
    <w:rsid w:val="6AFA053B"/>
    <w:rsid w:val="6B0D3978"/>
    <w:rsid w:val="6B1629BF"/>
    <w:rsid w:val="6B1C759F"/>
    <w:rsid w:val="6B295AEC"/>
    <w:rsid w:val="6B2A6AEE"/>
    <w:rsid w:val="6B322639"/>
    <w:rsid w:val="6B370A70"/>
    <w:rsid w:val="6B3A492F"/>
    <w:rsid w:val="6B3B2294"/>
    <w:rsid w:val="6B714433"/>
    <w:rsid w:val="6B915518"/>
    <w:rsid w:val="6BA473D0"/>
    <w:rsid w:val="6BB31682"/>
    <w:rsid w:val="6BDA567E"/>
    <w:rsid w:val="6BFE31B1"/>
    <w:rsid w:val="6C18706A"/>
    <w:rsid w:val="6C2C1B05"/>
    <w:rsid w:val="6C636C38"/>
    <w:rsid w:val="6C6A1536"/>
    <w:rsid w:val="6C771B30"/>
    <w:rsid w:val="6C7964CA"/>
    <w:rsid w:val="6C893A34"/>
    <w:rsid w:val="6C934836"/>
    <w:rsid w:val="6C952AD0"/>
    <w:rsid w:val="6C9C1458"/>
    <w:rsid w:val="6C9F3E65"/>
    <w:rsid w:val="6CA8595D"/>
    <w:rsid w:val="6D2037FA"/>
    <w:rsid w:val="6D4802F7"/>
    <w:rsid w:val="6D695BCC"/>
    <w:rsid w:val="6D74423D"/>
    <w:rsid w:val="6D897F54"/>
    <w:rsid w:val="6D8E48E5"/>
    <w:rsid w:val="6D995997"/>
    <w:rsid w:val="6DB27C42"/>
    <w:rsid w:val="6DB34098"/>
    <w:rsid w:val="6DB545B6"/>
    <w:rsid w:val="6DCA2CDB"/>
    <w:rsid w:val="6DE02FB4"/>
    <w:rsid w:val="6E514CED"/>
    <w:rsid w:val="6E5875EF"/>
    <w:rsid w:val="6E895A0C"/>
    <w:rsid w:val="6E96272A"/>
    <w:rsid w:val="6EA840E4"/>
    <w:rsid w:val="6EB563D5"/>
    <w:rsid w:val="6EB83BFB"/>
    <w:rsid w:val="6EBC36EB"/>
    <w:rsid w:val="6EC6461E"/>
    <w:rsid w:val="6ECD1BD1"/>
    <w:rsid w:val="6ED92677"/>
    <w:rsid w:val="6EED19ED"/>
    <w:rsid w:val="6F073B1D"/>
    <w:rsid w:val="6F080748"/>
    <w:rsid w:val="6F225983"/>
    <w:rsid w:val="6F433C72"/>
    <w:rsid w:val="6F533BC0"/>
    <w:rsid w:val="6F696583"/>
    <w:rsid w:val="6FDC5118"/>
    <w:rsid w:val="6FE65417"/>
    <w:rsid w:val="6FFC5590"/>
    <w:rsid w:val="70020F8C"/>
    <w:rsid w:val="705F6A24"/>
    <w:rsid w:val="706D1DD0"/>
    <w:rsid w:val="70856B87"/>
    <w:rsid w:val="70A628A5"/>
    <w:rsid w:val="70AB487B"/>
    <w:rsid w:val="70D527EE"/>
    <w:rsid w:val="70E71095"/>
    <w:rsid w:val="71080257"/>
    <w:rsid w:val="7111232C"/>
    <w:rsid w:val="71133E83"/>
    <w:rsid w:val="711E068D"/>
    <w:rsid w:val="71327FEE"/>
    <w:rsid w:val="713325D5"/>
    <w:rsid w:val="7148395C"/>
    <w:rsid w:val="715B5300"/>
    <w:rsid w:val="71760254"/>
    <w:rsid w:val="71770BD0"/>
    <w:rsid w:val="71912AF9"/>
    <w:rsid w:val="71AB1765"/>
    <w:rsid w:val="71C825EB"/>
    <w:rsid w:val="71D21478"/>
    <w:rsid w:val="71D258E4"/>
    <w:rsid w:val="71D27F8A"/>
    <w:rsid w:val="71DE5D23"/>
    <w:rsid w:val="71FF6CE1"/>
    <w:rsid w:val="72185B19"/>
    <w:rsid w:val="721E2F66"/>
    <w:rsid w:val="72200435"/>
    <w:rsid w:val="72343EE1"/>
    <w:rsid w:val="72350A6B"/>
    <w:rsid w:val="7239220A"/>
    <w:rsid w:val="724C7C4B"/>
    <w:rsid w:val="72553024"/>
    <w:rsid w:val="72556A39"/>
    <w:rsid w:val="726F3EC8"/>
    <w:rsid w:val="72734CAD"/>
    <w:rsid w:val="727A5F4A"/>
    <w:rsid w:val="728A64FA"/>
    <w:rsid w:val="72924ED0"/>
    <w:rsid w:val="729E7178"/>
    <w:rsid w:val="72D6511D"/>
    <w:rsid w:val="72E90827"/>
    <w:rsid w:val="72F77848"/>
    <w:rsid w:val="72FC67AC"/>
    <w:rsid w:val="7306587D"/>
    <w:rsid w:val="73122968"/>
    <w:rsid w:val="731F5D5E"/>
    <w:rsid w:val="7338355D"/>
    <w:rsid w:val="73412F84"/>
    <w:rsid w:val="73911760"/>
    <w:rsid w:val="739B1C48"/>
    <w:rsid w:val="73A3093B"/>
    <w:rsid w:val="73AA3A48"/>
    <w:rsid w:val="73AF6EB5"/>
    <w:rsid w:val="73B650B4"/>
    <w:rsid w:val="73C51AD5"/>
    <w:rsid w:val="73E12677"/>
    <w:rsid w:val="74092D09"/>
    <w:rsid w:val="740B7B88"/>
    <w:rsid w:val="741E793C"/>
    <w:rsid w:val="745E3944"/>
    <w:rsid w:val="74FF7610"/>
    <w:rsid w:val="753775F6"/>
    <w:rsid w:val="7547389E"/>
    <w:rsid w:val="75573F7C"/>
    <w:rsid w:val="756D3991"/>
    <w:rsid w:val="756D4562"/>
    <w:rsid w:val="757917FC"/>
    <w:rsid w:val="757E4C6E"/>
    <w:rsid w:val="75FD0A92"/>
    <w:rsid w:val="75FD1B7B"/>
    <w:rsid w:val="75FE2420"/>
    <w:rsid w:val="760B33DA"/>
    <w:rsid w:val="760B3898"/>
    <w:rsid w:val="76130483"/>
    <w:rsid w:val="7635099D"/>
    <w:rsid w:val="7652392C"/>
    <w:rsid w:val="765E39D7"/>
    <w:rsid w:val="766625DE"/>
    <w:rsid w:val="767B404B"/>
    <w:rsid w:val="769B21B8"/>
    <w:rsid w:val="76BB17C2"/>
    <w:rsid w:val="76E7201A"/>
    <w:rsid w:val="76F37EC6"/>
    <w:rsid w:val="77040325"/>
    <w:rsid w:val="77462732"/>
    <w:rsid w:val="77762421"/>
    <w:rsid w:val="77825CA8"/>
    <w:rsid w:val="7785697E"/>
    <w:rsid w:val="779E454A"/>
    <w:rsid w:val="77A12A15"/>
    <w:rsid w:val="77AB369B"/>
    <w:rsid w:val="77B21B30"/>
    <w:rsid w:val="77B56B1F"/>
    <w:rsid w:val="780F09F4"/>
    <w:rsid w:val="781B757F"/>
    <w:rsid w:val="783759ED"/>
    <w:rsid w:val="784D34AB"/>
    <w:rsid w:val="78623F44"/>
    <w:rsid w:val="78686282"/>
    <w:rsid w:val="78781619"/>
    <w:rsid w:val="78902C48"/>
    <w:rsid w:val="78A90480"/>
    <w:rsid w:val="78C24508"/>
    <w:rsid w:val="78DE70AD"/>
    <w:rsid w:val="790C1C51"/>
    <w:rsid w:val="791C6B6B"/>
    <w:rsid w:val="792320B3"/>
    <w:rsid w:val="792A5535"/>
    <w:rsid w:val="793B00CF"/>
    <w:rsid w:val="79431DDE"/>
    <w:rsid w:val="79433B6C"/>
    <w:rsid w:val="79474C81"/>
    <w:rsid w:val="795E5322"/>
    <w:rsid w:val="79BA012E"/>
    <w:rsid w:val="79D66040"/>
    <w:rsid w:val="79D9318B"/>
    <w:rsid w:val="79DA29EE"/>
    <w:rsid w:val="79F3010C"/>
    <w:rsid w:val="7A364017"/>
    <w:rsid w:val="7A5B6593"/>
    <w:rsid w:val="7A8265E1"/>
    <w:rsid w:val="7A9D668D"/>
    <w:rsid w:val="7AA010A7"/>
    <w:rsid w:val="7AB3115A"/>
    <w:rsid w:val="7AE26A6F"/>
    <w:rsid w:val="7AE33F98"/>
    <w:rsid w:val="7B6312FE"/>
    <w:rsid w:val="7B686D42"/>
    <w:rsid w:val="7B841746"/>
    <w:rsid w:val="7B8621B9"/>
    <w:rsid w:val="7B9026A2"/>
    <w:rsid w:val="7BB111FF"/>
    <w:rsid w:val="7BB46920"/>
    <w:rsid w:val="7BCA5E34"/>
    <w:rsid w:val="7BCB3F31"/>
    <w:rsid w:val="7C012F5C"/>
    <w:rsid w:val="7C103517"/>
    <w:rsid w:val="7C480CB4"/>
    <w:rsid w:val="7C574A54"/>
    <w:rsid w:val="7C6C5AC7"/>
    <w:rsid w:val="7CC6544B"/>
    <w:rsid w:val="7CCF385A"/>
    <w:rsid w:val="7CF3235F"/>
    <w:rsid w:val="7D0239FF"/>
    <w:rsid w:val="7D10648E"/>
    <w:rsid w:val="7D19510C"/>
    <w:rsid w:val="7D1E0041"/>
    <w:rsid w:val="7D44147C"/>
    <w:rsid w:val="7D512E40"/>
    <w:rsid w:val="7D5E40CD"/>
    <w:rsid w:val="7D800FA3"/>
    <w:rsid w:val="7DA72BEF"/>
    <w:rsid w:val="7DB17A88"/>
    <w:rsid w:val="7DCD56F2"/>
    <w:rsid w:val="7DDC406E"/>
    <w:rsid w:val="7DDD367E"/>
    <w:rsid w:val="7DEE54A3"/>
    <w:rsid w:val="7DF62F66"/>
    <w:rsid w:val="7E174D3C"/>
    <w:rsid w:val="7E205817"/>
    <w:rsid w:val="7E484F9C"/>
    <w:rsid w:val="7E586871"/>
    <w:rsid w:val="7E747B3F"/>
    <w:rsid w:val="7E8E6727"/>
    <w:rsid w:val="7EB31190"/>
    <w:rsid w:val="7EC14D79"/>
    <w:rsid w:val="7EE14385"/>
    <w:rsid w:val="7EED0F42"/>
    <w:rsid w:val="7F001CE7"/>
    <w:rsid w:val="7F256A84"/>
    <w:rsid w:val="7F5C0645"/>
    <w:rsid w:val="7F604B4C"/>
    <w:rsid w:val="7F7C48E8"/>
    <w:rsid w:val="7F7C692A"/>
    <w:rsid w:val="7F8C0EB8"/>
    <w:rsid w:val="7F8F0756"/>
    <w:rsid w:val="7FDC6858"/>
    <w:rsid w:val="7FE47E50"/>
    <w:rsid w:val="7FF674D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3"/>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unhideWhenUsed="0" w:uiPriority="0" w:semiHidden="0" w:name="toc 2" w:locked="1"/>
    <w:lsdException w:qFormat="1"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iPriority="0" w:semiHidden="0" w:name="Body Text First Indent 2" w:locked="1"/>
    <w:lsdException w:qFormat="1"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99" w:semiHidden="0" w:name="Body Text Indent 2" w:locked="1"/>
    <w:lsdException w:unhideWhenUsed="0" w:uiPriority="0" w:semiHidden="0" w:name="Body Text Indent 3" w:locked="1"/>
    <w:lsdException w:qFormat="1"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4"/>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locked/>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qFormat/>
    <w:locked/>
    <w:uiPriority w:val="0"/>
    <w:pPr>
      <w:keepNext/>
      <w:keepLines/>
      <w:numPr>
        <w:ilvl w:val="2"/>
        <w:numId w:val="1"/>
      </w:numPr>
      <w:tabs>
        <w:tab w:val="left" w:pos="420"/>
      </w:tabs>
      <w:spacing w:beforeLines="0" w:beforeAutospacing="0" w:afterLines="0" w:afterAutospacing="0" w:line="360" w:lineRule="auto"/>
      <w:ind w:left="720" w:hanging="720"/>
      <w:outlineLvl w:val="2"/>
    </w:pPr>
    <w:rPr>
      <w:rFonts w:ascii="Times New Roman" w:hAnsi="Times New Roman"/>
      <w:b/>
      <w:sz w:val="24"/>
      <w:szCs w:val="28"/>
    </w:rPr>
  </w:style>
  <w:style w:type="paragraph" w:styleId="5">
    <w:name w:val="heading 4"/>
    <w:basedOn w:val="1"/>
    <w:next w:val="1"/>
    <w:qFormat/>
    <w:locked/>
    <w:uiPriority w:val="0"/>
    <w:pPr>
      <w:keepNext/>
      <w:keepLines/>
      <w:spacing w:before="280" w:after="290" w:line="372" w:lineRule="auto"/>
      <w:outlineLvl w:val="3"/>
    </w:pPr>
    <w:rPr>
      <w:rFonts w:ascii="Arial" w:hAnsi="Arial" w:eastAsia="黑体"/>
      <w:b/>
      <w:sz w:val="28"/>
    </w:rPr>
  </w:style>
  <w:style w:type="character" w:default="1" w:styleId="27">
    <w:name w:val="Default Paragraph Font"/>
    <w:semiHidden/>
    <w:qFormat/>
    <w:uiPriority w:val="0"/>
  </w:style>
  <w:style w:type="table" w:default="1" w:styleId="25">
    <w:name w:val="Normal Table"/>
    <w:semiHidden/>
    <w:qFormat/>
    <w:uiPriority w:val="0"/>
    <w:tblPr>
      <w:tblCellMar>
        <w:top w:w="0" w:type="dxa"/>
        <w:left w:w="108" w:type="dxa"/>
        <w:bottom w:w="0" w:type="dxa"/>
        <w:right w:w="108" w:type="dxa"/>
      </w:tblCellMar>
    </w:tblPr>
  </w:style>
  <w:style w:type="paragraph" w:styleId="6">
    <w:name w:val="Note Heading"/>
    <w:basedOn w:val="1"/>
    <w:next w:val="1"/>
    <w:qFormat/>
    <w:locked/>
    <w:uiPriority w:val="0"/>
    <w:pPr>
      <w:adjustRightInd w:val="0"/>
      <w:snapToGrid w:val="0"/>
      <w:spacing w:line="320" w:lineRule="exact"/>
      <w:jc w:val="center"/>
    </w:pPr>
    <w:rPr>
      <w:rFonts w:ascii="Times New Roman" w:hAnsi="Times New Roman" w:eastAsia="宋体" w:cs="Times New Roman"/>
      <w:b/>
      <w:color w:val="000000"/>
      <w:szCs w:val="21"/>
    </w:rPr>
  </w:style>
  <w:style w:type="paragraph" w:styleId="7">
    <w:name w:val="Normal Indent"/>
    <w:basedOn w:val="1"/>
    <w:next w:val="1"/>
    <w:qFormat/>
    <w:locked/>
    <w:uiPriority w:val="0"/>
  </w:style>
  <w:style w:type="paragraph" w:styleId="8">
    <w:name w:val="caption"/>
    <w:basedOn w:val="1"/>
    <w:next w:val="1"/>
    <w:qFormat/>
    <w:locked/>
    <w:uiPriority w:val="0"/>
    <w:rPr>
      <w:rFonts w:ascii="Arial" w:hAnsi="Arial" w:eastAsia="黑体"/>
      <w:sz w:val="20"/>
    </w:rPr>
  </w:style>
  <w:style w:type="paragraph" w:styleId="9">
    <w:name w:val="annotation text"/>
    <w:basedOn w:val="1"/>
    <w:link w:val="36"/>
    <w:semiHidden/>
    <w:qFormat/>
    <w:uiPriority w:val="0"/>
    <w:pPr>
      <w:jc w:val="left"/>
    </w:pPr>
    <w:rPr>
      <w:kern w:val="0"/>
      <w:sz w:val="24"/>
      <w:szCs w:val="20"/>
    </w:rPr>
  </w:style>
  <w:style w:type="paragraph" w:styleId="10">
    <w:name w:val="Body Text"/>
    <w:basedOn w:val="1"/>
    <w:next w:val="1"/>
    <w:link w:val="35"/>
    <w:qFormat/>
    <w:uiPriority w:val="0"/>
    <w:pPr>
      <w:widowControl/>
      <w:snapToGrid w:val="0"/>
      <w:spacing w:before="60" w:after="160" w:line="259" w:lineRule="auto"/>
      <w:ind w:right="113"/>
    </w:pPr>
    <w:rPr>
      <w:kern w:val="0"/>
      <w:sz w:val="18"/>
      <w:szCs w:val="20"/>
    </w:rPr>
  </w:style>
  <w:style w:type="paragraph" w:styleId="11">
    <w:name w:val="Body Text Indent"/>
    <w:basedOn w:val="1"/>
    <w:next w:val="12"/>
    <w:link w:val="37"/>
    <w:qFormat/>
    <w:uiPriority w:val="0"/>
    <w:pPr>
      <w:spacing w:after="120"/>
      <w:ind w:left="420" w:leftChars="200"/>
    </w:pPr>
    <w:rPr>
      <w:kern w:val="0"/>
      <w:sz w:val="24"/>
      <w:szCs w:val="20"/>
    </w:rPr>
  </w:style>
  <w:style w:type="paragraph" w:styleId="12">
    <w:name w:val="header"/>
    <w:basedOn w:val="1"/>
    <w:next w:val="1"/>
    <w:link w:val="38"/>
    <w:qFormat/>
    <w:uiPriority w:val="0"/>
    <w:pPr>
      <w:pBdr>
        <w:bottom w:val="single" w:color="auto" w:sz="6" w:space="1"/>
      </w:pBdr>
      <w:tabs>
        <w:tab w:val="center" w:pos="4153"/>
        <w:tab w:val="right" w:pos="8306"/>
      </w:tabs>
      <w:snapToGrid w:val="0"/>
      <w:jc w:val="center"/>
    </w:pPr>
    <w:rPr>
      <w:kern w:val="0"/>
      <w:sz w:val="18"/>
      <w:szCs w:val="20"/>
    </w:rPr>
  </w:style>
  <w:style w:type="paragraph" w:styleId="13">
    <w:name w:val="Block Text"/>
    <w:basedOn w:val="1"/>
    <w:next w:val="1"/>
    <w:qFormat/>
    <w:locked/>
    <w:uiPriority w:val="0"/>
    <w:pPr>
      <w:snapToGrid w:val="0"/>
      <w:spacing w:line="408" w:lineRule="auto"/>
      <w:ind w:left="-113" w:right="-510" w:firstLine="510"/>
    </w:pPr>
    <w:rPr>
      <w:sz w:val="24"/>
      <w:szCs w:val="20"/>
    </w:rPr>
  </w:style>
  <w:style w:type="paragraph" w:styleId="14">
    <w:name w:val="toc 3"/>
    <w:basedOn w:val="1"/>
    <w:next w:val="1"/>
    <w:qFormat/>
    <w:locked/>
    <w:uiPriority w:val="0"/>
    <w:pPr>
      <w:ind w:left="840" w:leftChars="400"/>
    </w:pPr>
  </w:style>
  <w:style w:type="paragraph" w:styleId="15">
    <w:name w:val="Plain Text"/>
    <w:basedOn w:val="1"/>
    <w:qFormat/>
    <w:locked/>
    <w:uiPriority w:val="0"/>
    <w:rPr>
      <w:rFonts w:ascii="宋体" w:hAnsi="Courier New" w:eastAsia="宋体"/>
      <w:kern w:val="2"/>
      <w:sz w:val="21"/>
      <w:lang w:val="en-US" w:eastAsia="zh-CN" w:bidi="ar-SA"/>
    </w:rPr>
  </w:style>
  <w:style w:type="paragraph" w:styleId="16">
    <w:name w:val="Date"/>
    <w:basedOn w:val="1"/>
    <w:next w:val="1"/>
    <w:link w:val="39"/>
    <w:qFormat/>
    <w:uiPriority w:val="0"/>
    <w:pPr>
      <w:ind w:left="100" w:leftChars="2500"/>
    </w:pPr>
    <w:rPr>
      <w:kern w:val="0"/>
      <w:sz w:val="24"/>
      <w:szCs w:val="20"/>
    </w:rPr>
  </w:style>
  <w:style w:type="paragraph" w:styleId="17">
    <w:name w:val="Body Text Indent 2"/>
    <w:basedOn w:val="1"/>
    <w:qFormat/>
    <w:locked/>
    <w:uiPriority w:val="99"/>
    <w:pPr>
      <w:spacing w:after="120" w:line="480" w:lineRule="auto"/>
      <w:ind w:left="420" w:leftChars="200"/>
    </w:pPr>
    <w:rPr>
      <w:rFonts w:ascii="宋体" w:hAnsi="PMingLiU"/>
      <w:kern w:val="2"/>
      <w:szCs w:val="24"/>
    </w:rPr>
  </w:style>
  <w:style w:type="paragraph" w:styleId="18">
    <w:name w:val="Balloon Text"/>
    <w:basedOn w:val="1"/>
    <w:link w:val="40"/>
    <w:semiHidden/>
    <w:qFormat/>
    <w:uiPriority w:val="0"/>
    <w:rPr>
      <w:kern w:val="0"/>
      <w:sz w:val="18"/>
      <w:szCs w:val="20"/>
    </w:rPr>
  </w:style>
  <w:style w:type="paragraph" w:styleId="19">
    <w:name w:val="footer"/>
    <w:basedOn w:val="1"/>
    <w:link w:val="41"/>
    <w:qFormat/>
    <w:uiPriority w:val="99"/>
    <w:pPr>
      <w:tabs>
        <w:tab w:val="center" w:pos="4153"/>
        <w:tab w:val="right" w:pos="8306"/>
      </w:tabs>
      <w:snapToGrid w:val="0"/>
      <w:jc w:val="left"/>
    </w:pPr>
    <w:rPr>
      <w:kern w:val="0"/>
      <w:sz w:val="18"/>
      <w:szCs w:val="20"/>
    </w:rPr>
  </w:style>
  <w:style w:type="paragraph" w:styleId="20">
    <w:name w:val="toc 1"/>
    <w:basedOn w:val="1"/>
    <w:next w:val="1"/>
    <w:qFormat/>
    <w:locked/>
    <w:uiPriority w:val="0"/>
  </w:style>
  <w:style w:type="paragraph" w:styleId="21">
    <w:name w:val="Normal (Web)"/>
    <w:basedOn w:val="1"/>
    <w:link w:val="42"/>
    <w:qFormat/>
    <w:uiPriority w:val="0"/>
    <w:pPr>
      <w:widowControl/>
      <w:spacing w:before="100" w:beforeAutospacing="1" w:after="100" w:afterAutospacing="1"/>
      <w:jc w:val="left"/>
    </w:pPr>
    <w:rPr>
      <w:rFonts w:ascii="宋体" w:hAnsi="宋体"/>
      <w:kern w:val="0"/>
      <w:sz w:val="24"/>
      <w:szCs w:val="20"/>
    </w:rPr>
  </w:style>
  <w:style w:type="paragraph" w:styleId="22">
    <w:name w:val="annotation subject"/>
    <w:basedOn w:val="9"/>
    <w:next w:val="9"/>
    <w:link w:val="43"/>
    <w:semiHidden/>
    <w:qFormat/>
    <w:uiPriority w:val="0"/>
    <w:rPr>
      <w:b/>
      <w:sz w:val="24"/>
      <w:szCs w:val="20"/>
    </w:rPr>
  </w:style>
  <w:style w:type="paragraph" w:styleId="23">
    <w:name w:val="Body Text First Indent"/>
    <w:basedOn w:val="10"/>
    <w:qFormat/>
    <w:locked/>
    <w:uiPriority w:val="0"/>
    <w:pPr>
      <w:widowControl w:val="0"/>
      <w:snapToGrid w:val="0"/>
      <w:spacing w:line="360" w:lineRule="auto"/>
      <w:ind w:firstLine="200" w:firstLineChars="200"/>
      <w:jc w:val="both"/>
    </w:pPr>
    <w:rPr>
      <w:kern w:val="2"/>
      <w:sz w:val="24"/>
      <w:szCs w:val="24"/>
      <w:lang w:val="en-US" w:eastAsia="zh-CN" w:bidi="ar-SA"/>
    </w:rPr>
  </w:style>
  <w:style w:type="paragraph" w:styleId="24">
    <w:name w:val="Body Text First Indent 2"/>
    <w:basedOn w:val="1"/>
    <w:next w:val="1"/>
    <w:unhideWhenUsed/>
    <w:qFormat/>
    <w:locked/>
    <w:uiPriority w:val="0"/>
    <w:pPr>
      <w:spacing w:after="120" w:afterLines="0"/>
      <w:ind w:left="420" w:leftChars="200" w:firstLine="420"/>
    </w:pPr>
    <w:rPr>
      <w:sz w:val="21"/>
    </w:rPr>
  </w:style>
  <w:style w:type="table" w:styleId="26">
    <w:name w:val="Table Grid"/>
    <w:basedOn w:val="25"/>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page number"/>
    <w:qFormat/>
    <w:locked/>
    <w:uiPriority w:val="0"/>
  </w:style>
  <w:style w:type="character" w:styleId="29">
    <w:name w:val="Emphasis"/>
    <w:basedOn w:val="27"/>
    <w:qFormat/>
    <w:locked/>
    <w:uiPriority w:val="0"/>
    <w:rPr>
      <w:i/>
    </w:rPr>
  </w:style>
  <w:style w:type="character" w:styleId="30">
    <w:name w:val="Hyperlink"/>
    <w:qFormat/>
    <w:locked/>
    <w:uiPriority w:val="0"/>
    <w:rPr>
      <w:color w:val="0000FF"/>
      <w:u w:val="single"/>
    </w:rPr>
  </w:style>
  <w:style w:type="character" w:styleId="31">
    <w:name w:val="annotation reference"/>
    <w:semiHidden/>
    <w:qFormat/>
    <w:uiPriority w:val="0"/>
    <w:rPr>
      <w:sz w:val="21"/>
    </w:rPr>
  </w:style>
  <w:style w:type="paragraph" w:customStyle="1" w:styleId="32">
    <w:name w:val="Default"/>
    <w:basedOn w:val="33"/>
    <w:next w:val="1"/>
    <w:unhideWhenUsed/>
    <w:qFormat/>
    <w:uiPriority w:val="99"/>
    <w:pPr>
      <w:widowControl w:val="0"/>
      <w:autoSpaceDE w:val="0"/>
      <w:autoSpaceDN w:val="0"/>
      <w:adjustRightInd w:val="0"/>
      <w:spacing w:beforeLines="0" w:afterLines="0"/>
    </w:pPr>
    <w:rPr>
      <w:rFonts w:hint="eastAsia" w:ascii="Arial Unicode MS" w:hAnsi="Arial Unicode MS" w:eastAsia="Arial Unicode MS"/>
      <w:color w:val="000000"/>
      <w:sz w:val="24"/>
      <w:szCs w:val="24"/>
    </w:rPr>
  </w:style>
  <w:style w:type="paragraph" w:customStyle="1" w:styleId="33">
    <w:name w:val="标题 段落4级"/>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character" w:customStyle="1" w:styleId="34">
    <w:name w:val="标题 1 Char"/>
    <w:link w:val="2"/>
    <w:qFormat/>
    <w:uiPriority w:val="99"/>
    <w:rPr>
      <w:rFonts w:eastAsia="黑体"/>
      <w:b/>
      <w:bCs/>
      <w:color w:val="000000"/>
      <w:kern w:val="44"/>
      <w:sz w:val="30"/>
      <w:szCs w:val="30"/>
    </w:rPr>
  </w:style>
  <w:style w:type="character" w:customStyle="1" w:styleId="35">
    <w:name w:val="正文文本 Char"/>
    <w:link w:val="10"/>
    <w:qFormat/>
    <w:locked/>
    <w:uiPriority w:val="0"/>
    <w:rPr>
      <w:sz w:val="18"/>
    </w:rPr>
  </w:style>
  <w:style w:type="character" w:customStyle="1" w:styleId="36">
    <w:name w:val="批注文字 Char"/>
    <w:link w:val="9"/>
    <w:qFormat/>
    <w:locked/>
    <w:uiPriority w:val="0"/>
    <w:rPr>
      <w:rFonts w:ascii="Times New Roman" w:hAnsi="Times New Roman" w:eastAsia="宋体"/>
      <w:sz w:val="24"/>
    </w:rPr>
  </w:style>
  <w:style w:type="character" w:customStyle="1" w:styleId="37">
    <w:name w:val="正文文本缩进 Char"/>
    <w:link w:val="11"/>
    <w:semiHidden/>
    <w:qFormat/>
    <w:locked/>
    <w:uiPriority w:val="0"/>
    <w:rPr>
      <w:rFonts w:ascii="Times New Roman" w:hAnsi="Times New Roman" w:eastAsia="宋体"/>
      <w:sz w:val="24"/>
    </w:rPr>
  </w:style>
  <w:style w:type="character" w:customStyle="1" w:styleId="38">
    <w:name w:val="页眉 Char"/>
    <w:link w:val="12"/>
    <w:qFormat/>
    <w:locked/>
    <w:uiPriority w:val="0"/>
    <w:rPr>
      <w:sz w:val="18"/>
    </w:rPr>
  </w:style>
  <w:style w:type="character" w:customStyle="1" w:styleId="39">
    <w:name w:val="日期 Char"/>
    <w:link w:val="16"/>
    <w:qFormat/>
    <w:locked/>
    <w:uiPriority w:val="0"/>
    <w:rPr>
      <w:rFonts w:ascii="Times New Roman" w:hAnsi="Times New Roman" w:eastAsia="宋体"/>
      <w:sz w:val="24"/>
    </w:rPr>
  </w:style>
  <w:style w:type="character" w:customStyle="1" w:styleId="40">
    <w:name w:val="批注框文本 Char"/>
    <w:link w:val="18"/>
    <w:semiHidden/>
    <w:qFormat/>
    <w:locked/>
    <w:uiPriority w:val="0"/>
    <w:rPr>
      <w:rFonts w:ascii="Times New Roman" w:hAnsi="Times New Roman" w:eastAsia="宋体"/>
      <w:sz w:val="18"/>
    </w:rPr>
  </w:style>
  <w:style w:type="character" w:customStyle="1" w:styleId="41">
    <w:name w:val="页脚 Char"/>
    <w:link w:val="19"/>
    <w:qFormat/>
    <w:locked/>
    <w:uiPriority w:val="99"/>
    <w:rPr>
      <w:sz w:val="18"/>
    </w:rPr>
  </w:style>
  <w:style w:type="character" w:customStyle="1" w:styleId="42">
    <w:name w:val="普通(网站) Char"/>
    <w:link w:val="21"/>
    <w:qFormat/>
    <w:locked/>
    <w:uiPriority w:val="0"/>
    <w:rPr>
      <w:rFonts w:ascii="宋体" w:hAnsi="宋体" w:eastAsia="宋体"/>
      <w:sz w:val="24"/>
    </w:rPr>
  </w:style>
  <w:style w:type="character" w:customStyle="1" w:styleId="43">
    <w:name w:val="批注主题 Char"/>
    <w:link w:val="22"/>
    <w:semiHidden/>
    <w:qFormat/>
    <w:locked/>
    <w:uiPriority w:val="0"/>
    <w:rPr>
      <w:rFonts w:ascii="Times New Roman" w:hAnsi="Times New Roman" w:eastAsia="宋体"/>
      <w:b/>
      <w:kern w:val="2"/>
      <w:sz w:val="24"/>
    </w:rPr>
  </w:style>
  <w:style w:type="character" w:customStyle="1" w:styleId="44">
    <w:name w:val="批注文字 字符1"/>
    <w:semiHidden/>
    <w:qFormat/>
    <w:uiPriority w:val="0"/>
    <w:rPr>
      <w:rFonts w:ascii="Times New Roman" w:hAnsi="Times New Roman" w:eastAsia="宋体"/>
      <w:sz w:val="24"/>
    </w:rPr>
  </w:style>
  <w:style w:type="character" w:customStyle="1" w:styleId="45">
    <w:name w:val="表头 Char Char"/>
    <w:link w:val="46"/>
    <w:qFormat/>
    <w:uiPriority w:val="0"/>
    <w:rPr>
      <w:rFonts w:ascii="Times New Roman" w:hAnsi="Times New Roman"/>
      <w:b/>
      <w:szCs w:val="21"/>
    </w:rPr>
  </w:style>
  <w:style w:type="paragraph" w:customStyle="1" w:styleId="46">
    <w:name w:val="表头"/>
    <w:basedOn w:val="1"/>
    <w:next w:val="1"/>
    <w:link w:val="45"/>
    <w:qFormat/>
    <w:uiPriority w:val="0"/>
    <w:pPr>
      <w:numPr>
        <w:ilvl w:val="0"/>
        <w:numId w:val="2"/>
      </w:numPr>
      <w:tabs>
        <w:tab w:val="left" w:pos="420"/>
      </w:tabs>
      <w:ind w:left="420" w:firstLine="0" w:firstLineChars="0"/>
      <w:jc w:val="center"/>
    </w:pPr>
    <w:rPr>
      <w:rFonts w:ascii="Times New Roman" w:hAnsi="Times New Roman"/>
      <w:b/>
      <w:szCs w:val="21"/>
    </w:rPr>
  </w:style>
  <w:style w:type="character" w:customStyle="1" w:styleId="47">
    <w:name w:val="正文文本 字符1"/>
    <w:semiHidden/>
    <w:qFormat/>
    <w:uiPriority w:val="0"/>
    <w:rPr>
      <w:rFonts w:ascii="Times New Roman" w:hAnsi="Times New Roman" w:eastAsia="宋体"/>
      <w:sz w:val="24"/>
    </w:rPr>
  </w:style>
  <w:style w:type="character" w:customStyle="1" w:styleId="48">
    <w:name w:val="日期 字符"/>
    <w:semiHidden/>
    <w:qFormat/>
    <w:uiPriority w:val="0"/>
    <w:rPr>
      <w:rFonts w:ascii="Times New Roman" w:hAnsi="Times New Roman" w:eastAsia="宋体"/>
      <w:sz w:val="24"/>
    </w:rPr>
  </w:style>
  <w:style w:type="character" w:customStyle="1" w:styleId="49">
    <w:name w:val="页脚 字符"/>
    <w:qFormat/>
    <w:uiPriority w:val="99"/>
  </w:style>
  <w:style w:type="character" w:customStyle="1" w:styleId="50">
    <w:name w:val="表格 Char"/>
    <w:link w:val="51"/>
    <w:qFormat/>
    <w:locked/>
    <w:uiPriority w:val="0"/>
    <w:rPr>
      <w:rFonts w:ascii="宋体"/>
      <w:sz w:val="21"/>
    </w:rPr>
  </w:style>
  <w:style w:type="paragraph" w:customStyle="1" w:styleId="51">
    <w:name w:val="表格"/>
    <w:basedOn w:val="52"/>
    <w:next w:val="1"/>
    <w:link w:val="50"/>
    <w:qFormat/>
    <w:uiPriority w:val="0"/>
    <w:pPr>
      <w:adjustRightInd w:val="0"/>
      <w:snapToGrid w:val="0"/>
      <w:spacing w:beforeLines="10" w:afterLines="10" w:line="259" w:lineRule="auto"/>
      <w:jc w:val="center"/>
    </w:pPr>
    <w:rPr>
      <w:rFonts w:ascii="宋体"/>
      <w:kern w:val="0"/>
      <w:szCs w:val="20"/>
    </w:rPr>
  </w:style>
  <w:style w:type="paragraph" w:customStyle="1" w:styleId="52">
    <w:name w:val="表格文字"/>
    <w:basedOn w:val="10"/>
    <w:qFormat/>
    <w:uiPriority w:val="0"/>
    <w:pPr>
      <w:widowControl w:val="0"/>
      <w:autoSpaceDE w:val="0"/>
      <w:autoSpaceDN w:val="0"/>
      <w:adjustRightInd w:val="0"/>
      <w:jc w:val="center"/>
      <w:textAlignment w:val="baseline"/>
    </w:pPr>
    <w:rPr>
      <w:rFonts w:ascii="Times New Roman" w:hAnsi="Times New Roman" w:eastAsia="宋体" w:cs="Times New Roman"/>
      <w:color w:val="000000"/>
      <w:sz w:val="21"/>
      <w:lang w:val="en-US" w:eastAsia="zh-CN" w:bidi="ar-SA"/>
    </w:rPr>
  </w:style>
  <w:style w:type="character" w:customStyle="1" w:styleId="53">
    <w:name w:val="font01"/>
    <w:qFormat/>
    <w:uiPriority w:val="0"/>
    <w:rPr>
      <w:rFonts w:hint="eastAsia" w:ascii="宋体" w:hAnsi="宋体" w:eastAsia="宋体" w:cs="宋体"/>
      <w:color w:val="000000"/>
      <w:sz w:val="22"/>
      <w:szCs w:val="22"/>
      <w:u w:val="none"/>
    </w:rPr>
  </w:style>
  <w:style w:type="character" w:customStyle="1" w:styleId="54">
    <w:name w:val="font11"/>
    <w:qFormat/>
    <w:uiPriority w:val="0"/>
    <w:rPr>
      <w:rFonts w:hint="eastAsia" w:ascii="宋体" w:hAnsi="宋体" w:eastAsia="宋体" w:cs="宋体"/>
      <w:color w:val="000000"/>
      <w:sz w:val="21"/>
      <w:szCs w:val="21"/>
      <w:u w:val="none"/>
    </w:rPr>
  </w:style>
  <w:style w:type="character" w:customStyle="1" w:styleId="55">
    <w:name w:val="font21"/>
    <w:qFormat/>
    <w:uiPriority w:val="0"/>
    <w:rPr>
      <w:rFonts w:hint="default" w:ascii="Times New Roman" w:hAnsi="Times New Roman" w:cs="Times New Roman"/>
      <w:color w:val="000000"/>
      <w:sz w:val="21"/>
      <w:szCs w:val="21"/>
      <w:u w:val="none"/>
    </w:rPr>
  </w:style>
  <w:style w:type="paragraph" w:customStyle="1" w:styleId="56">
    <w:name w:val="纯文本1"/>
    <w:basedOn w:val="1"/>
    <w:qFormat/>
    <w:uiPriority w:val="0"/>
    <w:pPr>
      <w:adjustRightInd w:val="0"/>
    </w:pPr>
    <w:rPr>
      <w:rFonts w:ascii="宋体" w:hAnsi="Courier New"/>
      <w:szCs w:val="20"/>
    </w:rPr>
  </w:style>
  <w:style w:type="paragraph" w:customStyle="1" w:styleId="57">
    <w:name w:val="Table Paragraph"/>
    <w:basedOn w:val="1"/>
    <w:qFormat/>
    <w:uiPriority w:val="1"/>
    <w:pPr>
      <w:jc w:val="center"/>
    </w:pPr>
    <w:rPr>
      <w:rFonts w:ascii="宋体" w:hAnsi="宋体" w:eastAsia="宋体" w:cs="宋体"/>
    </w:rPr>
  </w:style>
  <w:style w:type="paragraph" w:customStyle="1" w:styleId="58">
    <w:name w:val="报告正文"/>
    <w:basedOn w:val="1"/>
    <w:qFormat/>
    <w:uiPriority w:val="0"/>
    <w:pPr>
      <w:spacing w:line="480" w:lineRule="exact"/>
      <w:ind w:firstLine="200" w:firstLineChars="200"/>
    </w:pPr>
    <w:rPr>
      <w:color w:val="000000"/>
      <w:sz w:val="24"/>
      <w:lang w:val="en-US" w:eastAsia="zh-CN"/>
    </w:rPr>
  </w:style>
  <w:style w:type="paragraph" w:customStyle="1" w:styleId="59">
    <w:name w:val="正文1"/>
    <w:basedOn w:val="1"/>
    <w:qFormat/>
    <w:uiPriority w:val="0"/>
    <w:pPr>
      <w:adjustRightInd w:val="0"/>
      <w:snapToGrid w:val="0"/>
      <w:spacing w:line="500" w:lineRule="atLeast"/>
      <w:ind w:firstLine="567"/>
    </w:pPr>
    <w:rPr>
      <w:rFonts w:ascii="Times New Roman" w:hAnsi="Times New Roman"/>
      <w:szCs w:val="24"/>
    </w:rPr>
  </w:style>
  <w:style w:type="paragraph" w:customStyle="1" w:styleId="60">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1">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62">
    <w:name w:val="默认段落"/>
    <w:basedOn w:val="1"/>
    <w:qFormat/>
    <w:uiPriority w:val="99"/>
  </w:style>
  <w:style w:type="paragraph" w:customStyle="1" w:styleId="63">
    <w:name w:val="表内"/>
    <w:basedOn w:val="1"/>
    <w:qFormat/>
    <w:uiPriority w:val="99"/>
    <w:pPr>
      <w:framePr w:hSpace="180" w:wrap="around" w:vAnchor="page" w:hAnchor="margin" w:y="1411"/>
      <w:widowControl/>
      <w:jc w:val="both"/>
    </w:pPr>
    <w:rPr>
      <w:rFonts w:ascii="宋体" w:hAnsi="宋体" w:cs="Times New Roman"/>
      <w:snapToGrid/>
      <w:szCs w:val="20"/>
    </w:rPr>
  </w:style>
  <w:style w:type="paragraph" w:customStyle="1" w:styleId="64">
    <w:name w:val="表格内容（OPCC宋体）"/>
    <w:basedOn w:val="1"/>
    <w:qFormat/>
    <w:uiPriority w:val="0"/>
    <w:pPr>
      <w:adjustRightInd w:val="0"/>
      <w:snapToGrid w:val="0"/>
      <w:jc w:val="center"/>
    </w:pPr>
    <w:rPr>
      <w:rFonts w:ascii="Times New Roman" w:hAnsi="Times New Roman" w:eastAsia="仿宋_GB2312" w:cs="宋体"/>
      <w:snapToGrid w:val="0"/>
      <w:kern w:val="0"/>
      <w:szCs w:val="21"/>
    </w:rPr>
  </w:style>
  <w:style w:type="paragraph" w:customStyle="1" w:styleId="65">
    <w:name w:val="WPSOffice手动目录 1"/>
    <w:qFormat/>
    <w:uiPriority w:val="0"/>
    <w:rPr>
      <w:rFonts w:ascii="Times New Roman" w:hAnsi="Times New Roman" w:eastAsia="宋体" w:cs="Times New Roman"/>
      <w:lang w:val="en-US" w:eastAsia="zh-CN" w:bidi="ar-SA"/>
    </w:rPr>
  </w:style>
  <w:style w:type="paragraph" w:customStyle="1" w:styleId="66">
    <w:name w:val="表内 定"/>
    <w:basedOn w:val="1"/>
    <w:qFormat/>
    <w:uiPriority w:val="0"/>
    <w:rPr>
      <w:rFonts w:cs="Times New Roman"/>
      <w:color w:val="000000"/>
    </w:rPr>
  </w:style>
  <w:style w:type="paragraph" w:customStyle="1" w:styleId="67">
    <w:name w:val="表格字体"/>
    <w:basedOn w:val="1"/>
    <w:qFormat/>
    <w:uiPriority w:val="0"/>
    <w:pPr>
      <w:adjustRightInd w:val="0"/>
      <w:spacing w:line="300" w:lineRule="exact"/>
      <w:jc w:val="center"/>
    </w:pPr>
    <w:rPr>
      <w:color w:val="000000"/>
      <w:sz w:val="18"/>
    </w:rPr>
  </w:style>
  <w:style w:type="paragraph" w:customStyle="1" w:styleId="68">
    <w:name w:val="Table Text"/>
    <w:basedOn w:val="1"/>
    <w:semiHidden/>
    <w:qFormat/>
    <w:uiPriority w:val="0"/>
    <w:rPr>
      <w:rFonts w:ascii="Times New Roman" w:hAnsi="Times New Roman" w:eastAsia="Times New Roman" w:cs="Times New Roman"/>
      <w:sz w:val="21"/>
      <w:szCs w:val="21"/>
      <w:lang w:val="en-US" w:eastAsia="en-US" w:bidi="ar-SA"/>
    </w:rPr>
  </w:style>
  <w:style w:type="paragraph" w:customStyle="1" w:styleId="69">
    <w:name w:val="0正文"/>
    <w:qFormat/>
    <w:uiPriority w:val="0"/>
    <w:pPr>
      <w:spacing w:line="360" w:lineRule="auto"/>
      <w:ind w:firstLine="200" w:firstLineChars="200"/>
      <w:jc w:val="both"/>
    </w:pPr>
    <w:rPr>
      <w:rFonts w:ascii="Times New Roman" w:hAnsi="Times New Roman" w:eastAsia="宋体" w:cs="Times New Roman"/>
      <w:kern w:val="2"/>
      <w:sz w:val="24"/>
      <w:szCs w:val="21"/>
      <w:lang w:val="en-US" w:eastAsia="zh-CN" w:bidi="ar-SA"/>
    </w:rPr>
  </w:style>
  <w:style w:type="paragraph" w:customStyle="1" w:styleId="70">
    <w:name w:val="样式1"/>
    <w:basedOn w:val="1"/>
    <w:qFormat/>
    <w:uiPriority w:val="0"/>
    <w:pPr>
      <w:spacing w:line="360" w:lineRule="auto"/>
      <w:ind w:firstLine="200" w:firstLineChars="200"/>
      <w:jc w:val="left"/>
    </w:pPr>
    <w:rPr>
      <w:color w:val="000000"/>
      <w:sz w:val="24"/>
    </w:rPr>
  </w:style>
  <w:style w:type="paragraph" w:customStyle="1" w:styleId="71">
    <w:name w:val="正文格式"/>
    <w:basedOn w:val="1"/>
    <w:qFormat/>
    <w:uiPriority w:val="0"/>
    <w:pPr>
      <w:widowControl w:val="0"/>
      <w:tabs>
        <w:tab w:val="left" w:pos="0"/>
      </w:tabs>
      <w:adjustRightInd w:val="0"/>
      <w:spacing w:beforeAutospacing="0" w:afterAutospacing="0" w:line="360" w:lineRule="auto"/>
      <w:ind w:firstLine="720" w:firstLineChars="200"/>
      <w:jc w:val="both"/>
      <w:outlineLvl w:val="9"/>
    </w:pPr>
    <w:rPr>
      <w:rFonts w:hint="eastAsia" w:ascii="Times New Roman" w:hAnsi="Times New Roman" w:eastAsia="宋体"/>
      <w:snapToGrid w:val="0"/>
      <w:kern w:val="0"/>
      <w:sz w:val="24"/>
      <w:szCs w:val="30"/>
    </w:rPr>
  </w:style>
  <w:style w:type="paragraph" w:customStyle="1" w:styleId="72">
    <w:name w:val="这个版本表内"/>
    <w:basedOn w:val="1"/>
    <w:qFormat/>
    <w:uiPriority w:val="0"/>
    <w:pPr>
      <w:adjustRightInd w:val="0"/>
      <w:snapToGrid w:val="0"/>
      <w:jc w:val="center"/>
    </w:pPr>
    <w:rPr>
      <w:rFonts w:hint="eastAsia" w:ascii="宋体" w:hAnsi="宋体" w:eastAsia="宋体"/>
      <w:kern w:val="0"/>
      <w:szCs w:val="20"/>
      <w:vertAlign w:val="baseline"/>
    </w:rPr>
  </w:style>
  <w:style w:type="paragraph" w:customStyle="1" w:styleId="73">
    <w:name w:val="List Paragraph"/>
    <w:basedOn w:val="1"/>
    <w:qFormat/>
    <w:uiPriority w:val="34"/>
    <w:pPr>
      <w:ind w:firstLine="420" w:firstLineChars="200"/>
    </w:pPr>
  </w:style>
  <w:style w:type="paragraph" w:customStyle="1" w:styleId="74">
    <w:name w:val="A正文"/>
    <w:basedOn w:val="1"/>
    <w:qFormat/>
    <w:uiPriority w:val="0"/>
    <w:pPr>
      <w:widowControl/>
      <w:overflowPunct w:val="0"/>
      <w:autoSpaceDE w:val="0"/>
      <w:autoSpaceDN w:val="0"/>
      <w:jc w:val="left"/>
      <w:textAlignment w:val="baseline"/>
    </w:pPr>
  </w:style>
  <w:style w:type="table" w:customStyle="1" w:styleId="75">
    <w:name w:val="Table Normal"/>
    <w:unhideWhenUsed/>
    <w:qFormat/>
    <w:uiPriority w:val="0"/>
    <w:rPr>
      <w:lang w:val="en-US" w:eastAsia="zh-CN" w:bidi="ar-SA"/>
    </w:rPr>
    <w:tblPr>
      <w:tblCellMar>
        <w:top w:w="0" w:type="dxa"/>
        <w:left w:w="0" w:type="dxa"/>
        <w:bottom w:w="0" w:type="dxa"/>
        <w:right w:w="0" w:type="dxa"/>
      </w:tblCellMar>
    </w:tblPr>
  </w:style>
  <w:style w:type="paragraph" w:customStyle="1" w:styleId="76">
    <w:name w:val="表格内容"/>
    <w:basedOn w:val="1"/>
    <w:qFormat/>
    <w:uiPriority w:val="0"/>
    <w:pPr>
      <w:spacing w:line="300" w:lineRule="exact"/>
      <w:jc w:val="center"/>
    </w:pPr>
    <w:rPr>
      <w:sz w:val="21"/>
      <w:szCs w:val="21"/>
    </w:rPr>
  </w:style>
  <w:style w:type="paragraph" w:customStyle="1" w:styleId="77">
    <w:name w:val="7表格内容"/>
    <w:basedOn w:val="1"/>
    <w:qFormat/>
    <w:uiPriority w:val="0"/>
    <w:pPr>
      <w:jc w:val="center"/>
    </w:pPr>
    <w:rPr>
      <w:sz w:val="24"/>
      <w:szCs w:val="21"/>
    </w:rPr>
  </w:style>
  <w:style w:type="paragraph" w:customStyle="1" w:styleId="78">
    <w:name w:val="Date1"/>
    <w:basedOn w:val="1"/>
    <w:next w:val="1"/>
    <w:qFormat/>
    <w:uiPriority w:val="0"/>
    <w:rPr>
      <w:sz w:val="21"/>
      <w:szCs w:val="20"/>
    </w:rPr>
  </w:style>
  <w:style w:type="paragraph" w:customStyle="1" w:styleId="79">
    <w:name w:val="正文东铝"/>
    <w:basedOn w:val="1"/>
    <w:qFormat/>
    <w:uiPriority w:val="0"/>
    <w:pPr>
      <w:spacing w:line="520" w:lineRule="exact"/>
      <w:ind w:firstLine="200" w:firstLineChars="200"/>
      <w:jc w:val="left"/>
    </w:pPr>
    <w:rPr>
      <w:color w:val="000000"/>
      <w:sz w:val="24"/>
      <w:szCs w:val="22"/>
    </w:rPr>
  </w:style>
  <w:style w:type="paragraph" w:customStyle="1" w:styleId="80">
    <w:name w:val="表内字"/>
    <w:qFormat/>
    <w:uiPriority w:val="0"/>
    <w:pPr>
      <w:spacing w:line="320" w:lineRule="exact"/>
      <w:jc w:val="center"/>
    </w:pPr>
    <w:rPr>
      <w:rFonts w:ascii="Times New Roman" w:hAnsi="Times New Roman" w:eastAsia="宋体" w:cs="Times New Roman"/>
      <w:bCs/>
      <w:kern w:val="2"/>
      <w:sz w:val="21"/>
      <w:szCs w:val="21"/>
      <w:lang w:val="en-US" w:eastAsia="zh-CN" w:bidi="ar-SA"/>
    </w:rPr>
  </w:style>
  <w:style w:type="paragraph" w:customStyle="1" w:styleId="81">
    <w:name w:val="报告书正文"/>
    <w:basedOn w:val="1"/>
    <w:qFormat/>
    <w:uiPriority w:val="0"/>
    <w:pPr>
      <w:spacing w:line="360" w:lineRule="auto"/>
      <w:ind w:firstLine="200" w:firstLineChars="200"/>
    </w:pPr>
    <w:rPr>
      <w:kern w:val="0"/>
    </w:rPr>
  </w:style>
  <w:style w:type="paragraph" w:customStyle="1" w:styleId="82">
    <w:name w:val="空格书正文"/>
    <w:basedOn w:val="1"/>
    <w:qFormat/>
    <w:uiPriority w:val="0"/>
    <w:pPr>
      <w:spacing w:line="360" w:lineRule="auto"/>
      <w:ind w:firstLine="200" w:firstLineChars="200"/>
    </w:pPr>
    <w:rPr>
      <w:rFonts w:ascii="Times New Roman" w:hAnsi="Times New Roman"/>
      <w:sz w:val="24"/>
      <w:szCs w:val="28"/>
    </w:rPr>
  </w:style>
  <w:style w:type="paragraph" w:customStyle="1" w:styleId="83">
    <w:name w:val="正文111"/>
    <w:basedOn w:val="1"/>
    <w:qFormat/>
    <w:uiPriority w:val="0"/>
    <w:pPr>
      <w:wordWrap w:val="0"/>
      <w:topLinePunct/>
      <w:spacing w:line="360" w:lineRule="auto"/>
      <w:ind w:firstLine="200" w:firstLineChars="200"/>
      <w:jc w:val="left"/>
    </w:pPr>
    <w:rPr>
      <w:rFonts w:ascii="Times New Roman" w:hAnsi="Times New Roman"/>
      <w:sz w:val="24"/>
    </w:rPr>
  </w:style>
  <w:style w:type="paragraph" w:customStyle="1" w:styleId="84">
    <w:name w:val=" Char Char Char Char"/>
    <w:basedOn w:val="1"/>
    <w:qFormat/>
    <w:uiPriority w:val="0"/>
    <w:rPr>
      <w:szCs w:val="24"/>
    </w:rPr>
  </w:style>
  <w:style w:type="character" w:customStyle="1" w:styleId="85">
    <w:name w:val=" Char Char Char Char2"/>
    <w:link w:val="86"/>
    <w:qFormat/>
    <w:uiPriority w:val="0"/>
    <w:rPr>
      <w:kern w:val="0"/>
    </w:rPr>
  </w:style>
  <w:style w:type="paragraph" w:customStyle="1" w:styleId="86">
    <w:name w:val=" Char Char Char"/>
    <w:basedOn w:val="1"/>
    <w:link w:val="85"/>
    <w:qFormat/>
    <w:uiPriority w:val="0"/>
    <w:rPr>
      <w:kern w:val="0"/>
    </w:rPr>
  </w:style>
  <w:style w:type="character" w:customStyle="1" w:styleId="87">
    <w:name w:val="font171"/>
    <w:basedOn w:val="27"/>
    <w:qFormat/>
    <w:uiPriority w:val="0"/>
    <w:rPr>
      <w:rFonts w:hint="eastAsia" w:ascii="宋体" w:hAnsi="宋体" w:eastAsia="宋体" w:cs="宋体"/>
      <w:color w:val="000000"/>
      <w:sz w:val="22"/>
      <w:szCs w:val="22"/>
      <w:u w:val="none"/>
    </w:rPr>
  </w:style>
  <w:style w:type="character" w:customStyle="1" w:styleId="88">
    <w:name w:val="font41"/>
    <w:basedOn w:val="27"/>
    <w:qFormat/>
    <w:uiPriority w:val="0"/>
    <w:rPr>
      <w:rFonts w:hint="default" w:ascii="Times New Roman" w:hAnsi="Times New Roman" w:cs="Times New Roman"/>
      <w:color w:val="000000"/>
      <w:sz w:val="22"/>
      <w:szCs w:val="22"/>
      <w:u w:val="none"/>
    </w:rPr>
  </w:style>
  <w:style w:type="character" w:customStyle="1" w:styleId="89">
    <w:name w:val="font181"/>
    <w:basedOn w:val="27"/>
    <w:qFormat/>
    <w:uiPriority w:val="0"/>
    <w:rPr>
      <w:rFonts w:hint="eastAsia" w:ascii="宋体" w:hAnsi="宋体" w:eastAsia="宋体" w:cs="宋体"/>
      <w:b/>
      <w:bCs/>
      <w:color w:val="000000"/>
      <w:sz w:val="22"/>
      <w:szCs w:val="22"/>
      <w:u w:val="none"/>
    </w:rPr>
  </w:style>
  <w:style w:type="character" w:customStyle="1" w:styleId="90">
    <w:name w:val="font51"/>
    <w:basedOn w:val="27"/>
    <w:qFormat/>
    <w:uiPriority w:val="0"/>
    <w:rPr>
      <w:rFonts w:hint="default" w:ascii="Times New Roman" w:hAnsi="Times New Roman" w:cs="Times New Roman"/>
      <w:b/>
      <w:bCs/>
      <w:color w:val="000000"/>
      <w:sz w:val="22"/>
      <w:szCs w:val="22"/>
      <w:u w:val="none"/>
    </w:rPr>
  </w:style>
  <w:style w:type="character" w:customStyle="1" w:styleId="91">
    <w:name w:val="font81"/>
    <w:basedOn w:val="27"/>
    <w:qFormat/>
    <w:uiPriority w:val="0"/>
    <w:rPr>
      <w:rFonts w:hint="eastAsia" w:ascii="宋体" w:hAnsi="宋体" w:eastAsia="宋体" w:cs="宋体"/>
      <w:b/>
      <w:bCs/>
      <w:color w:val="000000"/>
      <w:sz w:val="18"/>
      <w:szCs w:val="18"/>
      <w:u w:val="none"/>
    </w:rPr>
  </w:style>
  <w:style w:type="character" w:customStyle="1" w:styleId="92">
    <w:name w:val="font191"/>
    <w:basedOn w:val="27"/>
    <w:qFormat/>
    <w:uiPriority w:val="0"/>
    <w:rPr>
      <w:rFonts w:hint="default" w:ascii="Times New Roman" w:hAnsi="Times New Roman" w:cs="Times New Roman"/>
      <w:b/>
      <w:bCs/>
      <w:color w:val="000000"/>
      <w:sz w:val="18"/>
      <w:szCs w:val="18"/>
      <w:u w:val="none"/>
      <w:vertAlign w:val="superscript"/>
    </w:rPr>
  </w:style>
  <w:style w:type="character" w:customStyle="1" w:styleId="93">
    <w:name w:val="font61"/>
    <w:basedOn w:val="27"/>
    <w:qFormat/>
    <w:uiPriority w:val="0"/>
    <w:rPr>
      <w:rFonts w:hint="default" w:ascii="Times New Roman" w:hAnsi="Times New Roman" w:cs="Times New Roman"/>
      <w:b/>
      <w:bCs/>
      <w:color w:val="000000"/>
      <w:sz w:val="18"/>
      <w:szCs w:val="18"/>
      <w:u w:val="none"/>
    </w:rPr>
  </w:style>
  <w:style w:type="character" w:customStyle="1" w:styleId="94">
    <w:name w:val="font201"/>
    <w:basedOn w:val="27"/>
    <w:qFormat/>
    <w:uiPriority w:val="0"/>
    <w:rPr>
      <w:rFonts w:hint="eastAsia" w:ascii="宋体" w:hAnsi="宋体" w:eastAsia="宋体" w:cs="宋体"/>
      <w:b/>
      <w:bCs/>
      <w:color w:val="000000"/>
      <w:sz w:val="18"/>
      <w:szCs w:val="18"/>
      <w:u w:val="none"/>
    </w:rPr>
  </w:style>
  <w:style w:type="character" w:customStyle="1" w:styleId="95">
    <w:name w:val="font91"/>
    <w:basedOn w:val="27"/>
    <w:qFormat/>
    <w:uiPriority w:val="0"/>
    <w:rPr>
      <w:rFonts w:hint="default" w:ascii="Times New Roman" w:hAnsi="Times New Roman" w:cs="Times New Roman"/>
      <w:b/>
      <w:bCs/>
      <w:color w:val="000000"/>
      <w:sz w:val="18"/>
      <w:szCs w:val="18"/>
      <w:u w:val="none"/>
    </w:rPr>
  </w:style>
  <w:style w:type="character" w:customStyle="1" w:styleId="96">
    <w:name w:val="font71"/>
    <w:basedOn w:val="27"/>
    <w:qFormat/>
    <w:uiPriority w:val="0"/>
    <w:rPr>
      <w:rFonts w:hint="default" w:ascii="Times New Roman" w:hAnsi="Times New Roman" w:cs="Times New Roman"/>
      <w:color w:val="000000"/>
      <w:sz w:val="18"/>
      <w:szCs w:val="18"/>
      <w:u w:val="none"/>
    </w:rPr>
  </w:style>
  <w:style w:type="character" w:customStyle="1" w:styleId="97">
    <w:name w:val="font212"/>
    <w:basedOn w:val="27"/>
    <w:qFormat/>
    <w:uiPriority w:val="0"/>
    <w:rPr>
      <w:rFonts w:hint="eastAsia" w:ascii="宋体" w:hAnsi="宋体" w:eastAsia="宋体" w:cs="宋体"/>
      <w:color w:val="000000"/>
      <w:sz w:val="16"/>
      <w:szCs w:val="16"/>
      <w:u w:val="none"/>
    </w:rPr>
  </w:style>
  <w:style w:type="character" w:customStyle="1" w:styleId="98">
    <w:name w:val="font131"/>
    <w:basedOn w:val="27"/>
    <w:qFormat/>
    <w:uiPriority w:val="0"/>
    <w:rPr>
      <w:rFonts w:hint="default" w:ascii="Times New Roman" w:hAnsi="Times New Roman" w:cs="Times New Roman"/>
      <w:color w:val="000000"/>
      <w:sz w:val="16"/>
      <w:szCs w:val="16"/>
      <w:u w:val="none"/>
    </w:rPr>
  </w:style>
  <w:style w:type="character" w:customStyle="1" w:styleId="99">
    <w:name w:val="font161"/>
    <w:basedOn w:val="27"/>
    <w:qFormat/>
    <w:uiPriority w:val="0"/>
    <w:rPr>
      <w:rFonts w:hint="eastAsia" w:ascii="宋体" w:hAnsi="宋体" w:eastAsia="宋体" w:cs="宋体"/>
      <w:color w:val="000000"/>
      <w:sz w:val="22"/>
      <w:szCs w:val="22"/>
      <w:u w:val="none"/>
    </w:rPr>
  </w:style>
  <w:style w:type="character" w:customStyle="1" w:styleId="100">
    <w:name w:val="font31"/>
    <w:basedOn w:val="27"/>
    <w:qFormat/>
    <w:uiPriority w:val="0"/>
    <w:rPr>
      <w:rFonts w:hint="default" w:ascii="Times New Roman" w:hAnsi="Times New Roman" w:cs="Times New Roman"/>
      <w:color w:val="000000"/>
      <w:sz w:val="22"/>
      <w:szCs w:val="22"/>
      <w:u w:val="none"/>
    </w:rPr>
  </w:style>
  <w:style w:type="character" w:customStyle="1" w:styleId="101">
    <w:name w:val="font121"/>
    <w:basedOn w:val="27"/>
    <w:qFormat/>
    <w:uiPriority w:val="0"/>
    <w:rPr>
      <w:rFonts w:hint="default" w:ascii="Times New Roman" w:hAnsi="Times New Roman" w:cs="Times New Roman"/>
      <w:color w:val="000000"/>
      <w:sz w:val="16"/>
      <w:szCs w:val="16"/>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5.wmf"/><Relationship Id="rId26" Type="http://schemas.openxmlformats.org/officeDocument/2006/relationships/oleObject" Target="embeddings/oleObject6.bin"/><Relationship Id="rId25" Type="http://schemas.openxmlformats.org/officeDocument/2006/relationships/image" Target="media/image14.wmf"/><Relationship Id="rId24" Type="http://schemas.openxmlformats.org/officeDocument/2006/relationships/oleObject" Target="embeddings/oleObject5.bin"/><Relationship Id="rId23" Type="http://schemas.openxmlformats.org/officeDocument/2006/relationships/image" Target="media/image13.wmf"/><Relationship Id="rId22" Type="http://schemas.openxmlformats.org/officeDocument/2006/relationships/oleObject" Target="embeddings/oleObject4.bin"/><Relationship Id="rId21" Type="http://schemas.openxmlformats.org/officeDocument/2006/relationships/image" Target="media/image12.e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11.emf"/><Relationship Id="rId18" Type="http://schemas.openxmlformats.org/officeDocument/2006/relationships/oleObject" Target="embeddings/oleObject2.bin"/><Relationship Id="rId17" Type="http://schemas.openxmlformats.org/officeDocument/2006/relationships/image" Target="media/image10.wmf"/><Relationship Id="rId16" Type="http://schemas.openxmlformats.org/officeDocument/2006/relationships/oleObject" Target="embeddings/oleObject1.bin"/><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348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93</Pages>
  <Words>5915</Words>
  <Characters>6255</Characters>
  <Lines>396</Lines>
  <Paragraphs>111</Paragraphs>
  <TotalTime>1</TotalTime>
  <ScaleCrop>false</ScaleCrop>
  <LinksUpToDate>false</LinksUpToDate>
  <CharactersWithSpaces>6362</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螞蟻綁架</cp:lastModifiedBy>
  <cp:lastPrinted>2023-06-28T02:32:00Z</cp:lastPrinted>
  <dcterms:modified xsi:type="dcterms:W3CDTF">2025-05-19T01:46:18Z</dcterms:modified>
  <dc:title>附件2</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F90CEACD10554347958370624FECB9CC_13</vt:lpwstr>
  </property>
  <property fmtid="{D5CDD505-2E9C-101B-9397-08002B2CF9AE}" pid="4" name="KSOTemplateDocerSaveRecord">
    <vt:lpwstr>eyJoZGlkIjoiNmJmMmU5ODRhNzRiNmJjM2Q2N2FjM2UyMTBlMjgyZmMiLCJ1c2VySWQiOiI2NTc3MjUxODgifQ==</vt:lpwstr>
  </property>
</Properties>
</file>